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01539" w14:textId="021339FC" w:rsidR="00787457" w:rsidRPr="00CE6915" w:rsidRDefault="00FD3BBE" w:rsidP="00FD3BBE">
      <w:pPr>
        <w:pStyle w:val="ParagraphText"/>
        <w:spacing w:before="0" w:line="480" w:lineRule="auto"/>
        <w:ind w:left="0" w:right="0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  <w:r w:rsidRPr="00CE6915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Cost-effectiveness of a </w:t>
      </w:r>
      <w:r w:rsidR="00D83655" w:rsidRPr="00CE6915">
        <w:rPr>
          <w:rFonts w:asciiTheme="majorBidi" w:hAnsiTheme="majorBidi" w:cstheme="majorBidi"/>
          <w:b/>
          <w:bCs/>
          <w:color w:val="000000"/>
          <w:sz w:val="24"/>
          <w:szCs w:val="24"/>
        </w:rPr>
        <w:t>proteomic</w:t>
      </w:r>
      <w:r w:rsidRPr="00CE6915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 test for </w:t>
      </w:r>
      <w:r w:rsidR="005F0206" w:rsidRPr="00CE6915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preterm birth </w:t>
      </w:r>
      <w:r w:rsidRPr="00CE6915">
        <w:rPr>
          <w:rFonts w:asciiTheme="majorBidi" w:hAnsiTheme="majorBidi" w:cstheme="majorBidi"/>
          <w:b/>
          <w:bCs/>
          <w:color w:val="000000"/>
          <w:sz w:val="24"/>
          <w:szCs w:val="24"/>
        </w:rPr>
        <w:t>prediction</w:t>
      </w:r>
    </w:p>
    <w:p w14:paraId="303EADE3" w14:textId="2CEA75ED" w:rsidR="007B3F63" w:rsidRPr="00CE6915" w:rsidRDefault="008C7A7C" w:rsidP="00663870">
      <w:pPr>
        <w:spacing w:line="480" w:lineRule="auto"/>
        <w:rPr>
          <w:rFonts w:asciiTheme="majorBidi" w:hAnsiTheme="majorBidi" w:cstheme="majorBidi"/>
          <w:b/>
          <w:color w:val="000000"/>
          <w:sz w:val="24"/>
          <w:szCs w:val="24"/>
        </w:rPr>
      </w:pPr>
      <w:r w:rsidRPr="00CE6915">
        <w:rPr>
          <w:rFonts w:asciiTheme="majorBidi" w:hAnsiTheme="majorBidi" w:cstheme="majorBidi"/>
          <w:b/>
          <w:color w:val="000000"/>
          <w:sz w:val="24"/>
          <w:szCs w:val="24"/>
        </w:rPr>
        <w:t>SUPPLEMENTAL MATERIALS</w:t>
      </w:r>
    </w:p>
    <w:p w14:paraId="7C224884" w14:textId="38877B80" w:rsidR="00C47F0C" w:rsidRPr="00CE6915" w:rsidRDefault="00C47F0C" w:rsidP="00BC4263">
      <w:pPr>
        <w:rPr>
          <w:rFonts w:asciiTheme="majorBidi" w:hAnsiTheme="majorBidi" w:cstheme="majorBidi"/>
          <w:color w:val="000000"/>
          <w:sz w:val="24"/>
          <w:szCs w:val="24"/>
        </w:rPr>
      </w:pPr>
    </w:p>
    <w:p w14:paraId="03FA920E" w14:textId="0246D263" w:rsidR="0015110F" w:rsidRPr="00CE6915" w:rsidRDefault="0015110F" w:rsidP="00E62177">
      <w:pPr>
        <w:spacing w:line="276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CE6915">
        <w:rPr>
          <w:rFonts w:ascii="Times New Roman" w:hAnsi="Times New Roman" w:cs="Times New Roman"/>
          <w:i/>
          <w:iCs/>
          <w:color w:val="000000"/>
          <w:sz w:val="24"/>
          <w:szCs w:val="24"/>
        </w:rPr>
        <w:t>METHODS COMMENTS</w:t>
      </w:r>
    </w:p>
    <w:p w14:paraId="3EC1D597" w14:textId="77777777" w:rsidR="0015110F" w:rsidRPr="00CE6915" w:rsidRDefault="0015110F" w:rsidP="00E62177">
      <w:pPr>
        <w:spacing w:line="276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68E74894" w14:textId="4A46C11E" w:rsidR="0015110F" w:rsidRPr="00CE6915" w:rsidRDefault="00E62177" w:rsidP="00E62177">
      <w:pPr>
        <w:pStyle w:val="ListParagraph"/>
        <w:numPr>
          <w:ilvl w:val="0"/>
          <w:numId w:val="24"/>
        </w:numPr>
        <w:spacing w:after="0"/>
        <w:contextualSpacing/>
        <w:rPr>
          <w:color w:val="000000"/>
          <w:szCs w:val="24"/>
        </w:rPr>
      </w:pPr>
      <w:r w:rsidRPr="00CE6915">
        <w:rPr>
          <w:rFonts w:eastAsiaTheme="minorHAnsi"/>
          <w:color w:val="000000"/>
          <w:szCs w:val="24"/>
        </w:rPr>
        <w:t>I</w:t>
      </w:r>
      <w:r w:rsidR="0015110F" w:rsidRPr="00CE6915">
        <w:rPr>
          <w:rFonts w:eastAsiaTheme="minorHAnsi"/>
          <w:color w:val="000000"/>
          <w:szCs w:val="24"/>
        </w:rPr>
        <w:t>llustration</w:t>
      </w:r>
      <w:r w:rsidRPr="00CE6915">
        <w:rPr>
          <w:rFonts w:eastAsiaTheme="minorHAnsi"/>
          <w:color w:val="000000"/>
          <w:szCs w:val="24"/>
        </w:rPr>
        <w:t>s</w:t>
      </w:r>
      <w:r w:rsidR="0015110F" w:rsidRPr="00CE6915">
        <w:rPr>
          <w:rFonts w:eastAsiaTheme="minorHAnsi"/>
          <w:color w:val="000000"/>
          <w:szCs w:val="24"/>
        </w:rPr>
        <w:t xml:space="preserve"> of the model decision tree (Appendix Figure </w:t>
      </w:r>
      <w:r w:rsidR="002D1CE1" w:rsidRPr="00CE6915">
        <w:rPr>
          <w:rFonts w:eastAsiaTheme="minorHAnsi"/>
          <w:color w:val="000000"/>
          <w:szCs w:val="24"/>
        </w:rPr>
        <w:t>A</w:t>
      </w:r>
      <w:r w:rsidR="0015110F" w:rsidRPr="00CE6915">
        <w:rPr>
          <w:rFonts w:eastAsiaTheme="minorHAnsi"/>
          <w:color w:val="000000"/>
          <w:szCs w:val="24"/>
        </w:rPr>
        <w:t xml:space="preserve">1) and Markov model (Appendix Figure </w:t>
      </w:r>
      <w:r w:rsidR="002D1CE1" w:rsidRPr="00CE6915">
        <w:rPr>
          <w:rFonts w:eastAsiaTheme="minorHAnsi"/>
          <w:color w:val="000000"/>
          <w:szCs w:val="24"/>
        </w:rPr>
        <w:t>A</w:t>
      </w:r>
      <w:r w:rsidR="0015110F" w:rsidRPr="00CE6915">
        <w:rPr>
          <w:rFonts w:eastAsiaTheme="minorHAnsi"/>
          <w:color w:val="000000"/>
          <w:szCs w:val="24"/>
        </w:rPr>
        <w:t>2) are included below.</w:t>
      </w:r>
      <w:r w:rsidR="00F3751B" w:rsidRPr="00CE6915">
        <w:rPr>
          <w:rFonts w:eastAsiaTheme="minorHAnsi"/>
          <w:color w:val="000000"/>
          <w:szCs w:val="24"/>
        </w:rPr>
        <w:t xml:space="preserve"> No half-cycle correction was used for the Markov model due to the very short length of the model states (1 week).</w:t>
      </w:r>
    </w:p>
    <w:p w14:paraId="2B722F0E" w14:textId="77777777" w:rsidR="00E62177" w:rsidRPr="00CE6915" w:rsidRDefault="00E62177" w:rsidP="00E62177">
      <w:pPr>
        <w:pStyle w:val="ListParagraph"/>
        <w:spacing w:after="0"/>
        <w:contextualSpacing/>
        <w:rPr>
          <w:color w:val="000000"/>
          <w:szCs w:val="24"/>
        </w:rPr>
      </w:pPr>
    </w:p>
    <w:p w14:paraId="6E4EA503" w14:textId="39EC59BD" w:rsidR="00A26E6E" w:rsidRPr="00CE6915" w:rsidRDefault="00213E13" w:rsidP="00A431A8">
      <w:pPr>
        <w:pStyle w:val="ListParagraph"/>
        <w:numPr>
          <w:ilvl w:val="0"/>
          <w:numId w:val="24"/>
        </w:numPr>
        <w:spacing w:after="0"/>
        <w:contextualSpacing/>
        <w:rPr>
          <w:color w:val="000000"/>
          <w:szCs w:val="24"/>
        </w:rPr>
      </w:pPr>
      <w:r w:rsidRPr="00CE6915">
        <w:rPr>
          <w:rFonts w:eastAsiaTheme="minorHAnsi"/>
          <w:color w:val="000000"/>
          <w:szCs w:val="24"/>
        </w:rPr>
        <w:t>Details of the p</w:t>
      </w:r>
      <w:r w:rsidR="0015110F" w:rsidRPr="00CE6915">
        <w:rPr>
          <w:color w:val="000000"/>
          <w:szCs w:val="24"/>
        </w:rPr>
        <w:t xml:space="preserve">rogesterone and HICM cost calculations </w:t>
      </w:r>
      <w:r w:rsidRPr="00CE6915">
        <w:rPr>
          <w:color w:val="000000"/>
          <w:szCs w:val="24"/>
        </w:rPr>
        <w:t>are available from the corresponding author upon request.</w:t>
      </w:r>
      <w:r w:rsidR="00096F6F" w:rsidRPr="00CE6915">
        <w:rPr>
          <w:color w:val="000000"/>
          <w:szCs w:val="24"/>
        </w:rPr>
        <w:t xml:space="preserve"> </w:t>
      </w:r>
      <w:r w:rsidR="006444E6" w:rsidRPr="00CE6915">
        <w:rPr>
          <w:color w:val="000000"/>
          <w:szCs w:val="24"/>
        </w:rPr>
        <w:t xml:space="preserve">Costs for mothers are based on a cohort with complete enrollment during pregnancy and ≥12 months enrollment after delivery. </w:t>
      </w:r>
      <w:r w:rsidR="00A26E6E" w:rsidRPr="00CE6915">
        <w:rPr>
          <w:color w:val="000000"/>
          <w:szCs w:val="24"/>
        </w:rPr>
        <w:t xml:space="preserve">Costs from infants with </w:t>
      </w:r>
      <w:r w:rsidR="006444E6" w:rsidRPr="00CE6915">
        <w:rPr>
          <w:color w:val="000000"/>
          <w:szCs w:val="24"/>
        </w:rPr>
        <w:t>partial</w:t>
      </w:r>
      <w:r w:rsidR="00A26E6E" w:rsidRPr="00CE6915">
        <w:rPr>
          <w:color w:val="000000"/>
          <w:szCs w:val="24"/>
        </w:rPr>
        <w:t xml:space="preserve"> enrollment </w:t>
      </w:r>
      <w:r w:rsidR="006444E6" w:rsidRPr="00CE6915">
        <w:rPr>
          <w:color w:val="000000"/>
          <w:szCs w:val="24"/>
        </w:rPr>
        <w:t xml:space="preserve">(&lt;12 or &lt;30 months) </w:t>
      </w:r>
      <w:r w:rsidR="00A26E6E" w:rsidRPr="00CE6915">
        <w:rPr>
          <w:color w:val="000000"/>
          <w:szCs w:val="24"/>
        </w:rPr>
        <w:t>after birth were included over the time period available, without further adjustment.</w:t>
      </w:r>
      <w:r w:rsidR="00055C46" w:rsidRPr="00CE6915">
        <w:rPr>
          <w:color w:val="000000"/>
          <w:szCs w:val="24"/>
        </w:rPr>
        <w:t xml:space="preserve"> </w:t>
      </w:r>
      <w:r w:rsidR="00A26E6E" w:rsidRPr="00CE6915">
        <w:rPr>
          <w:color w:val="000000"/>
          <w:szCs w:val="24"/>
        </w:rPr>
        <w:t>Death events are reflected through their effect on costs and not explicitly modelled (except</w:t>
      </w:r>
      <w:r w:rsidR="00CD5131" w:rsidRPr="00CE6915">
        <w:rPr>
          <w:color w:val="000000"/>
          <w:szCs w:val="24"/>
        </w:rPr>
        <w:t xml:space="preserve"> as part of the NMI as described below)</w:t>
      </w:r>
      <w:r w:rsidR="00A26E6E" w:rsidRPr="00CE6915">
        <w:rPr>
          <w:color w:val="000000"/>
          <w:szCs w:val="24"/>
        </w:rPr>
        <w:t>.</w:t>
      </w:r>
    </w:p>
    <w:p w14:paraId="2D5A3E0F" w14:textId="77777777" w:rsidR="00E62177" w:rsidRPr="00CE6915" w:rsidRDefault="00E62177" w:rsidP="00E62177">
      <w:pPr>
        <w:spacing w:line="276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p w14:paraId="78C2C24E" w14:textId="6977F0F1" w:rsidR="00491690" w:rsidRPr="00CE6915" w:rsidRDefault="0079439A" w:rsidP="00096F6F">
      <w:pPr>
        <w:pStyle w:val="ListParagraph"/>
        <w:numPr>
          <w:ilvl w:val="0"/>
          <w:numId w:val="24"/>
        </w:numPr>
        <w:spacing w:after="0"/>
        <w:contextualSpacing/>
        <w:rPr>
          <w:color w:val="000000"/>
          <w:szCs w:val="24"/>
        </w:rPr>
      </w:pPr>
      <w:r w:rsidRPr="00CE6915">
        <w:rPr>
          <w:color w:val="000000"/>
          <w:szCs w:val="24"/>
        </w:rPr>
        <w:t>Handling of missing data</w:t>
      </w:r>
      <w:r w:rsidR="00096F6F" w:rsidRPr="00CE6915">
        <w:rPr>
          <w:color w:val="000000"/>
          <w:szCs w:val="24"/>
        </w:rPr>
        <w:t xml:space="preserve">: </w:t>
      </w:r>
      <w:r w:rsidR="00491690" w:rsidRPr="00CE6915">
        <w:rPr>
          <w:color w:val="000000"/>
          <w:szCs w:val="24"/>
        </w:rPr>
        <w:t xml:space="preserve">For </w:t>
      </w:r>
      <w:r w:rsidR="000F75F9" w:rsidRPr="00CE6915">
        <w:rPr>
          <w:color w:val="000000"/>
          <w:szCs w:val="24"/>
        </w:rPr>
        <w:t>S</w:t>
      </w:r>
      <w:r w:rsidR="00491690" w:rsidRPr="00CE6915">
        <w:rPr>
          <w:color w:val="000000"/>
          <w:szCs w:val="24"/>
        </w:rPr>
        <w:t>cenario 3, costs during 13-30 months for continuously enrolled infants born at week 2</w:t>
      </w:r>
      <w:r w:rsidR="00096F6F" w:rsidRPr="00CE6915">
        <w:rPr>
          <w:color w:val="000000"/>
          <w:szCs w:val="24"/>
        </w:rPr>
        <w:t>3</w:t>
      </w:r>
      <w:r w:rsidR="00491690" w:rsidRPr="00CE6915">
        <w:rPr>
          <w:color w:val="000000"/>
          <w:szCs w:val="24"/>
        </w:rPr>
        <w:t xml:space="preserve"> were missing and were imputed using costs of those born in week 2</w:t>
      </w:r>
      <w:r w:rsidR="00096F6F" w:rsidRPr="00CE6915">
        <w:rPr>
          <w:color w:val="000000"/>
          <w:szCs w:val="24"/>
        </w:rPr>
        <w:t>4</w:t>
      </w:r>
      <w:r w:rsidR="00491690" w:rsidRPr="00CE6915">
        <w:rPr>
          <w:color w:val="000000"/>
          <w:szCs w:val="24"/>
        </w:rPr>
        <w:t>.</w:t>
      </w:r>
      <w:r w:rsidR="00096F6F" w:rsidRPr="00CE6915">
        <w:rPr>
          <w:color w:val="000000"/>
          <w:szCs w:val="24"/>
        </w:rPr>
        <w:t xml:space="preserve"> No other missing data issues occurred.</w:t>
      </w:r>
    </w:p>
    <w:p w14:paraId="7888E9C7" w14:textId="77777777" w:rsidR="0079439A" w:rsidRPr="00CE6915" w:rsidRDefault="0079439A" w:rsidP="0079439A">
      <w:pPr>
        <w:pStyle w:val="ListParagraph"/>
        <w:rPr>
          <w:color w:val="000000"/>
          <w:szCs w:val="24"/>
        </w:rPr>
      </w:pPr>
    </w:p>
    <w:p w14:paraId="4D7171F2" w14:textId="66AF4548" w:rsidR="00213E13" w:rsidRPr="00CE6915" w:rsidRDefault="00213E13" w:rsidP="00E62177">
      <w:pPr>
        <w:pStyle w:val="ListParagraph"/>
        <w:numPr>
          <w:ilvl w:val="0"/>
          <w:numId w:val="24"/>
        </w:numPr>
        <w:spacing w:after="0"/>
        <w:contextualSpacing/>
        <w:rPr>
          <w:color w:val="000000"/>
          <w:szCs w:val="24"/>
        </w:rPr>
      </w:pPr>
      <w:r w:rsidRPr="00CE6915">
        <w:rPr>
          <w:color w:val="000000"/>
          <w:szCs w:val="24"/>
        </w:rPr>
        <w:t xml:space="preserve">The neonatal mortality/morbidity index was adapted for a claims environment from the following article: </w:t>
      </w:r>
      <w:r w:rsidRPr="00CE6915">
        <w:rPr>
          <w:i/>
          <w:iCs/>
          <w:color w:val="000000"/>
          <w:szCs w:val="24"/>
        </w:rPr>
        <w:t>Hassan SS, Romero R, Vidyadhari D, et al. Vaginal progesterone reduces the rate of preterm birth in women with a sonographic short cervix: a multicenter, randomized, double-blind, placebo-controlled trial. Ultrasound in obstetrics &amp; gynecology: the official journal of the International Society of Ultrasound in Obstetrics and Gynecology. 2011;38(1):18-31.</w:t>
      </w:r>
    </w:p>
    <w:p w14:paraId="11BC3B39" w14:textId="6ABFB504" w:rsidR="00213E13" w:rsidRPr="00CE6915" w:rsidRDefault="00213E13" w:rsidP="00E62177">
      <w:pPr>
        <w:pStyle w:val="ListParagraph"/>
        <w:numPr>
          <w:ilvl w:val="1"/>
          <w:numId w:val="24"/>
        </w:numPr>
        <w:spacing w:after="0"/>
        <w:contextualSpacing/>
        <w:rPr>
          <w:color w:val="000000"/>
          <w:szCs w:val="24"/>
        </w:rPr>
      </w:pPr>
      <w:r w:rsidRPr="00CE6915">
        <w:rPr>
          <w:color w:val="000000"/>
          <w:szCs w:val="24"/>
        </w:rPr>
        <w:t>Specifically, the article’s supplementary material (Appendix S1) defines</w:t>
      </w:r>
      <w:r w:rsidR="004545E9" w:rsidRPr="00CE6915">
        <w:rPr>
          <w:color w:val="000000"/>
          <w:szCs w:val="24"/>
        </w:rPr>
        <w:t xml:space="preserve"> 4 separate “Composite Perinatal Mortality/Neonatal Morbidity Outcome Scores”. We used the “0 to 4 scale with NICU”</w:t>
      </w:r>
      <w:r w:rsidR="005550A6" w:rsidRPr="00CE6915">
        <w:rPr>
          <w:color w:val="000000"/>
          <w:szCs w:val="24"/>
        </w:rPr>
        <w:t xml:space="preserve"> and a timeframe of birth to 30 days after birth for an assessment of morbidity</w:t>
      </w:r>
      <w:r w:rsidR="0097516A" w:rsidRPr="00CE6915">
        <w:rPr>
          <w:color w:val="000000"/>
          <w:szCs w:val="24"/>
        </w:rPr>
        <w:t xml:space="preserve"> and mortality</w:t>
      </w:r>
      <w:r w:rsidR="005550A6" w:rsidRPr="00CE6915">
        <w:rPr>
          <w:color w:val="000000"/>
          <w:szCs w:val="24"/>
        </w:rPr>
        <w:t xml:space="preserve"> events.</w:t>
      </w:r>
    </w:p>
    <w:p w14:paraId="7A899A13" w14:textId="121FDA86" w:rsidR="005550A6" w:rsidRPr="00CE6915" w:rsidRDefault="005550A6" w:rsidP="00E62177">
      <w:pPr>
        <w:pStyle w:val="ListParagraph"/>
        <w:numPr>
          <w:ilvl w:val="1"/>
          <w:numId w:val="24"/>
        </w:numPr>
        <w:spacing w:after="0"/>
        <w:contextualSpacing/>
        <w:rPr>
          <w:color w:val="000000"/>
          <w:szCs w:val="24"/>
        </w:rPr>
      </w:pPr>
      <w:r w:rsidRPr="00CE6915">
        <w:rPr>
          <w:color w:val="000000"/>
          <w:szCs w:val="24"/>
        </w:rPr>
        <w:t>A list of ICD-10-CM codes to identify each morbidity event from claims is available from the corresponding author upon request.</w:t>
      </w:r>
    </w:p>
    <w:p w14:paraId="6B0F0252" w14:textId="606425A7" w:rsidR="0097516A" w:rsidRPr="00CE6915" w:rsidRDefault="00E7629B" w:rsidP="00E62177">
      <w:pPr>
        <w:pStyle w:val="ListParagraph"/>
        <w:numPr>
          <w:ilvl w:val="1"/>
          <w:numId w:val="24"/>
        </w:numPr>
        <w:spacing w:after="0"/>
        <w:contextualSpacing/>
        <w:rPr>
          <w:color w:val="000000"/>
          <w:szCs w:val="24"/>
        </w:rPr>
      </w:pPr>
      <w:r w:rsidRPr="00CE6915">
        <w:rPr>
          <w:color w:val="000000"/>
          <w:szCs w:val="24"/>
        </w:rPr>
        <w:t>N</w:t>
      </w:r>
      <w:r w:rsidR="0024547C" w:rsidRPr="00CE6915">
        <w:rPr>
          <w:color w:val="000000"/>
          <w:szCs w:val="24"/>
        </w:rPr>
        <w:t>eo</w:t>
      </w:r>
      <w:r w:rsidR="0097516A" w:rsidRPr="00CE6915">
        <w:rPr>
          <w:color w:val="000000"/>
          <w:szCs w:val="24"/>
        </w:rPr>
        <w:t>natal mortality was determined from inpatient discharge records, enrollment data, and the Death Master File of the Social Security Administration.</w:t>
      </w:r>
      <w:r w:rsidR="003E1717" w:rsidRPr="00CE6915">
        <w:rPr>
          <w:color w:val="000000"/>
        </w:rPr>
        <w:t xml:space="preserve"> </w:t>
      </w:r>
      <w:r w:rsidR="003E1717" w:rsidRPr="00CE6915">
        <w:rPr>
          <w:color w:val="000000"/>
          <w:szCs w:val="24"/>
        </w:rPr>
        <w:t>As stillbirths were excluded, mortality estimates are conservative.</w:t>
      </w:r>
    </w:p>
    <w:p w14:paraId="70977AA2" w14:textId="57C6DF8E" w:rsidR="0097516A" w:rsidRPr="00CE6915" w:rsidRDefault="0097516A" w:rsidP="00E62177">
      <w:pPr>
        <w:pStyle w:val="ListParagraph"/>
        <w:numPr>
          <w:ilvl w:val="1"/>
          <w:numId w:val="24"/>
        </w:numPr>
        <w:spacing w:after="0"/>
        <w:contextualSpacing/>
        <w:rPr>
          <w:color w:val="000000"/>
          <w:szCs w:val="24"/>
        </w:rPr>
      </w:pPr>
      <w:r w:rsidRPr="00CE6915">
        <w:rPr>
          <w:color w:val="000000"/>
          <w:szCs w:val="24"/>
        </w:rPr>
        <w:t>Validation of this claims-based implementation of the NMI is a subject for future research.</w:t>
      </w:r>
    </w:p>
    <w:p w14:paraId="04518D43" w14:textId="77777777" w:rsidR="00E62177" w:rsidRPr="00CE6915" w:rsidRDefault="00E62177" w:rsidP="00E62177">
      <w:pPr>
        <w:pStyle w:val="ListParagraph"/>
        <w:spacing w:after="0"/>
        <w:contextualSpacing/>
        <w:rPr>
          <w:color w:val="000000"/>
          <w:szCs w:val="24"/>
        </w:rPr>
      </w:pPr>
    </w:p>
    <w:p w14:paraId="6E98E60D" w14:textId="3728077A" w:rsidR="0097516A" w:rsidRPr="00CE6915" w:rsidRDefault="0097516A" w:rsidP="00E62177">
      <w:pPr>
        <w:pStyle w:val="ListParagraph"/>
        <w:numPr>
          <w:ilvl w:val="0"/>
          <w:numId w:val="24"/>
        </w:numPr>
        <w:spacing w:after="0"/>
        <w:contextualSpacing/>
        <w:rPr>
          <w:color w:val="000000"/>
          <w:szCs w:val="24"/>
        </w:rPr>
      </w:pPr>
      <w:r w:rsidRPr="00CE6915">
        <w:rPr>
          <w:color w:val="000000"/>
          <w:szCs w:val="24"/>
        </w:rPr>
        <w:lastRenderedPageBreak/>
        <w:t>Derivation of risk ratios</w:t>
      </w:r>
      <w:r w:rsidR="00E62177" w:rsidRPr="00CE6915">
        <w:rPr>
          <w:color w:val="000000"/>
          <w:szCs w:val="24"/>
        </w:rPr>
        <w:t xml:space="preserve">: </w:t>
      </w:r>
      <w:r w:rsidRPr="00CE6915">
        <w:rPr>
          <w:color w:val="000000"/>
          <w:szCs w:val="24"/>
        </w:rPr>
        <w:t>Counts of deliveries in untreated and treated groups categorized by gestational age brackets were obtained from published data on studies of vaginal progesterone, 17-α-hydroxyprogesterone caproate (17-OHPC), high intensity case management, or bundles of two or more of these modalities.</w:t>
      </w:r>
      <w:r w:rsidRPr="00CE6915">
        <w:rPr>
          <w:color w:val="000000"/>
          <w:szCs w:val="24"/>
          <w:vertAlign w:val="superscript"/>
        </w:rPr>
        <w:t>1-8</w:t>
      </w:r>
      <w:r w:rsidRPr="00CE6915">
        <w:rPr>
          <w:color w:val="000000"/>
          <w:szCs w:val="24"/>
        </w:rPr>
        <w:t xml:space="preserve"> Simple random-effects analysis at gestational age boundaries &lt;32, &lt;35 and &lt;37 weeks across all treatment types showed significant efficacy, with no significant heterogeneity at &lt;32 or &lt;35 weeks. A joint analysis across all studies and gestational age brackets was conducted using a multivariate, multilevel random effects model with a heteroscedastic autoregressive structure and gestational age at delivery as a moderator. Treatment efficacy was significant and gestational age at treatment was a significant moderator with direction of effect showing improvement in efficacy at earlier gestational ages. We carried out sub-analyses of studies stratified by treatment type to obtain treatment-type-specific efficacy estimates. Notably, the estimate of the efficacy of bundled </w:t>
      </w:r>
      <w:r w:rsidR="004F27D8" w:rsidRPr="00CE6915">
        <w:rPr>
          <w:color w:val="000000"/>
          <w:szCs w:val="24"/>
        </w:rPr>
        <w:t>treatments</w:t>
      </w:r>
      <w:r w:rsidRPr="00CE6915">
        <w:rPr>
          <w:color w:val="000000"/>
          <w:szCs w:val="24"/>
          <w:vertAlign w:val="superscript"/>
        </w:rPr>
        <w:t>3,8</w:t>
      </w:r>
      <w:r w:rsidRPr="00CE6915">
        <w:rPr>
          <w:color w:val="000000"/>
          <w:szCs w:val="24"/>
        </w:rPr>
        <w:t xml:space="preserve"> was nearly identical to the summed efficacies of 17-OHPC</w:t>
      </w:r>
      <w:r w:rsidRPr="00CE6915">
        <w:rPr>
          <w:color w:val="000000"/>
          <w:szCs w:val="24"/>
          <w:vertAlign w:val="superscript"/>
        </w:rPr>
        <w:t>1,4,7</w:t>
      </w:r>
      <w:r w:rsidRPr="00CE6915">
        <w:rPr>
          <w:color w:val="000000"/>
          <w:szCs w:val="24"/>
        </w:rPr>
        <w:t xml:space="preserve"> and HICM</w:t>
      </w:r>
      <w:r w:rsidRPr="00CE6915">
        <w:rPr>
          <w:color w:val="000000"/>
          <w:szCs w:val="24"/>
          <w:vertAlign w:val="superscript"/>
        </w:rPr>
        <w:t>2,5</w:t>
      </w:r>
      <w:r w:rsidRPr="00CE6915">
        <w:rPr>
          <w:color w:val="000000"/>
          <w:szCs w:val="24"/>
        </w:rPr>
        <w:t xml:space="preserve">, providing support from seven studies for the additive efficacy of treatments in combination. Three </w:t>
      </w:r>
      <w:r w:rsidR="004F27D8" w:rsidRPr="00CE6915">
        <w:rPr>
          <w:color w:val="000000"/>
          <w:szCs w:val="24"/>
        </w:rPr>
        <w:t>treatment</w:t>
      </w:r>
      <w:r w:rsidRPr="00CE6915">
        <w:rPr>
          <w:color w:val="000000"/>
          <w:szCs w:val="24"/>
        </w:rPr>
        <w:t xml:space="preserve"> effect sizes were established for analysis</w:t>
      </w:r>
      <w:r w:rsidR="004C265F" w:rsidRPr="00CE6915">
        <w:rPr>
          <w:color w:val="000000"/>
          <w:szCs w:val="24"/>
        </w:rPr>
        <w:t>:</w:t>
      </w:r>
    </w:p>
    <w:p w14:paraId="7ABE6C77" w14:textId="4F114A33" w:rsidR="0097516A" w:rsidRPr="00CE6915" w:rsidRDefault="0097516A" w:rsidP="00E62177">
      <w:pPr>
        <w:pStyle w:val="ListParagraph"/>
        <w:numPr>
          <w:ilvl w:val="0"/>
          <w:numId w:val="37"/>
        </w:numPr>
        <w:spacing w:after="0"/>
        <w:contextualSpacing/>
        <w:rPr>
          <w:color w:val="000000"/>
          <w:szCs w:val="24"/>
        </w:rPr>
      </w:pPr>
      <w:r w:rsidRPr="00CE6915">
        <w:rPr>
          <w:color w:val="000000"/>
          <w:szCs w:val="24"/>
        </w:rPr>
        <w:t xml:space="preserve">Lower effectiveness: the central estimate across all </w:t>
      </w:r>
      <w:r w:rsidR="004F27D8" w:rsidRPr="00CE6915">
        <w:rPr>
          <w:color w:val="000000"/>
          <w:szCs w:val="24"/>
        </w:rPr>
        <w:t>treatment</w:t>
      </w:r>
      <w:r w:rsidRPr="00CE6915">
        <w:rPr>
          <w:color w:val="000000"/>
          <w:szCs w:val="24"/>
        </w:rPr>
        <w:t xml:space="preserve"> types and studies combined, largely reflective of single-modality </w:t>
      </w:r>
      <w:r w:rsidR="00E67E07" w:rsidRPr="00CE6915">
        <w:rPr>
          <w:color w:val="000000"/>
          <w:szCs w:val="24"/>
        </w:rPr>
        <w:t xml:space="preserve">treatment </w:t>
      </w:r>
      <w:r w:rsidRPr="00CE6915">
        <w:rPr>
          <w:color w:val="000000"/>
          <w:szCs w:val="24"/>
        </w:rPr>
        <w:t>effects.</w:t>
      </w:r>
      <w:r w:rsidRPr="00CE6915">
        <w:rPr>
          <w:color w:val="000000"/>
          <w:szCs w:val="24"/>
          <w:vertAlign w:val="superscript"/>
        </w:rPr>
        <w:t>1-8</w:t>
      </w:r>
    </w:p>
    <w:p w14:paraId="76541939" w14:textId="1BC988C1" w:rsidR="0097516A" w:rsidRPr="00CE6915" w:rsidRDefault="0097516A" w:rsidP="00E62177">
      <w:pPr>
        <w:pStyle w:val="ListParagraph"/>
        <w:numPr>
          <w:ilvl w:val="0"/>
          <w:numId w:val="37"/>
        </w:numPr>
        <w:spacing w:after="0"/>
        <w:contextualSpacing/>
        <w:rPr>
          <w:color w:val="000000"/>
          <w:szCs w:val="24"/>
        </w:rPr>
      </w:pPr>
      <w:r w:rsidRPr="00CE6915">
        <w:rPr>
          <w:color w:val="000000"/>
          <w:szCs w:val="24"/>
        </w:rPr>
        <w:t xml:space="preserve">Base case: the central estimate for studies with bundled </w:t>
      </w:r>
      <w:r w:rsidR="00E67E07" w:rsidRPr="00CE6915">
        <w:rPr>
          <w:color w:val="000000"/>
          <w:szCs w:val="24"/>
        </w:rPr>
        <w:t>treatments</w:t>
      </w:r>
      <w:r w:rsidRPr="00CE6915">
        <w:rPr>
          <w:color w:val="000000"/>
          <w:szCs w:val="24"/>
        </w:rPr>
        <w:t>.</w:t>
      </w:r>
      <w:r w:rsidRPr="00CE6915">
        <w:rPr>
          <w:color w:val="000000"/>
          <w:szCs w:val="24"/>
          <w:vertAlign w:val="superscript"/>
        </w:rPr>
        <w:t>3,8</w:t>
      </w:r>
      <w:r w:rsidRPr="00CE6915">
        <w:rPr>
          <w:color w:val="000000"/>
          <w:szCs w:val="24"/>
        </w:rPr>
        <w:t xml:space="preserve"> </w:t>
      </w:r>
    </w:p>
    <w:p w14:paraId="135893A0" w14:textId="6D34BC9B" w:rsidR="0097516A" w:rsidRPr="00CE6915" w:rsidRDefault="0097516A" w:rsidP="00E62177">
      <w:pPr>
        <w:pStyle w:val="ListParagraph"/>
        <w:numPr>
          <w:ilvl w:val="0"/>
          <w:numId w:val="37"/>
        </w:numPr>
        <w:spacing w:after="0"/>
        <w:contextualSpacing/>
        <w:rPr>
          <w:color w:val="000000"/>
          <w:szCs w:val="24"/>
        </w:rPr>
      </w:pPr>
      <w:r w:rsidRPr="00CE6915">
        <w:rPr>
          <w:color w:val="000000"/>
          <w:szCs w:val="24"/>
        </w:rPr>
        <w:t xml:space="preserve">Higher effectiveness: the estimated effect size from a recent RCT incorporating the protein ratio test and intensive bundled </w:t>
      </w:r>
      <w:r w:rsidR="00E67E07" w:rsidRPr="00CE6915">
        <w:rPr>
          <w:color w:val="000000"/>
          <w:szCs w:val="24"/>
        </w:rPr>
        <w:t>treatments</w:t>
      </w:r>
      <w:r w:rsidRPr="00CE6915">
        <w:rPr>
          <w:color w:val="000000"/>
          <w:szCs w:val="24"/>
        </w:rPr>
        <w:t>.</w:t>
      </w:r>
      <w:r w:rsidRPr="00CE6915">
        <w:rPr>
          <w:color w:val="000000"/>
          <w:szCs w:val="24"/>
          <w:vertAlign w:val="superscript"/>
        </w:rPr>
        <w:t>8</w:t>
      </w:r>
    </w:p>
    <w:p w14:paraId="4824149A" w14:textId="77777777" w:rsidR="0097516A" w:rsidRPr="00CE6915" w:rsidRDefault="0097516A" w:rsidP="00E62177">
      <w:pPr>
        <w:spacing w:line="276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2B37299E" w14:textId="548AA7C2" w:rsidR="0097516A" w:rsidRPr="00CE6915" w:rsidRDefault="002F75D0" w:rsidP="00E62177">
      <w:pPr>
        <w:pStyle w:val="ListParagraph"/>
        <w:numPr>
          <w:ilvl w:val="0"/>
          <w:numId w:val="36"/>
        </w:numPr>
        <w:spacing w:after="0"/>
        <w:contextualSpacing/>
        <w:rPr>
          <w:rFonts w:eastAsia="Times New Roman"/>
          <w:color w:val="000000"/>
          <w:szCs w:val="24"/>
        </w:rPr>
      </w:pPr>
      <w:r w:rsidRPr="00CE6915">
        <w:rPr>
          <w:rFonts w:eastAsia="Times New Roman"/>
          <w:color w:val="000000"/>
          <w:szCs w:val="24"/>
        </w:rPr>
        <w:t xml:space="preserve">Meis PJ, Klebanoff M, Thom E, et al. Prevention of recurrent preterm delivery by 17 alpha-hydroxyprogesterone caproate. </w:t>
      </w:r>
      <w:r w:rsidRPr="00CE6915">
        <w:rPr>
          <w:rFonts w:eastAsia="Times New Roman"/>
          <w:i/>
          <w:iCs/>
          <w:color w:val="000000"/>
          <w:szCs w:val="24"/>
        </w:rPr>
        <w:t>N Engl J Med.</w:t>
      </w:r>
      <w:r w:rsidRPr="00CE6915">
        <w:rPr>
          <w:rFonts w:eastAsia="Times New Roman"/>
          <w:color w:val="000000"/>
          <w:szCs w:val="24"/>
        </w:rPr>
        <w:t xml:space="preserve"> 2003; 348(24):2379-2385</w:t>
      </w:r>
      <w:r w:rsidR="0097516A" w:rsidRPr="00CE6915">
        <w:rPr>
          <w:rFonts w:eastAsia="Times New Roman"/>
          <w:color w:val="000000"/>
          <w:szCs w:val="24"/>
        </w:rPr>
        <w:t>.</w:t>
      </w:r>
    </w:p>
    <w:p w14:paraId="7E446BC9" w14:textId="66D18F90" w:rsidR="0097516A" w:rsidRPr="00CE6915" w:rsidRDefault="00D551E0" w:rsidP="00E62177">
      <w:pPr>
        <w:pStyle w:val="ListParagraph"/>
        <w:numPr>
          <w:ilvl w:val="0"/>
          <w:numId w:val="36"/>
        </w:numPr>
        <w:spacing w:after="0"/>
        <w:contextualSpacing/>
        <w:rPr>
          <w:rFonts w:eastAsia="Times New Roman"/>
          <w:color w:val="000000"/>
          <w:szCs w:val="24"/>
        </w:rPr>
      </w:pPr>
      <w:r w:rsidRPr="00CE6915">
        <w:rPr>
          <w:rFonts w:eastAsia="Times New Roman"/>
          <w:color w:val="000000"/>
          <w:szCs w:val="24"/>
        </w:rPr>
        <w:t xml:space="preserve">Newman RB, Sullivan SA, Menard MK, et al. South Carolina Partners for Preterm Birth Prevention: a regional perinatal initiative for the reduction of premature birth in a Medicaid population. </w:t>
      </w:r>
      <w:r w:rsidRPr="00CE6915">
        <w:rPr>
          <w:rFonts w:eastAsia="Times New Roman"/>
          <w:i/>
          <w:iCs/>
          <w:color w:val="000000"/>
          <w:szCs w:val="24"/>
        </w:rPr>
        <w:t>Am J Obstet Gynecol.</w:t>
      </w:r>
      <w:r w:rsidRPr="00CE6915">
        <w:rPr>
          <w:rFonts w:eastAsia="Times New Roman"/>
          <w:color w:val="000000"/>
          <w:szCs w:val="24"/>
        </w:rPr>
        <w:t xml:space="preserve"> 2008; 199(4):393.e391-398</w:t>
      </w:r>
      <w:r w:rsidR="0097516A" w:rsidRPr="00CE6915">
        <w:rPr>
          <w:rFonts w:eastAsia="Times New Roman"/>
          <w:color w:val="000000"/>
          <w:szCs w:val="24"/>
        </w:rPr>
        <w:t>.</w:t>
      </w:r>
    </w:p>
    <w:p w14:paraId="21E7F29C" w14:textId="526BC995" w:rsidR="0097516A" w:rsidRPr="00CE6915" w:rsidRDefault="002F75D0" w:rsidP="00E62177">
      <w:pPr>
        <w:pStyle w:val="ListParagraph"/>
        <w:numPr>
          <w:ilvl w:val="0"/>
          <w:numId w:val="36"/>
        </w:numPr>
        <w:spacing w:after="0"/>
        <w:contextualSpacing/>
        <w:rPr>
          <w:rFonts w:eastAsia="Times New Roman"/>
          <w:color w:val="000000"/>
          <w:szCs w:val="24"/>
        </w:rPr>
      </w:pPr>
      <w:r w:rsidRPr="00CE6915">
        <w:rPr>
          <w:rFonts w:eastAsia="Times New Roman"/>
          <w:color w:val="000000"/>
          <w:szCs w:val="24"/>
        </w:rPr>
        <w:t xml:space="preserve">Manuck TA, Henry E, Gibson J, et al. Pregnancy outcomes in a recurrent preterm birth prevention clinic. </w:t>
      </w:r>
      <w:r w:rsidRPr="00CE6915">
        <w:rPr>
          <w:rFonts w:eastAsia="Times New Roman"/>
          <w:i/>
          <w:iCs/>
          <w:color w:val="000000"/>
          <w:szCs w:val="24"/>
        </w:rPr>
        <w:t>Am J Obstet Gynecol.</w:t>
      </w:r>
      <w:r w:rsidRPr="00CE6915">
        <w:rPr>
          <w:rFonts w:eastAsia="Times New Roman"/>
          <w:color w:val="000000"/>
          <w:szCs w:val="24"/>
        </w:rPr>
        <w:t xml:space="preserve"> 2011; 204(4):320.e321-326</w:t>
      </w:r>
      <w:r w:rsidR="0097516A" w:rsidRPr="00CE6915">
        <w:rPr>
          <w:rFonts w:eastAsia="Times New Roman"/>
          <w:color w:val="000000"/>
          <w:szCs w:val="24"/>
        </w:rPr>
        <w:t>.</w:t>
      </w:r>
    </w:p>
    <w:p w14:paraId="5A53166C" w14:textId="2CA9CF38" w:rsidR="0097516A" w:rsidRPr="00CE6915" w:rsidRDefault="00D551E0" w:rsidP="00E62177">
      <w:pPr>
        <w:pStyle w:val="ListParagraph"/>
        <w:numPr>
          <w:ilvl w:val="0"/>
          <w:numId w:val="36"/>
        </w:numPr>
        <w:spacing w:after="0"/>
        <w:contextualSpacing/>
        <w:rPr>
          <w:rFonts w:eastAsia="Times New Roman"/>
          <w:color w:val="000000"/>
          <w:szCs w:val="24"/>
        </w:rPr>
      </w:pPr>
      <w:r w:rsidRPr="00CE6915">
        <w:rPr>
          <w:rFonts w:eastAsia="Times New Roman"/>
          <w:color w:val="000000"/>
          <w:szCs w:val="24"/>
        </w:rPr>
        <w:t xml:space="preserve">Grobman WA, Thom EA, Spong CY, et al. 17 alpha-hydroxyprogesterone caproate to prevent prematurity in nulliparas with cervical length less than 30 mm. </w:t>
      </w:r>
      <w:r w:rsidRPr="00CE6915">
        <w:rPr>
          <w:rFonts w:eastAsia="Times New Roman"/>
          <w:i/>
          <w:iCs/>
          <w:color w:val="000000"/>
          <w:szCs w:val="24"/>
        </w:rPr>
        <w:t>Am J Obstet Gynecol.</w:t>
      </w:r>
      <w:r w:rsidRPr="00CE6915">
        <w:rPr>
          <w:rFonts w:eastAsia="Times New Roman"/>
          <w:color w:val="000000"/>
          <w:szCs w:val="24"/>
        </w:rPr>
        <w:t xml:space="preserve"> 2012; 207(5):390.e391-398</w:t>
      </w:r>
      <w:r w:rsidR="0097516A" w:rsidRPr="00CE6915">
        <w:rPr>
          <w:rFonts w:eastAsia="Times New Roman"/>
          <w:color w:val="000000"/>
          <w:szCs w:val="24"/>
        </w:rPr>
        <w:t>.</w:t>
      </w:r>
    </w:p>
    <w:p w14:paraId="40901F93" w14:textId="04C1BC3E" w:rsidR="0097516A" w:rsidRPr="00CE6915" w:rsidRDefault="002F75D0" w:rsidP="00E62177">
      <w:pPr>
        <w:pStyle w:val="ListParagraph"/>
        <w:numPr>
          <w:ilvl w:val="0"/>
          <w:numId w:val="36"/>
        </w:numPr>
        <w:spacing w:after="0"/>
        <w:contextualSpacing/>
        <w:rPr>
          <w:rFonts w:eastAsia="Times New Roman"/>
          <w:color w:val="000000"/>
          <w:szCs w:val="24"/>
        </w:rPr>
      </w:pPr>
      <w:r w:rsidRPr="00CE6915">
        <w:rPr>
          <w:rFonts w:eastAsia="Times New Roman"/>
          <w:color w:val="000000"/>
          <w:szCs w:val="24"/>
        </w:rPr>
        <w:t xml:space="preserve">Hillemeier MM, Domino ME, Wells R, et al. Effects of maternity care coordination on pregnancy outcomes: propensity-weighted analyses. </w:t>
      </w:r>
      <w:r w:rsidRPr="00CE6915">
        <w:rPr>
          <w:rFonts w:eastAsia="Times New Roman"/>
          <w:i/>
          <w:iCs/>
          <w:color w:val="000000"/>
          <w:szCs w:val="24"/>
        </w:rPr>
        <w:t>Matern Child Health J</w:t>
      </w:r>
      <w:r w:rsidRPr="00CE6915">
        <w:rPr>
          <w:rFonts w:eastAsia="Times New Roman"/>
          <w:color w:val="000000"/>
          <w:szCs w:val="24"/>
        </w:rPr>
        <w:t>. 2015; 19:121-127</w:t>
      </w:r>
      <w:r w:rsidR="0097516A" w:rsidRPr="00CE6915">
        <w:rPr>
          <w:rFonts w:eastAsia="Times New Roman"/>
          <w:color w:val="000000"/>
          <w:szCs w:val="24"/>
        </w:rPr>
        <w:t>.</w:t>
      </w:r>
    </w:p>
    <w:p w14:paraId="12BC4557" w14:textId="063C8D85" w:rsidR="002F75D0" w:rsidRPr="00CE6915" w:rsidRDefault="002F75D0" w:rsidP="00E62177">
      <w:pPr>
        <w:pStyle w:val="ListParagraph"/>
        <w:numPr>
          <w:ilvl w:val="0"/>
          <w:numId w:val="36"/>
        </w:numPr>
        <w:spacing w:after="0"/>
        <w:contextualSpacing/>
        <w:rPr>
          <w:rFonts w:eastAsia="Times New Roman"/>
          <w:color w:val="000000"/>
          <w:szCs w:val="24"/>
        </w:rPr>
      </w:pPr>
      <w:r w:rsidRPr="00CE6915">
        <w:rPr>
          <w:rFonts w:eastAsia="Times New Roman"/>
          <w:color w:val="000000"/>
          <w:szCs w:val="24"/>
        </w:rPr>
        <w:t xml:space="preserve">Romero R, Conde-Agudelo A, Da Fonseca E, et al. Vaginal progesterone for preventing preterm birth and adverse perinatal outcomes in singleton gestations with a short cervix: a meta-analysis of individual patient data. </w:t>
      </w:r>
      <w:r w:rsidRPr="00CE6915">
        <w:rPr>
          <w:rFonts w:eastAsia="Times New Roman"/>
          <w:i/>
          <w:iCs/>
          <w:color w:val="000000"/>
          <w:szCs w:val="24"/>
        </w:rPr>
        <w:t>Am J Obstet Gynecol.</w:t>
      </w:r>
      <w:r w:rsidRPr="00CE6915">
        <w:rPr>
          <w:rFonts w:eastAsia="Times New Roman"/>
          <w:color w:val="000000"/>
          <w:szCs w:val="24"/>
        </w:rPr>
        <w:t xml:space="preserve"> 2018; 218(2):161-180. </w:t>
      </w:r>
    </w:p>
    <w:p w14:paraId="5E41640A" w14:textId="3F9B68AD" w:rsidR="0097516A" w:rsidRPr="00CE6915" w:rsidRDefault="002F75D0" w:rsidP="00E62177">
      <w:pPr>
        <w:pStyle w:val="ListParagraph"/>
        <w:numPr>
          <w:ilvl w:val="0"/>
          <w:numId w:val="36"/>
        </w:numPr>
        <w:spacing w:after="0"/>
        <w:contextualSpacing/>
        <w:rPr>
          <w:rFonts w:eastAsia="Times New Roman"/>
          <w:color w:val="000000"/>
          <w:szCs w:val="24"/>
        </w:rPr>
      </w:pPr>
      <w:r w:rsidRPr="00CE6915">
        <w:rPr>
          <w:rFonts w:eastAsia="Times New Roman"/>
          <w:color w:val="000000"/>
          <w:szCs w:val="24"/>
        </w:rPr>
        <w:lastRenderedPageBreak/>
        <w:t xml:space="preserve">Blackwell SC, Gyamfi-Bannerman C, Biggio JR, Jr., et al. 17-OHPC to prevent recurrent preterm birth in singleton gestations (PROLONG Study): a multicenter, international, randomized double-blind trial. </w:t>
      </w:r>
      <w:r w:rsidRPr="00CE6915">
        <w:rPr>
          <w:rFonts w:eastAsia="Times New Roman"/>
          <w:i/>
          <w:iCs/>
          <w:color w:val="000000"/>
          <w:szCs w:val="24"/>
        </w:rPr>
        <w:t>Am J Perinatol.</w:t>
      </w:r>
      <w:r w:rsidRPr="00CE6915">
        <w:rPr>
          <w:rFonts w:eastAsia="Times New Roman"/>
          <w:color w:val="000000"/>
          <w:szCs w:val="24"/>
        </w:rPr>
        <w:t xml:space="preserve"> 2020; 37(2):127-136</w:t>
      </w:r>
      <w:r w:rsidR="0097516A" w:rsidRPr="00CE6915">
        <w:rPr>
          <w:rFonts w:eastAsia="Times New Roman"/>
          <w:color w:val="000000"/>
          <w:szCs w:val="24"/>
        </w:rPr>
        <w:t>.</w:t>
      </w:r>
    </w:p>
    <w:p w14:paraId="0DA7A947" w14:textId="6CB9A5EB" w:rsidR="0097516A" w:rsidRPr="00CE6915" w:rsidRDefault="002F75D0" w:rsidP="00E62177">
      <w:pPr>
        <w:pStyle w:val="ListParagraph"/>
        <w:numPr>
          <w:ilvl w:val="0"/>
          <w:numId w:val="36"/>
        </w:numPr>
        <w:spacing w:after="0"/>
        <w:contextualSpacing/>
        <w:rPr>
          <w:color w:val="000000"/>
          <w:szCs w:val="24"/>
        </w:rPr>
      </w:pPr>
      <w:r w:rsidRPr="00CE6915">
        <w:rPr>
          <w:rFonts w:eastAsia="Times New Roman"/>
          <w:color w:val="000000"/>
          <w:szCs w:val="24"/>
        </w:rPr>
        <w:t xml:space="preserve">Branch DW, Esplin MS, Porter F, et al. Prediction and prevention of preterm birth: a prospective, randomized intervention trial. </w:t>
      </w:r>
      <w:r w:rsidRPr="00CE6915">
        <w:rPr>
          <w:rFonts w:eastAsia="Times New Roman"/>
          <w:i/>
          <w:iCs/>
          <w:color w:val="000000"/>
          <w:szCs w:val="24"/>
        </w:rPr>
        <w:t>Society for Reproductive Investigation.</w:t>
      </w:r>
      <w:r w:rsidRPr="00CE6915">
        <w:rPr>
          <w:rFonts w:eastAsia="Times New Roman"/>
          <w:color w:val="000000"/>
          <w:szCs w:val="24"/>
        </w:rPr>
        <w:t xml:space="preserve"> 2020; abstract LBA-003.</w:t>
      </w:r>
    </w:p>
    <w:p w14:paraId="01E1DE87" w14:textId="299E1664" w:rsidR="0097516A" w:rsidRPr="00CE6915" w:rsidRDefault="0097516A" w:rsidP="0097516A">
      <w:pPr>
        <w:contextualSpacing/>
        <w:rPr>
          <w:color w:val="000000"/>
        </w:rPr>
      </w:pPr>
    </w:p>
    <w:p w14:paraId="30CDD66B" w14:textId="63A78369" w:rsidR="00E62177" w:rsidRPr="00CE6915" w:rsidRDefault="00E62177" w:rsidP="0097516A">
      <w:pPr>
        <w:contextualSpacing/>
        <w:rPr>
          <w:color w:val="000000"/>
        </w:rPr>
      </w:pPr>
    </w:p>
    <w:p w14:paraId="0012F3DC" w14:textId="1749B896" w:rsidR="00E62177" w:rsidRPr="00CE6915" w:rsidRDefault="00E62177" w:rsidP="002D1CE1">
      <w:pPr>
        <w:pStyle w:val="ListParagraph"/>
        <w:numPr>
          <w:ilvl w:val="0"/>
          <w:numId w:val="38"/>
        </w:numPr>
        <w:contextualSpacing/>
        <w:rPr>
          <w:color w:val="000000"/>
        </w:rPr>
      </w:pPr>
      <w:r w:rsidRPr="00CE6915">
        <w:rPr>
          <w:color w:val="000000"/>
        </w:rPr>
        <w:t xml:space="preserve">Derivation of transition probabilities: The Markov model has 19 states, each corresponding to a week of pregnancy (from week 19 to week 37+). Pregnant women enter the model at week 19 and </w:t>
      </w:r>
      <w:r w:rsidR="00964354" w:rsidRPr="00CE6915">
        <w:rPr>
          <w:color w:val="000000"/>
        </w:rPr>
        <w:t>either gave birth that week</w:t>
      </w:r>
      <w:r w:rsidRPr="00CE6915">
        <w:rPr>
          <w:color w:val="000000"/>
        </w:rPr>
        <w:t xml:space="preserve"> </w:t>
      </w:r>
      <w:r w:rsidR="00964354" w:rsidRPr="00CE6915">
        <w:rPr>
          <w:color w:val="000000"/>
        </w:rPr>
        <w:t>(</w:t>
      </w:r>
      <w:r w:rsidRPr="00CE6915">
        <w:rPr>
          <w:color w:val="000000"/>
        </w:rPr>
        <w:t>PTB</w:t>
      </w:r>
      <w:r w:rsidR="00964354" w:rsidRPr="00CE6915">
        <w:rPr>
          <w:color w:val="000000"/>
        </w:rPr>
        <w:t>)</w:t>
      </w:r>
      <w:r w:rsidRPr="00CE6915">
        <w:rPr>
          <w:color w:val="000000"/>
        </w:rPr>
        <w:t xml:space="preserve"> or advanced to the next week of pregnancy</w:t>
      </w:r>
      <w:r w:rsidR="00964354" w:rsidRPr="00CE6915">
        <w:rPr>
          <w:color w:val="000000"/>
        </w:rPr>
        <w:t xml:space="preserve"> (ultimately resulting in full-term birth if the “week 37+” state was reached).</w:t>
      </w:r>
    </w:p>
    <w:p w14:paraId="7221F65E" w14:textId="35166900" w:rsidR="00E62177" w:rsidRPr="00CE6915" w:rsidRDefault="00E62177" w:rsidP="0079439A">
      <w:pPr>
        <w:pStyle w:val="ListParagraph"/>
        <w:numPr>
          <w:ilvl w:val="1"/>
          <w:numId w:val="38"/>
        </w:numPr>
        <w:contextualSpacing/>
        <w:rPr>
          <w:color w:val="000000"/>
        </w:rPr>
      </w:pPr>
      <w:r w:rsidRPr="00CE6915">
        <w:rPr>
          <w:color w:val="000000"/>
        </w:rPr>
        <w:t xml:space="preserve">For </w:t>
      </w:r>
      <w:r w:rsidR="00964354" w:rsidRPr="00CE6915">
        <w:rPr>
          <w:color w:val="000000"/>
        </w:rPr>
        <w:t>usual</w:t>
      </w:r>
      <w:r w:rsidRPr="00CE6915">
        <w:rPr>
          <w:color w:val="000000"/>
        </w:rPr>
        <w:t xml:space="preserve"> care, the probability of having </w:t>
      </w:r>
      <w:r w:rsidR="00964354" w:rsidRPr="00CE6915">
        <w:rPr>
          <w:color w:val="000000"/>
        </w:rPr>
        <w:t xml:space="preserve">a </w:t>
      </w:r>
      <w:r w:rsidRPr="00CE6915">
        <w:rPr>
          <w:color w:val="000000"/>
        </w:rPr>
        <w:t xml:space="preserve">PTB </w:t>
      </w:r>
      <w:r w:rsidR="00964354" w:rsidRPr="00CE6915">
        <w:rPr>
          <w:color w:val="000000"/>
        </w:rPr>
        <w:t>in a</w:t>
      </w:r>
      <w:r w:rsidRPr="00CE6915">
        <w:rPr>
          <w:color w:val="000000"/>
        </w:rPr>
        <w:t xml:space="preserve"> specific week was calculated as the number of </w:t>
      </w:r>
      <w:r w:rsidR="00964354" w:rsidRPr="00CE6915">
        <w:rPr>
          <w:color w:val="000000"/>
        </w:rPr>
        <w:t>PTBs</w:t>
      </w:r>
      <w:r w:rsidRPr="00CE6915">
        <w:rPr>
          <w:color w:val="000000"/>
        </w:rPr>
        <w:t xml:space="preserve"> observed </w:t>
      </w:r>
      <w:r w:rsidR="00964354" w:rsidRPr="00CE6915">
        <w:rPr>
          <w:color w:val="000000"/>
        </w:rPr>
        <w:t>in the HIRD</w:t>
      </w:r>
      <w:r w:rsidRPr="00CE6915">
        <w:rPr>
          <w:color w:val="000000"/>
        </w:rPr>
        <w:t xml:space="preserve"> study population </w:t>
      </w:r>
      <w:r w:rsidR="00964354" w:rsidRPr="00CE6915">
        <w:rPr>
          <w:color w:val="000000"/>
        </w:rPr>
        <w:t xml:space="preserve">that week, </w:t>
      </w:r>
      <w:r w:rsidRPr="00CE6915">
        <w:rPr>
          <w:color w:val="000000"/>
        </w:rPr>
        <w:t>divided by</w:t>
      </w:r>
      <w:r w:rsidR="00964354" w:rsidRPr="00CE6915">
        <w:rPr>
          <w:color w:val="000000"/>
        </w:rPr>
        <w:t xml:space="preserve"> the</w:t>
      </w:r>
      <w:r w:rsidRPr="00CE6915">
        <w:rPr>
          <w:color w:val="000000"/>
        </w:rPr>
        <w:t xml:space="preserve"> population at risk</w:t>
      </w:r>
      <w:r w:rsidR="00964354" w:rsidRPr="00CE6915">
        <w:rPr>
          <w:color w:val="000000"/>
        </w:rPr>
        <w:t xml:space="preserve"> that week</w:t>
      </w:r>
      <w:r w:rsidRPr="00CE6915">
        <w:rPr>
          <w:color w:val="000000"/>
        </w:rPr>
        <w:t>. The transition probabilities between Markov state</w:t>
      </w:r>
      <w:r w:rsidR="00964354" w:rsidRPr="00CE6915">
        <w:rPr>
          <w:color w:val="000000"/>
        </w:rPr>
        <w:t>s</w:t>
      </w:r>
      <w:r w:rsidRPr="00CE6915">
        <w:rPr>
          <w:color w:val="000000"/>
        </w:rPr>
        <w:t xml:space="preserve"> </w:t>
      </w:r>
      <w:r w:rsidR="00964354" w:rsidRPr="00CE6915">
        <w:rPr>
          <w:color w:val="000000"/>
        </w:rPr>
        <w:t xml:space="preserve">were </w:t>
      </w:r>
      <w:r w:rsidRPr="00CE6915">
        <w:rPr>
          <w:color w:val="000000"/>
        </w:rPr>
        <w:t xml:space="preserve">calculate as 1.0 minus </w:t>
      </w:r>
      <w:r w:rsidR="00964354" w:rsidRPr="00CE6915">
        <w:rPr>
          <w:color w:val="000000"/>
        </w:rPr>
        <w:t xml:space="preserve">the </w:t>
      </w:r>
      <w:r w:rsidRPr="00CE6915">
        <w:rPr>
          <w:color w:val="000000"/>
        </w:rPr>
        <w:t xml:space="preserve">probability of </w:t>
      </w:r>
      <w:r w:rsidR="00964354" w:rsidRPr="00CE6915">
        <w:rPr>
          <w:color w:val="000000"/>
        </w:rPr>
        <w:t>a PTB</w:t>
      </w:r>
      <w:r w:rsidRPr="00CE6915">
        <w:rPr>
          <w:color w:val="000000"/>
        </w:rPr>
        <w:t xml:space="preserve">. </w:t>
      </w:r>
    </w:p>
    <w:p w14:paraId="2C694A5B" w14:textId="0EC06F43" w:rsidR="00E62177" w:rsidRPr="00CE6915" w:rsidRDefault="00E62177" w:rsidP="0079439A">
      <w:pPr>
        <w:pStyle w:val="ListParagraph"/>
        <w:numPr>
          <w:ilvl w:val="1"/>
          <w:numId w:val="38"/>
        </w:numPr>
        <w:contextualSpacing/>
        <w:rPr>
          <w:color w:val="000000"/>
        </w:rPr>
      </w:pPr>
      <w:r w:rsidRPr="00CE6915">
        <w:rPr>
          <w:color w:val="000000"/>
        </w:rPr>
        <w:t xml:space="preserve">For </w:t>
      </w:r>
      <w:r w:rsidR="00964354" w:rsidRPr="00CE6915">
        <w:rPr>
          <w:color w:val="000000"/>
        </w:rPr>
        <w:t>the risk-screening-and-treat strategy</w:t>
      </w:r>
      <w:r w:rsidRPr="00CE6915">
        <w:rPr>
          <w:color w:val="000000"/>
        </w:rPr>
        <w:t>, the risks of PTB were modified by treatment effects</w:t>
      </w:r>
      <w:r w:rsidR="00964354" w:rsidRPr="00CE6915">
        <w:rPr>
          <w:color w:val="000000"/>
        </w:rPr>
        <w:t xml:space="preserve"> (the risk ratios; see prior section for details on their derivation)</w:t>
      </w:r>
      <w:r w:rsidRPr="00CE6915">
        <w:rPr>
          <w:color w:val="000000"/>
        </w:rPr>
        <w:t xml:space="preserve">. Using the number of PTBs </w:t>
      </w:r>
      <w:r w:rsidR="00964354" w:rsidRPr="00CE6915">
        <w:rPr>
          <w:color w:val="000000"/>
        </w:rPr>
        <w:t>modified by these</w:t>
      </w:r>
      <w:r w:rsidRPr="00CE6915">
        <w:rPr>
          <w:color w:val="000000"/>
        </w:rPr>
        <w:t xml:space="preserve"> treatment effects, we calculated the transition probabilities given preterm status.</w:t>
      </w:r>
    </w:p>
    <w:p w14:paraId="44369C40" w14:textId="77777777" w:rsidR="00C8362F" w:rsidRPr="00CE6915" w:rsidRDefault="0079439A" w:rsidP="0079439A">
      <w:pPr>
        <w:pStyle w:val="ListParagraph"/>
        <w:numPr>
          <w:ilvl w:val="1"/>
          <w:numId w:val="38"/>
        </w:numPr>
        <w:contextualSpacing/>
        <w:rPr>
          <w:color w:val="000000"/>
        </w:rPr>
      </w:pPr>
      <w:r w:rsidRPr="00CE6915">
        <w:rPr>
          <w:color w:val="000000"/>
        </w:rPr>
        <w:t xml:space="preserve">The following </w:t>
      </w:r>
      <w:bookmarkStart w:id="0" w:name="_Hlk64391878"/>
      <w:r w:rsidRPr="00CE6915">
        <w:rPr>
          <w:color w:val="000000"/>
        </w:rPr>
        <w:t>table contains the numerical details for the base case.</w:t>
      </w:r>
      <w:bookmarkEnd w:id="0"/>
      <w:r w:rsidRPr="00CE6915">
        <w:rPr>
          <w:color w:val="000000"/>
        </w:rPr>
        <w:t xml:space="preserve"> For example,</w:t>
      </w:r>
      <w:r w:rsidR="00EA6589" w:rsidRPr="00CE6915">
        <w:rPr>
          <w:color w:val="000000"/>
        </w:rPr>
        <w:t xml:space="preserve"> starting with a population of 62,093 pregnant women, 4 of them had </w:t>
      </w:r>
      <w:r w:rsidR="00C8362F" w:rsidRPr="00CE6915">
        <w:rPr>
          <w:color w:val="000000"/>
        </w:rPr>
        <w:t xml:space="preserve">a </w:t>
      </w:r>
      <w:r w:rsidR="00EA6589" w:rsidRPr="00CE6915">
        <w:rPr>
          <w:color w:val="000000"/>
        </w:rPr>
        <w:t xml:space="preserve">PTB at week 22 of gestational age. </w:t>
      </w:r>
    </w:p>
    <w:p w14:paraId="297B54FF" w14:textId="77777777" w:rsidR="00C8362F" w:rsidRPr="00CE6915" w:rsidRDefault="00EA6589" w:rsidP="00C8362F">
      <w:pPr>
        <w:pStyle w:val="ListParagraph"/>
        <w:numPr>
          <w:ilvl w:val="2"/>
          <w:numId w:val="38"/>
        </w:numPr>
        <w:contextualSpacing/>
        <w:rPr>
          <w:color w:val="000000"/>
        </w:rPr>
      </w:pPr>
      <w:r w:rsidRPr="00CE6915">
        <w:rPr>
          <w:color w:val="000000"/>
        </w:rPr>
        <w:t>The PTB rate at week 22 for usual care was 4/62,093</w:t>
      </w:r>
      <w:r w:rsidR="00C8362F" w:rsidRPr="00CE6915">
        <w:rPr>
          <w:color w:val="000000"/>
        </w:rPr>
        <w:t>,</w:t>
      </w:r>
      <w:r w:rsidRPr="00CE6915">
        <w:rPr>
          <w:color w:val="000000"/>
        </w:rPr>
        <w:t xml:space="preserve"> and the transition probability from week 22 to week 23 was </w:t>
      </w:r>
      <w:r w:rsidR="00C8362F" w:rsidRPr="00CE6915">
        <w:rPr>
          <w:color w:val="000000"/>
        </w:rPr>
        <w:t>(</w:t>
      </w:r>
      <w:r w:rsidRPr="00CE6915">
        <w:rPr>
          <w:color w:val="000000"/>
        </w:rPr>
        <w:t>1 minus 4/62,093</w:t>
      </w:r>
      <w:r w:rsidR="00C8362F" w:rsidRPr="00CE6915">
        <w:rPr>
          <w:color w:val="000000"/>
        </w:rPr>
        <w:t>)</w:t>
      </w:r>
      <w:r w:rsidRPr="00CE6915">
        <w:rPr>
          <w:color w:val="000000"/>
        </w:rPr>
        <w:t xml:space="preserve">. </w:t>
      </w:r>
    </w:p>
    <w:p w14:paraId="07791371" w14:textId="180067BD" w:rsidR="0079439A" w:rsidRPr="00CE6915" w:rsidRDefault="00C8362F" w:rsidP="00C8362F">
      <w:pPr>
        <w:pStyle w:val="ListParagraph"/>
        <w:numPr>
          <w:ilvl w:val="2"/>
          <w:numId w:val="38"/>
        </w:numPr>
        <w:contextualSpacing/>
        <w:rPr>
          <w:color w:val="000000"/>
        </w:rPr>
      </w:pPr>
      <w:r w:rsidRPr="00CE6915">
        <w:rPr>
          <w:color w:val="000000"/>
        </w:rPr>
        <w:t>In the</w:t>
      </w:r>
      <w:r w:rsidR="00EA6589" w:rsidRPr="00CE6915">
        <w:rPr>
          <w:color w:val="000000"/>
        </w:rPr>
        <w:t xml:space="preserve"> risk-screening-and-treat </w:t>
      </w:r>
      <w:r w:rsidRPr="00CE6915">
        <w:rPr>
          <w:color w:val="000000"/>
        </w:rPr>
        <w:t>arm</w:t>
      </w:r>
      <w:r w:rsidR="00EA6589" w:rsidRPr="00CE6915">
        <w:rPr>
          <w:color w:val="000000"/>
        </w:rPr>
        <w:t xml:space="preserve">, the number of PTBs was adjusted by the treatment effects and 4 and </w:t>
      </w:r>
      <w:r w:rsidRPr="00CE6915">
        <w:rPr>
          <w:color w:val="000000"/>
        </w:rPr>
        <w:t>2</w:t>
      </w:r>
      <w:r w:rsidR="00EA6589" w:rsidRPr="00CE6915">
        <w:rPr>
          <w:color w:val="000000"/>
        </w:rPr>
        <w:t xml:space="preserve"> PTBs occurred </w:t>
      </w:r>
      <w:r w:rsidRPr="00CE6915">
        <w:rPr>
          <w:color w:val="000000"/>
        </w:rPr>
        <w:t>in</w:t>
      </w:r>
      <w:r w:rsidR="00EA6589" w:rsidRPr="00CE6915">
        <w:rPr>
          <w:color w:val="000000"/>
        </w:rPr>
        <w:t xml:space="preserve"> week</w:t>
      </w:r>
      <w:r w:rsidRPr="00CE6915">
        <w:rPr>
          <w:color w:val="000000"/>
        </w:rPr>
        <w:t>s</w:t>
      </w:r>
      <w:r w:rsidR="00EA6589" w:rsidRPr="00CE6915">
        <w:rPr>
          <w:color w:val="000000"/>
        </w:rPr>
        <w:t xml:space="preserve"> 22 and 23, respectively.</w:t>
      </w:r>
      <w:r w:rsidRPr="00CE6915">
        <w:rPr>
          <w:color w:val="000000"/>
        </w:rPr>
        <w:t xml:space="preserve"> T</w:t>
      </w:r>
      <w:r w:rsidR="00EA6589" w:rsidRPr="00CE6915">
        <w:rPr>
          <w:color w:val="000000"/>
        </w:rPr>
        <w:t>he</w:t>
      </w:r>
      <w:r w:rsidRPr="00CE6915">
        <w:rPr>
          <w:color w:val="000000"/>
        </w:rPr>
        <w:t xml:space="preserve"> PTB rate and</w:t>
      </w:r>
      <w:r w:rsidR="00EA6589" w:rsidRPr="00CE6915">
        <w:rPr>
          <w:color w:val="000000"/>
        </w:rPr>
        <w:t xml:space="preserve"> transition probabilities </w:t>
      </w:r>
      <w:r w:rsidRPr="00CE6915">
        <w:rPr>
          <w:color w:val="000000"/>
        </w:rPr>
        <w:t xml:space="preserve">in this arm </w:t>
      </w:r>
      <w:r w:rsidR="00EA6589" w:rsidRPr="00CE6915">
        <w:rPr>
          <w:color w:val="000000"/>
        </w:rPr>
        <w:t xml:space="preserve">were calculated </w:t>
      </w:r>
      <w:r w:rsidRPr="00CE6915">
        <w:rPr>
          <w:color w:val="000000"/>
        </w:rPr>
        <w:t>similarly, but using the full</w:t>
      </w:r>
      <w:r w:rsidR="00EA6589" w:rsidRPr="00CE6915">
        <w:rPr>
          <w:color w:val="000000"/>
        </w:rPr>
        <w:t xml:space="preserve"> preterm population </w:t>
      </w:r>
      <w:r w:rsidRPr="00CE6915">
        <w:rPr>
          <w:color w:val="000000"/>
        </w:rPr>
        <w:t xml:space="preserve">(N=4,360) as the denominator: </w:t>
      </w:r>
      <w:r w:rsidR="00EA6589" w:rsidRPr="00CE6915">
        <w:rPr>
          <w:color w:val="000000"/>
        </w:rPr>
        <w:t xml:space="preserve">PTB rate at week 22 was 4/4,360 and transition probability to week 23 was </w:t>
      </w:r>
      <w:r w:rsidRPr="00CE6915">
        <w:rPr>
          <w:color w:val="000000"/>
        </w:rPr>
        <w:t>(</w:t>
      </w:r>
      <w:r w:rsidR="00EA6589" w:rsidRPr="00CE6915">
        <w:rPr>
          <w:color w:val="000000"/>
        </w:rPr>
        <w:t xml:space="preserve">1 minus </w:t>
      </w:r>
      <w:r w:rsidRPr="00CE6915">
        <w:rPr>
          <w:color w:val="000000"/>
        </w:rPr>
        <w:t>4/</w:t>
      </w:r>
      <w:r w:rsidR="00EA6589" w:rsidRPr="00CE6915">
        <w:rPr>
          <w:color w:val="000000"/>
        </w:rPr>
        <w:t>4,360).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53"/>
        <w:gridCol w:w="1306"/>
        <w:gridCol w:w="1139"/>
        <w:gridCol w:w="1396"/>
        <w:gridCol w:w="1213"/>
        <w:gridCol w:w="1256"/>
        <w:gridCol w:w="1787"/>
      </w:tblGrid>
      <w:tr w:rsidR="00E62177" w:rsidRPr="00CE6915" w14:paraId="590E74DA" w14:textId="77777777" w:rsidTr="00964354">
        <w:trPr>
          <w:trHeight w:val="357"/>
        </w:trPr>
        <w:tc>
          <w:tcPr>
            <w:tcW w:w="1254" w:type="dxa"/>
            <w:vMerge w:val="restart"/>
          </w:tcPr>
          <w:p w14:paraId="29B33450" w14:textId="4644331C" w:rsidR="00E62177" w:rsidRPr="00CE6915" w:rsidRDefault="00E62177" w:rsidP="002D1CE1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E6915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Gestational age </w:t>
            </w:r>
            <w:r w:rsidR="0079439A" w:rsidRPr="00CE6915">
              <w:rPr>
                <w:rFonts w:ascii="Times New Roman" w:hAnsi="Times New Roman" w:cs="Times New Roman"/>
                <w:b/>
                <w:bCs/>
                <w:color w:val="000000"/>
              </w:rPr>
              <w:t>at birth</w:t>
            </w:r>
          </w:p>
        </w:tc>
        <w:tc>
          <w:tcPr>
            <w:tcW w:w="1306" w:type="dxa"/>
            <w:vMerge w:val="restart"/>
          </w:tcPr>
          <w:p w14:paraId="5AEAB55B" w14:textId="436F585A" w:rsidR="00E62177" w:rsidRPr="00CE6915" w:rsidRDefault="00E62177" w:rsidP="002D1CE1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E6915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Number of pregnancies observed </w:t>
            </w:r>
            <w:r w:rsidR="0079439A" w:rsidRPr="00CE6915">
              <w:rPr>
                <w:rFonts w:ascii="Times New Roman" w:hAnsi="Times New Roman" w:cs="Times New Roman"/>
                <w:b/>
                <w:bCs/>
                <w:color w:val="000000"/>
              </w:rPr>
              <w:t>in the HIRD study population</w:t>
            </w:r>
          </w:p>
        </w:tc>
        <w:tc>
          <w:tcPr>
            <w:tcW w:w="1130" w:type="dxa"/>
            <w:vMerge w:val="restart"/>
          </w:tcPr>
          <w:p w14:paraId="793C4B28" w14:textId="2A6D745B" w:rsidR="00E62177" w:rsidRPr="00CE6915" w:rsidRDefault="00E62177" w:rsidP="002D1CE1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E6915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Number of births observed </w:t>
            </w:r>
            <w:r w:rsidR="0079439A" w:rsidRPr="00CE6915">
              <w:rPr>
                <w:rFonts w:ascii="Times New Roman" w:hAnsi="Times New Roman" w:cs="Times New Roman"/>
                <w:b/>
                <w:bCs/>
                <w:color w:val="000000"/>
              </w:rPr>
              <w:t>in the HIRD study population</w:t>
            </w:r>
          </w:p>
        </w:tc>
        <w:tc>
          <w:tcPr>
            <w:tcW w:w="1397" w:type="dxa"/>
            <w:vMerge w:val="restart"/>
          </w:tcPr>
          <w:p w14:paraId="191C3B57" w14:textId="007AAF53" w:rsidR="00E62177" w:rsidRPr="00CE6915" w:rsidRDefault="0079439A" w:rsidP="002D1CE1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E6915">
              <w:rPr>
                <w:rFonts w:ascii="Times New Roman" w:hAnsi="Times New Roman" w:cs="Times New Roman"/>
                <w:b/>
                <w:bCs/>
                <w:color w:val="000000"/>
              </w:rPr>
              <w:t>Usual</w:t>
            </w:r>
            <w:r w:rsidR="00E62177" w:rsidRPr="00CE6915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care</w:t>
            </w:r>
            <w:r w:rsidRPr="00CE6915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-</w:t>
            </w:r>
            <w:r w:rsidR="00E62177" w:rsidRPr="00CE6915">
              <w:rPr>
                <w:rFonts w:ascii="Times New Roman" w:hAnsi="Times New Roman" w:cs="Times New Roman"/>
                <w:b/>
                <w:bCs/>
                <w:color w:val="000000"/>
              </w:rPr>
              <w:t>Transition probabilities</w:t>
            </w:r>
          </w:p>
        </w:tc>
        <w:tc>
          <w:tcPr>
            <w:tcW w:w="4263" w:type="dxa"/>
            <w:gridSpan w:val="3"/>
          </w:tcPr>
          <w:p w14:paraId="6B1D2B2E" w14:textId="5E3CEF67" w:rsidR="00E62177" w:rsidRPr="00CE6915" w:rsidRDefault="0079439A" w:rsidP="002D1CE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E6915">
              <w:rPr>
                <w:rFonts w:ascii="Times New Roman" w:hAnsi="Times New Roman" w:cs="Times New Roman"/>
                <w:b/>
                <w:bCs/>
                <w:color w:val="000000"/>
              </w:rPr>
              <w:t>Risk-screening-and-treat</w:t>
            </w:r>
          </w:p>
        </w:tc>
      </w:tr>
      <w:tr w:rsidR="0079439A" w:rsidRPr="00CE6915" w14:paraId="57021712" w14:textId="77777777" w:rsidTr="00964354">
        <w:trPr>
          <w:trHeight w:val="714"/>
        </w:trPr>
        <w:tc>
          <w:tcPr>
            <w:tcW w:w="1254" w:type="dxa"/>
            <w:vMerge/>
          </w:tcPr>
          <w:p w14:paraId="1AA5B3D4" w14:textId="77777777" w:rsidR="00E62177" w:rsidRPr="00CE6915" w:rsidRDefault="00E62177" w:rsidP="002D1CE1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6" w:type="dxa"/>
            <w:vMerge/>
          </w:tcPr>
          <w:p w14:paraId="61F07D51" w14:textId="77777777" w:rsidR="00E62177" w:rsidRPr="00CE6915" w:rsidRDefault="00E62177" w:rsidP="002D1CE1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0" w:type="dxa"/>
            <w:vMerge/>
          </w:tcPr>
          <w:p w14:paraId="62047A32" w14:textId="77777777" w:rsidR="00E62177" w:rsidRPr="00CE6915" w:rsidRDefault="00E62177" w:rsidP="002D1CE1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97" w:type="dxa"/>
            <w:vMerge/>
          </w:tcPr>
          <w:p w14:paraId="60D0ADF9" w14:textId="77777777" w:rsidR="00E62177" w:rsidRPr="00CE6915" w:rsidRDefault="00E62177" w:rsidP="002D1CE1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14" w:type="dxa"/>
          </w:tcPr>
          <w:p w14:paraId="40AF132E" w14:textId="17D6FF7E" w:rsidR="00E62177" w:rsidRPr="00CE6915" w:rsidRDefault="00E62177" w:rsidP="002D1CE1">
            <w:pPr>
              <w:rPr>
                <w:rFonts w:ascii="Times New Roman" w:hAnsi="Times New Roman" w:cs="Times New Roman"/>
                <w:color w:val="000000"/>
              </w:rPr>
            </w:pPr>
            <w:r w:rsidRPr="00CE6915">
              <w:rPr>
                <w:rFonts w:ascii="Times New Roman" w:hAnsi="Times New Roman" w:cs="Times New Roman"/>
                <w:color w:val="000000"/>
              </w:rPr>
              <w:t>R</w:t>
            </w:r>
            <w:r w:rsidR="0079439A" w:rsidRPr="00CE6915">
              <w:rPr>
                <w:rFonts w:ascii="Times New Roman" w:hAnsi="Times New Roman" w:cs="Times New Roman"/>
                <w:color w:val="000000"/>
              </w:rPr>
              <w:t>isk ratios (</w:t>
            </w:r>
            <w:r w:rsidRPr="00CE6915">
              <w:rPr>
                <w:rFonts w:ascii="Times New Roman" w:hAnsi="Times New Roman" w:cs="Times New Roman"/>
                <w:color w:val="000000"/>
              </w:rPr>
              <w:t>treatment effects</w:t>
            </w:r>
            <w:r w:rsidR="0079439A" w:rsidRPr="00CE6915">
              <w:rPr>
                <w:rFonts w:ascii="Times New Roman" w:hAnsi="Times New Roman" w:cs="Times New Roman"/>
                <w:color w:val="000000"/>
              </w:rPr>
              <w:t>) – base case</w:t>
            </w:r>
          </w:p>
        </w:tc>
        <w:tc>
          <w:tcPr>
            <w:tcW w:w="1258" w:type="dxa"/>
          </w:tcPr>
          <w:p w14:paraId="177FB0DE" w14:textId="0A2DC660" w:rsidR="00E62177" w:rsidRPr="00CE6915" w:rsidRDefault="00E62177" w:rsidP="002D1CE1">
            <w:pPr>
              <w:rPr>
                <w:rFonts w:ascii="Times New Roman" w:hAnsi="Times New Roman" w:cs="Times New Roman"/>
                <w:color w:val="000000"/>
              </w:rPr>
            </w:pPr>
            <w:r w:rsidRPr="00CE6915">
              <w:rPr>
                <w:rFonts w:ascii="Times New Roman" w:hAnsi="Times New Roman" w:cs="Times New Roman"/>
                <w:color w:val="000000"/>
              </w:rPr>
              <w:t xml:space="preserve">Number of births </w:t>
            </w:r>
            <w:r w:rsidR="0079439A" w:rsidRPr="00CE6915">
              <w:rPr>
                <w:rFonts w:ascii="Times New Roman" w:hAnsi="Times New Roman" w:cs="Times New Roman"/>
                <w:color w:val="000000"/>
              </w:rPr>
              <w:t>after adjusting for</w:t>
            </w:r>
            <w:r w:rsidRPr="00CE6915">
              <w:rPr>
                <w:rFonts w:ascii="Times New Roman" w:hAnsi="Times New Roman" w:cs="Times New Roman"/>
                <w:color w:val="000000"/>
              </w:rPr>
              <w:t xml:space="preserve"> treatment effects</w:t>
            </w:r>
          </w:p>
        </w:tc>
        <w:tc>
          <w:tcPr>
            <w:tcW w:w="1791" w:type="dxa"/>
          </w:tcPr>
          <w:p w14:paraId="18B0F05E" w14:textId="0E7DE4D5" w:rsidR="00E62177" w:rsidRPr="00CE6915" w:rsidRDefault="00E62177" w:rsidP="002D1CE1">
            <w:pPr>
              <w:rPr>
                <w:rFonts w:ascii="Times New Roman" w:hAnsi="Times New Roman" w:cs="Times New Roman"/>
                <w:color w:val="000000"/>
              </w:rPr>
            </w:pPr>
            <w:r w:rsidRPr="00CE6915">
              <w:rPr>
                <w:rFonts w:ascii="Times New Roman" w:hAnsi="Times New Roman" w:cs="Times New Roman"/>
                <w:color w:val="000000"/>
              </w:rPr>
              <w:t>Transition</w:t>
            </w:r>
            <w:r w:rsidR="0079439A" w:rsidRPr="00CE6915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CE6915">
              <w:rPr>
                <w:rFonts w:ascii="Times New Roman" w:hAnsi="Times New Roman" w:cs="Times New Roman"/>
                <w:color w:val="000000"/>
              </w:rPr>
              <w:t xml:space="preserve">probabilities with treatment effects among preterm </w:t>
            </w:r>
          </w:p>
        </w:tc>
      </w:tr>
      <w:tr w:rsidR="0079439A" w:rsidRPr="00CE6915" w14:paraId="60248898" w14:textId="77777777" w:rsidTr="00964354">
        <w:tc>
          <w:tcPr>
            <w:tcW w:w="1254" w:type="dxa"/>
            <w:vAlign w:val="center"/>
          </w:tcPr>
          <w:p w14:paraId="063BEDFA" w14:textId="77777777" w:rsidR="00E62177" w:rsidRPr="00CE6915" w:rsidRDefault="00E62177" w:rsidP="002D1CE1">
            <w:pPr>
              <w:rPr>
                <w:rFonts w:ascii="Times New Roman" w:hAnsi="Times New Roman" w:cs="Times New Roman"/>
                <w:color w:val="000000"/>
              </w:rPr>
            </w:pPr>
            <w:r w:rsidRPr="00CE6915">
              <w:rPr>
                <w:rFonts w:ascii="Times New Roman" w:hAnsi="Times New Roman" w:cs="Times New Roman"/>
                <w:color w:val="000000"/>
              </w:rPr>
              <w:t xml:space="preserve">Week 19 </w:t>
            </w:r>
          </w:p>
        </w:tc>
        <w:tc>
          <w:tcPr>
            <w:tcW w:w="1306" w:type="dxa"/>
            <w:vAlign w:val="center"/>
          </w:tcPr>
          <w:p w14:paraId="44253A88" w14:textId="77777777" w:rsidR="00E62177" w:rsidRPr="00CE6915" w:rsidRDefault="00E62177" w:rsidP="002D1CE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6915">
              <w:rPr>
                <w:rFonts w:ascii="Times New Roman" w:hAnsi="Times New Roman" w:cs="Times New Roman"/>
                <w:color w:val="000000"/>
              </w:rPr>
              <w:t>62,093</w:t>
            </w:r>
          </w:p>
        </w:tc>
        <w:tc>
          <w:tcPr>
            <w:tcW w:w="1130" w:type="dxa"/>
            <w:vAlign w:val="center"/>
          </w:tcPr>
          <w:p w14:paraId="63433B69" w14:textId="77777777" w:rsidR="00E62177" w:rsidRPr="00CE6915" w:rsidRDefault="00E62177" w:rsidP="002D1CE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6915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397" w:type="dxa"/>
            <w:vAlign w:val="center"/>
          </w:tcPr>
          <w:p w14:paraId="254B1A57" w14:textId="77777777" w:rsidR="00E62177" w:rsidRPr="00CE6915" w:rsidRDefault="00E62177" w:rsidP="002D1CE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6915">
              <w:rPr>
                <w:rFonts w:ascii="Times New Roman" w:hAnsi="Times New Roman" w:cs="Times New Roman"/>
                <w:color w:val="000000"/>
              </w:rPr>
              <w:t>0.0000</w:t>
            </w:r>
          </w:p>
        </w:tc>
        <w:tc>
          <w:tcPr>
            <w:tcW w:w="1214" w:type="dxa"/>
            <w:shd w:val="clear" w:color="auto" w:fill="auto"/>
            <w:vAlign w:val="center"/>
          </w:tcPr>
          <w:p w14:paraId="4D3E445C" w14:textId="77777777" w:rsidR="00E62177" w:rsidRPr="00CE6915" w:rsidRDefault="00E62177" w:rsidP="002D1CE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6915">
              <w:rPr>
                <w:rFonts w:ascii="Times New Roman" w:hAnsi="Times New Roman" w:cs="Times New Roman"/>
                <w:color w:val="000000"/>
              </w:rPr>
              <w:t>NA</w:t>
            </w:r>
          </w:p>
        </w:tc>
        <w:tc>
          <w:tcPr>
            <w:tcW w:w="1258" w:type="dxa"/>
            <w:vAlign w:val="center"/>
          </w:tcPr>
          <w:p w14:paraId="68D16592" w14:textId="77777777" w:rsidR="00E62177" w:rsidRPr="00CE6915" w:rsidRDefault="00E62177" w:rsidP="002D1CE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6915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791" w:type="dxa"/>
            <w:vAlign w:val="center"/>
          </w:tcPr>
          <w:p w14:paraId="44327E4F" w14:textId="77777777" w:rsidR="00E62177" w:rsidRPr="00CE6915" w:rsidRDefault="00E62177" w:rsidP="002D1CE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6915">
              <w:rPr>
                <w:rFonts w:ascii="Times New Roman" w:hAnsi="Times New Roman" w:cs="Times New Roman"/>
                <w:color w:val="000000"/>
              </w:rPr>
              <w:t>0.0000</w:t>
            </w:r>
          </w:p>
        </w:tc>
      </w:tr>
      <w:tr w:rsidR="0079439A" w:rsidRPr="00CE6915" w14:paraId="1BD13CB6" w14:textId="77777777" w:rsidTr="00964354">
        <w:tc>
          <w:tcPr>
            <w:tcW w:w="1254" w:type="dxa"/>
            <w:vAlign w:val="center"/>
          </w:tcPr>
          <w:p w14:paraId="74991EA2" w14:textId="77777777" w:rsidR="00E62177" w:rsidRPr="00CE6915" w:rsidRDefault="00E62177" w:rsidP="002D1CE1">
            <w:pPr>
              <w:rPr>
                <w:rFonts w:ascii="Times New Roman" w:hAnsi="Times New Roman" w:cs="Times New Roman"/>
                <w:color w:val="000000"/>
              </w:rPr>
            </w:pPr>
            <w:r w:rsidRPr="00CE6915">
              <w:rPr>
                <w:rFonts w:ascii="Times New Roman" w:hAnsi="Times New Roman" w:cs="Times New Roman"/>
                <w:color w:val="000000"/>
              </w:rPr>
              <w:t xml:space="preserve">Week 20 </w:t>
            </w:r>
          </w:p>
        </w:tc>
        <w:tc>
          <w:tcPr>
            <w:tcW w:w="1306" w:type="dxa"/>
            <w:vAlign w:val="center"/>
          </w:tcPr>
          <w:p w14:paraId="313930E0" w14:textId="77777777" w:rsidR="00E62177" w:rsidRPr="00CE6915" w:rsidRDefault="00E62177" w:rsidP="002D1CE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6915">
              <w:rPr>
                <w:rFonts w:ascii="Times New Roman" w:hAnsi="Times New Roman" w:cs="Times New Roman"/>
                <w:color w:val="000000"/>
              </w:rPr>
              <w:t>62,093</w:t>
            </w:r>
          </w:p>
        </w:tc>
        <w:tc>
          <w:tcPr>
            <w:tcW w:w="1130" w:type="dxa"/>
            <w:vAlign w:val="center"/>
          </w:tcPr>
          <w:p w14:paraId="7A14DD4F" w14:textId="77777777" w:rsidR="00E62177" w:rsidRPr="00CE6915" w:rsidRDefault="00E62177" w:rsidP="002D1CE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6915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397" w:type="dxa"/>
            <w:vAlign w:val="center"/>
          </w:tcPr>
          <w:p w14:paraId="0D7B1B09" w14:textId="77777777" w:rsidR="00E62177" w:rsidRPr="00CE6915" w:rsidRDefault="00E62177" w:rsidP="002D1CE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6915">
              <w:rPr>
                <w:rFonts w:ascii="Times New Roman" w:hAnsi="Times New Roman" w:cs="Times New Roman"/>
                <w:color w:val="000000"/>
              </w:rPr>
              <w:t>0.0000</w:t>
            </w:r>
          </w:p>
        </w:tc>
        <w:tc>
          <w:tcPr>
            <w:tcW w:w="1214" w:type="dxa"/>
            <w:shd w:val="clear" w:color="auto" w:fill="auto"/>
            <w:vAlign w:val="center"/>
          </w:tcPr>
          <w:p w14:paraId="46C8DB25" w14:textId="77777777" w:rsidR="00E62177" w:rsidRPr="00CE6915" w:rsidRDefault="00E62177" w:rsidP="002D1CE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6915">
              <w:rPr>
                <w:rFonts w:ascii="Times New Roman" w:hAnsi="Times New Roman" w:cs="Times New Roman"/>
                <w:color w:val="000000"/>
              </w:rPr>
              <w:t>NA</w:t>
            </w:r>
          </w:p>
        </w:tc>
        <w:tc>
          <w:tcPr>
            <w:tcW w:w="1258" w:type="dxa"/>
            <w:vAlign w:val="center"/>
          </w:tcPr>
          <w:p w14:paraId="228C0118" w14:textId="77777777" w:rsidR="00E62177" w:rsidRPr="00CE6915" w:rsidRDefault="00E62177" w:rsidP="002D1CE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6915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791" w:type="dxa"/>
            <w:vAlign w:val="center"/>
          </w:tcPr>
          <w:p w14:paraId="7012C9B6" w14:textId="77777777" w:rsidR="00E62177" w:rsidRPr="00CE6915" w:rsidRDefault="00E62177" w:rsidP="002D1CE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6915">
              <w:rPr>
                <w:rFonts w:ascii="Times New Roman" w:hAnsi="Times New Roman" w:cs="Times New Roman"/>
                <w:color w:val="000000"/>
              </w:rPr>
              <w:t>0.0000</w:t>
            </w:r>
          </w:p>
        </w:tc>
      </w:tr>
      <w:tr w:rsidR="0079439A" w:rsidRPr="00CE6915" w14:paraId="19981FCA" w14:textId="77777777" w:rsidTr="00964354">
        <w:tc>
          <w:tcPr>
            <w:tcW w:w="1254" w:type="dxa"/>
            <w:vAlign w:val="center"/>
          </w:tcPr>
          <w:p w14:paraId="4512D3AE" w14:textId="77777777" w:rsidR="00E62177" w:rsidRPr="00CE6915" w:rsidRDefault="00E62177" w:rsidP="002D1CE1">
            <w:pPr>
              <w:rPr>
                <w:rFonts w:ascii="Times New Roman" w:hAnsi="Times New Roman" w:cs="Times New Roman"/>
                <w:color w:val="000000"/>
              </w:rPr>
            </w:pPr>
            <w:r w:rsidRPr="00CE6915">
              <w:rPr>
                <w:rFonts w:ascii="Times New Roman" w:hAnsi="Times New Roman" w:cs="Times New Roman"/>
                <w:color w:val="000000"/>
              </w:rPr>
              <w:t>Week 21</w:t>
            </w:r>
          </w:p>
        </w:tc>
        <w:tc>
          <w:tcPr>
            <w:tcW w:w="1306" w:type="dxa"/>
            <w:vAlign w:val="center"/>
          </w:tcPr>
          <w:p w14:paraId="7E4F9193" w14:textId="77777777" w:rsidR="00E62177" w:rsidRPr="00CE6915" w:rsidRDefault="00E62177" w:rsidP="002D1CE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6915">
              <w:rPr>
                <w:rFonts w:ascii="Times New Roman" w:hAnsi="Times New Roman" w:cs="Times New Roman"/>
                <w:color w:val="000000"/>
              </w:rPr>
              <w:t>62,093</w:t>
            </w:r>
          </w:p>
        </w:tc>
        <w:tc>
          <w:tcPr>
            <w:tcW w:w="1130" w:type="dxa"/>
            <w:vAlign w:val="center"/>
          </w:tcPr>
          <w:p w14:paraId="4D90ACA9" w14:textId="77777777" w:rsidR="00E62177" w:rsidRPr="00CE6915" w:rsidRDefault="00E62177" w:rsidP="002D1CE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6915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397" w:type="dxa"/>
            <w:vAlign w:val="center"/>
          </w:tcPr>
          <w:p w14:paraId="423CBDC4" w14:textId="77777777" w:rsidR="00E62177" w:rsidRPr="00CE6915" w:rsidRDefault="00E62177" w:rsidP="002D1CE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6915">
              <w:rPr>
                <w:rFonts w:ascii="Times New Roman" w:hAnsi="Times New Roman" w:cs="Times New Roman"/>
                <w:color w:val="000000"/>
              </w:rPr>
              <w:t>0.0000</w:t>
            </w:r>
          </w:p>
        </w:tc>
        <w:tc>
          <w:tcPr>
            <w:tcW w:w="1214" w:type="dxa"/>
            <w:shd w:val="clear" w:color="auto" w:fill="auto"/>
            <w:vAlign w:val="center"/>
          </w:tcPr>
          <w:p w14:paraId="2F48D109" w14:textId="77777777" w:rsidR="00E62177" w:rsidRPr="00CE6915" w:rsidRDefault="00E62177" w:rsidP="002D1CE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6915">
              <w:rPr>
                <w:rFonts w:ascii="Times New Roman" w:hAnsi="Times New Roman" w:cs="Times New Roman"/>
                <w:color w:val="000000"/>
              </w:rPr>
              <w:t>NA</w:t>
            </w:r>
          </w:p>
        </w:tc>
        <w:tc>
          <w:tcPr>
            <w:tcW w:w="1258" w:type="dxa"/>
            <w:vAlign w:val="center"/>
          </w:tcPr>
          <w:p w14:paraId="17880F07" w14:textId="77777777" w:rsidR="00E62177" w:rsidRPr="00CE6915" w:rsidRDefault="00E62177" w:rsidP="002D1CE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6915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791" w:type="dxa"/>
            <w:vAlign w:val="center"/>
          </w:tcPr>
          <w:p w14:paraId="59B54154" w14:textId="77777777" w:rsidR="00E62177" w:rsidRPr="00CE6915" w:rsidRDefault="00E62177" w:rsidP="002D1CE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6915">
              <w:rPr>
                <w:rFonts w:ascii="Times New Roman" w:hAnsi="Times New Roman" w:cs="Times New Roman"/>
                <w:color w:val="000000"/>
              </w:rPr>
              <w:t>0.0000</w:t>
            </w:r>
          </w:p>
        </w:tc>
      </w:tr>
      <w:tr w:rsidR="0079439A" w:rsidRPr="00CE6915" w14:paraId="1B8471B8" w14:textId="77777777" w:rsidTr="00964354">
        <w:tc>
          <w:tcPr>
            <w:tcW w:w="1254" w:type="dxa"/>
            <w:vAlign w:val="center"/>
          </w:tcPr>
          <w:p w14:paraId="7C084DEA" w14:textId="77777777" w:rsidR="00E62177" w:rsidRPr="00CE6915" w:rsidRDefault="00E62177" w:rsidP="002D1CE1">
            <w:pPr>
              <w:rPr>
                <w:rFonts w:ascii="Times New Roman" w:hAnsi="Times New Roman" w:cs="Times New Roman"/>
                <w:color w:val="000000"/>
              </w:rPr>
            </w:pPr>
            <w:r w:rsidRPr="00CE6915">
              <w:rPr>
                <w:rFonts w:ascii="Times New Roman" w:hAnsi="Times New Roman" w:cs="Times New Roman"/>
                <w:color w:val="000000"/>
              </w:rPr>
              <w:t>Week 22</w:t>
            </w:r>
          </w:p>
        </w:tc>
        <w:tc>
          <w:tcPr>
            <w:tcW w:w="1306" w:type="dxa"/>
            <w:vAlign w:val="center"/>
          </w:tcPr>
          <w:p w14:paraId="65A1F96D" w14:textId="77777777" w:rsidR="00E62177" w:rsidRPr="00CE6915" w:rsidRDefault="00E62177" w:rsidP="002D1CE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6915">
              <w:rPr>
                <w:rFonts w:ascii="Times New Roman" w:hAnsi="Times New Roman" w:cs="Times New Roman"/>
                <w:color w:val="000000"/>
              </w:rPr>
              <w:t>62,093</w:t>
            </w:r>
          </w:p>
        </w:tc>
        <w:tc>
          <w:tcPr>
            <w:tcW w:w="1130" w:type="dxa"/>
            <w:vAlign w:val="center"/>
          </w:tcPr>
          <w:p w14:paraId="11EAA856" w14:textId="77777777" w:rsidR="00E62177" w:rsidRPr="00CE6915" w:rsidRDefault="00E62177" w:rsidP="002D1CE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6915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397" w:type="dxa"/>
            <w:vAlign w:val="center"/>
          </w:tcPr>
          <w:p w14:paraId="7248A7A2" w14:textId="77777777" w:rsidR="00E62177" w:rsidRPr="00CE6915" w:rsidRDefault="00E62177" w:rsidP="002D1CE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6915">
              <w:rPr>
                <w:rFonts w:ascii="Times New Roman" w:hAnsi="Times New Roman" w:cs="Times New Roman"/>
                <w:color w:val="000000"/>
              </w:rPr>
              <w:t>0.0001</w:t>
            </w:r>
          </w:p>
        </w:tc>
        <w:tc>
          <w:tcPr>
            <w:tcW w:w="1214" w:type="dxa"/>
            <w:shd w:val="clear" w:color="auto" w:fill="auto"/>
            <w:vAlign w:val="center"/>
          </w:tcPr>
          <w:p w14:paraId="6853DB20" w14:textId="77777777" w:rsidR="00E62177" w:rsidRPr="00CE6915" w:rsidRDefault="00E62177" w:rsidP="002D1CE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6915">
              <w:rPr>
                <w:rFonts w:ascii="Times New Roman" w:hAnsi="Times New Roman" w:cs="Times New Roman"/>
                <w:color w:val="000000"/>
              </w:rPr>
              <w:t>NA</w:t>
            </w:r>
          </w:p>
        </w:tc>
        <w:tc>
          <w:tcPr>
            <w:tcW w:w="1258" w:type="dxa"/>
            <w:vAlign w:val="center"/>
          </w:tcPr>
          <w:p w14:paraId="740A3C67" w14:textId="77777777" w:rsidR="00E62177" w:rsidRPr="00CE6915" w:rsidRDefault="00E62177" w:rsidP="002D1CE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6915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791" w:type="dxa"/>
            <w:vAlign w:val="center"/>
          </w:tcPr>
          <w:p w14:paraId="47BC3D32" w14:textId="77777777" w:rsidR="00E62177" w:rsidRPr="00CE6915" w:rsidRDefault="00E62177" w:rsidP="002D1CE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6915">
              <w:rPr>
                <w:rFonts w:ascii="Times New Roman" w:hAnsi="Times New Roman" w:cs="Times New Roman"/>
                <w:color w:val="000000"/>
              </w:rPr>
              <w:t>0.0009</w:t>
            </w:r>
          </w:p>
        </w:tc>
      </w:tr>
      <w:tr w:rsidR="0079439A" w:rsidRPr="00CE6915" w14:paraId="178A9F4D" w14:textId="77777777" w:rsidTr="00964354">
        <w:tc>
          <w:tcPr>
            <w:tcW w:w="1254" w:type="dxa"/>
            <w:vAlign w:val="center"/>
          </w:tcPr>
          <w:p w14:paraId="430B6F6B" w14:textId="77777777" w:rsidR="00E62177" w:rsidRPr="00CE6915" w:rsidRDefault="00E62177" w:rsidP="002D1CE1">
            <w:pPr>
              <w:rPr>
                <w:rFonts w:ascii="Times New Roman" w:hAnsi="Times New Roman" w:cs="Times New Roman"/>
                <w:color w:val="000000"/>
              </w:rPr>
            </w:pPr>
            <w:r w:rsidRPr="00CE6915">
              <w:rPr>
                <w:rFonts w:ascii="Times New Roman" w:hAnsi="Times New Roman" w:cs="Times New Roman"/>
                <w:color w:val="000000"/>
              </w:rPr>
              <w:t>Week 23</w:t>
            </w:r>
          </w:p>
        </w:tc>
        <w:tc>
          <w:tcPr>
            <w:tcW w:w="1306" w:type="dxa"/>
            <w:vAlign w:val="center"/>
          </w:tcPr>
          <w:p w14:paraId="28BE31F7" w14:textId="77777777" w:rsidR="00E62177" w:rsidRPr="00CE6915" w:rsidRDefault="00E62177" w:rsidP="002D1CE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6915">
              <w:rPr>
                <w:rFonts w:ascii="Times New Roman" w:hAnsi="Times New Roman" w:cs="Times New Roman"/>
                <w:color w:val="000000"/>
              </w:rPr>
              <w:t>62,089</w:t>
            </w:r>
          </w:p>
        </w:tc>
        <w:tc>
          <w:tcPr>
            <w:tcW w:w="1130" w:type="dxa"/>
            <w:vAlign w:val="center"/>
          </w:tcPr>
          <w:p w14:paraId="238F9F42" w14:textId="77777777" w:rsidR="00E62177" w:rsidRPr="00CE6915" w:rsidRDefault="00E62177" w:rsidP="002D1CE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6915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397" w:type="dxa"/>
            <w:vAlign w:val="center"/>
          </w:tcPr>
          <w:p w14:paraId="57DD683D" w14:textId="77777777" w:rsidR="00E62177" w:rsidRPr="00CE6915" w:rsidRDefault="00E62177" w:rsidP="002D1CE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6915">
              <w:rPr>
                <w:rFonts w:ascii="Times New Roman" w:hAnsi="Times New Roman" w:cs="Times New Roman"/>
                <w:color w:val="000000"/>
              </w:rPr>
              <w:t>0.0002</w:t>
            </w:r>
          </w:p>
        </w:tc>
        <w:tc>
          <w:tcPr>
            <w:tcW w:w="1214" w:type="dxa"/>
            <w:shd w:val="clear" w:color="auto" w:fill="auto"/>
            <w:vAlign w:val="center"/>
          </w:tcPr>
          <w:p w14:paraId="63F4CE04" w14:textId="77777777" w:rsidR="00E62177" w:rsidRPr="00CE6915" w:rsidRDefault="00E62177" w:rsidP="002D1CE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6915">
              <w:rPr>
                <w:rFonts w:ascii="Times New Roman" w:hAnsi="Times New Roman" w:cs="Times New Roman"/>
                <w:color w:val="000000"/>
              </w:rPr>
              <w:t>0.1315</w:t>
            </w:r>
          </w:p>
        </w:tc>
        <w:tc>
          <w:tcPr>
            <w:tcW w:w="1258" w:type="dxa"/>
            <w:vAlign w:val="center"/>
          </w:tcPr>
          <w:p w14:paraId="419051D6" w14:textId="77777777" w:rsidR="00E62177" w:rsidRPr="00CE6915" w:rsidRDefault="00E62177" w:rsidP="002D1CE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6915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791" w:type="dxa"/>
            <w:vAlign w:val="center"/>
          </w:tcPr>
          <w:p w14:paraId="58A0452C" w14:textId="77777777" w:rsidR="00E62177" w:rsidRPr="00CE6915" w:rsidRDefault="00E62177" w:rsidP="002D1CE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6915">
              <w:rPr>
                <w:rFonts w:ascii="Times New Roman" w:hAnsi="Times New Roman" w:cs="Times New Roman"/>
                <w:color w:val="000000"/>
              </w:rPr>
              <w:t>0.0004</w:t>
            </w:r>
          </w:p>
        </w:tc>
      </w:tr>
      <w:tr w:rsidR="0079439A" w:rsidRPr="00CE6915" w14:paraId="29560215" w14:textId="77777777" w:rsidTr="00964354">
        <w:tc>
          <w:tcPr>
            <w:tcW w:w="1254" w:type="dxa"/>
            <w:vAlign w:val="center"/>
          </w:tcPr>
          <w:p w14:paraId="3C0DF92E" w14:textId="77777777" w:rsidR="00E62177" w:rsidRPr="00CE6915" w:rsidRDefault="00E62177" w:rsidP="002D1CE1">
            <w:pPr>
              <w:rPr>
                <w:rFonts w:ascii="Times New Roman" w:hAnsi="Times New Roman" w:cs="Times New Roman"/>
                <w:color w:val="000000"/>
              </w:rPr>
            </w:pPr>
            <w:r w:rsidRPr="00CE6915">
              <w:rPr>
                <w:rFonts w:ascii="Times New Roman" w:hAnsi="Times New Roman" w:cs="Times New Roman"/>
                <w:color w:val="000000"/>
              </w:rPr>
              <w:lastRenderedPageBreak/>
              <w:t>Week 24</w:t>
            </w:r>
          </w:p>
        </w:tc>
        <w:tc>
          <w:tcPr>
            <w:tcW w:w="1306" w:type="dxa"/>
            <w:vAlign w:val="center"/>
          </w:tcPr>
          <w:p w14:paraId="7F1D39FE" w14:textId="77777777" w:rsidR="00E62177" w:rsidRPr="00CE6915" w:rsidRDefault="00E62177" w:rsidP="002D1CE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6915">
              <w:rPr>
                <w:rFonts w:ascii="Times New Roman" w:hAnsi="Times New Roman" w:cs="Times New Roman"/>
                <w:color w:val="000000"/>
              </w:rPr>
              <w:t>62,077</w:t>
            </w:r>
          </w:p>
        </w:tc>
        <w:tc>
          <w:tcPr>
            <w:tcW w:w="1130" w:type="dxa"/>
            <w:vAlign w:val="center"/>
          </w:tcPr>
          <w:p w14:paraId="1F46AEC6" w14:textId="77777777" w:rsidR="00E62177" w:rsidRPr="00CE6915" w:rsidRDefault="00E62177" w:rsidP="002D1CE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6915"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1397" w:type="dxa"/>
            <w:vAlign w:val="center"/>
          </w:tcPr>
          <w:p w14:paraId="75ABB22D" w14:textId="77777777" w:rsidR="00E62177" w:rsidRPr="00CE6915" w:rsidRDefault="00E62177" w:rsidP="002D1CE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6915">
              <w:rPr>
                <w:rFonts w:ascii="Times New Roman" w:hAnsi="Times New Roman" w:cs="Times New Roman"/>
                <w:color w:val="000000"/>
              </w:rPr>
              <w:t>0.0004</w:t>
            </w:r>
          </w:p>
        </w:tc>
        <w:tc>
          <w:tcPr>
            <w:tcW w:w="1214" w:type="dxa"/>
            <w:shd w:val="clear" w:color="auto" w:fill="auto"/>
            <w:vAlign w:val="center"/>
          </w:tcPr>
          <w:p w14:paraId="56DF56CA" w14:textId="77777777" w:rsidR="00E62177" w:rsidRPr="00CE6915" w:rsidRDefault="00E62177" w:rsidP="002D1CE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6915">
              <w:rPr>
                <w:rFonts w:ascii="Times New Roman" w:hAnsi="Times New Roman" w:cs="Times New Roman"/>
                <w:color w:val="000000"/>
              </w:rPr>
              <w:t>0.1492</w:t>
            </w:r>
          </w:p>
        </w:tc>
        <w:tc>
          <w:tcPr>
            <w:tcW w:w="1258" w:type="dxa"/>
            <w:vAlign w:val="center"/>
          </w:tcPr>
          <w:p w14:paraId="511179B2" w14:textId="77777777" w:rsidR="00E62177" w:rsidRPr="00CE6915" w:rsidRDefault="00E62177" w:rsidP="002D1CE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6915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791" w:type="dxa"/>
            <w:vAlign w:val="center"/>
          </w:tcPr>
          <w:p w14:paraId="2676743D" w14:textId="77777777" w:rsidR="00E62177" w:rsidRPr="00CE6915" w:rsidRDefault="00E62177" w:rsidP="002D1CE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6915">
              <w:rPr>
                <w:rFonts w:ascii="Times New Roman" w:hAnsi="Times New Roman" w:cs="Times New Roman"/>
                <w:color w:val="000000"/>
              </w:rPr>
              <w:t>0.0009</w:t>
            </w:r>
          </w:p>
        </w:tc>
      </w:tr>
      <w:tr w:rsidR="0079439A" w:rsidRPr="00CE6915" w14:paraId="649C10C0" w14:textId="77777777" w:rsidTr="00964354">
        <w:tc>
          <w:tcPr>
            <w:tcW w:w="1254" w:type="dxa"/>
            <w:vAlign w:val="center"/>
          </w:tcPr>
          <w:p w14:paraId="639AA2C3" w14:textId="77777777" w:rsidR="00E62177" w:rsidRPr="00CE6915" w:rsidRDefault="00E62177" w:rsidP="002D1CE1">
            <w:pPr>
              <w:rPr>
                <w:rFonts w:ascii="Times New Roman" w:hAnsi="Times New Roman" w:cs="Times New Roman"/>
                <w:color w:val="000000"/>
              </w:rPr>
            </w:pPr>
            <w:r w:rsidRPr="00CE6915">
              <w:rPr>
                <w:rFonts w:ascii="Times New Roman" w:hAnsi="Times New Roman" w:cs="Times New Roman"/>
                <w:color w:val="000000"/>
              </w:rPr>
              <w:t>Week 25</w:t>
            </w:r>
          </w:p>
        </w:tc>
        <w:tc>
          <w:tcPr>
            <w:tcW w:w="1306" w:type="dxa"/>
            <w:vAlign w:val="center"/>
          </w:tcPr>
          <w:p w14:paraId="3E630974" w14:textId="77777777" w:rsidR="00E62177" w:rsidRPr="00CE6915" w:rsidRDefault="00E62177" w:rsidP="002D1CE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6915">
              <w:rPr>
                <w:rFonts w:ascii="Times New Roman" w:hAnsi="Times New Roman" w:cs="Times New Roman"/>
                <w:color w:val="000000"/>
              </w:rPr>
              <w:t>62,051</w:t>
            </w:r>
          </w:p>
        </w:tc>
        <w:tc>
          <w:tcPr>
            <w:tcW w:w="1130" w:type="dxa"/>
            <w:vAlign w:val="center"/>
          </w:tcPr>
          <w:p w14:paraId="786E6F38" w14:textId="77777777" w:rsidR="00E62177" w:rsidRPr="00CE6915" w:rsidRDefault="00E62177" w:rsidP="002D1CE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6915">
              <w:rPr>
                <w:rFonts w:ascii="Times New Roman" w:hAnsi="Times New Roman" w:cs="Times New Roman"/>
                <w:color w:val="000000"/>
              </w:rPr>
              <w:t>29</w:t>
            </w:r>
          </w:p>
        </w:tc>
        <w:tc>
          <w:tcPr>
            <w:tcW w:w="1397" w:type="dxa"/>
            <w:vAlign w:val="center"/>
          </w:tcPr>
          <w:p w14:paraId="3FADAD82" w14:textId="77777777" w:rsidR="00E62177" w:rsidRPr="00CE6915" w:rsidRDefault="00E62177" w:rsidP="002D1CE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6915">
              <w:rPr>
                <w:rFonts w:ascii="Times New Roman" w:hAnsi="Times New Roman" w:cs="Times New Roman"/>
                <w:color w:val="000000"/>
              </w:rPr>
              <w:t>0.0005</w:t>
            </w:r>
          </w:p>
        </w:tc>
        <w:tc>
          <w:tcPr>
            <w:tcW w:w="1214" w:type="dxa"/>
            <w:shd w:val="clear" w:color="auto" w:fill="auto"/>
            <w:vAlign w:val="center"/>
          </w:tcPr>
          <w:p w14:paraId="04E618F1" w14:textId="77777777" w:rsidR="00E62177" w:rsidRPr="00CE6915" w:rsidRDefault="00E62177" w:rsidP="002D1CE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6915">
              <w:rPr>
                <w:rFonts w:ascii="Times New Roman" w:hAnsi="Times New Roman" w:cs="Times New Roman"/>
                <w:color w:val="000000"/>
              </w:rPr>
              <w:t>0.1693</w:t>
            </w:r>
          </w:p>
        </w:tc>
        <w:tc>
          <w:tcPr>
            <w:tcW w:w="1258" w:type="dxa"/>
            <w:vAlign w:val="center"/>
          </w:tcPr>
          <w:p w14:paraId="0A577852" w14:textId="77777777" w:rsidR="00E62177" w:rsidRPr="00CE6915" w:rsidRDefault="00E62177" w:rsidP="002D1CE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6915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791" w:type="dxa"/>
            <w:vAlign w:val="center"/>
          </w:tcPr>
          <w:p w14:paraId="58AFA00E" w14:textId="77777777" w:rsidR="00E62177" w:rsidRPr="00CE6915" w:rsidRDefault="00E62177" w:rsidP="002D1CE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6915">
              <w:rPr>
                <w:rFonts w:ascii="Times New Roman" w:hAnsi="Times New Roman" w:cs="Times New Roman"/>
                <w:color w:val="000000"/>
              </w:rPr>
              <w:t>0.0011</w:t>
            </w:r>
          </w:p>
        </w:tc>
      </w:tr>
      <w:tr w:rsidR="0079439A" w:rsidRPr="00CE6915" w14:paraId="69099B56" w14:textId="77777777" w:rsidTr="00964354">
        <w:tc>
          <w:tcPr>
            <w:tcW w:w="1254" w:type="dxa"/>
            <w:vAlign w:val="center"/>
          </w:tcPr>
          <w:p w14:paraId="523B8385" w14:textId="77777777" w:rsidR="00E62177" w:rsidRPr="00CE6915" w:rsidRDefault="00E62177" w:rsidP="002D1CE1">
            <w:pPr>
              <w:rPr>
                <w:rFonts w:ascii="Times New Roman" w:hAnsi="Times New Roman" w:cs="Times New Roman"/>
                <w:color w:val="000000"/>
              </w:rPr>
            </w:pPr>
            <w:r w:rsidRPr="00CE6915">
              <w:rPr>
                <w:rFonts w:ascii="Times New Roman" w:hAnsi="Times New Roman" w:cs="Times New Roman"/>
                <w:color w:val="000000"/>
              </w:rPr>
              <w:t>Week 26</w:t>
            </w:r>
          </w:p>
        </w:tc>
        <w:tc>
          <w:tcPr>
            <w:tcW w:w="1306" w:type="dxa"/>
            <w:vAlign w:val="center"/>
          </w:tcPr>
          <w:p w14:paraId="50316320" w14:textId="77777777" w:rsidR="00E62177" w:rsidRPr="00CE6915" w:rsidRDefault="00E62177" w:rsidP="002D1CE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6915">
              <w:rPr>
                <w:rFonts w:ascii="Times New Roman" w:hAnsi="Times New Roman" w:cs="Times New Roman"/>
                <w:color w:val="000000"/>
              </w:rPr>
              <w:t>62,022</w:t>
            </w:r>
          </w:p>
        </w:tc>
        <w:tc>
          <w:tcPr>
            <w:tcW w:w="1130" w:type="dxa"/>
            <w:vAlign w:val="center"/>
          </w:tcPr>
          <w:p w14:paraId="11B4AC5A" w14:textId="77777777" w:rsidR="00E62177" w:rsidRPr="00CE6915" w:rsidRDefault="00E62177" w:rsidP="002D1CE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6915">
              <w:rPr>
                <w:rFonts w:ascii="Times New Roman" w:hAnsi="Times New Roman" w:cs="Times New Roman"/>
                <w:color w:val="000000"/>
              </w:rPr>
              <w:t>32</w:t>
            </w:r>
          </w:p>
        </w:tc>
        <w:tc>
          <w:tcPr>
            <w:tcW w:w="1397" w:type="dxa"/>
            <w:vAlign w:val="center"/>
          </w:tcPr>
          <w:p w14:paraId="5B44B77C" w14:textId="77777777" w:rsidR="00E62177" w:rsidRPr="00CE6915" w:rsidRDefault="00E62177" w:rsidP="002D1CE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6915">
              <w:rPr>
                <w:rFonts w:ascii="Times New Roman" w:hAnsi="Times New Roman" w:cs="Times New Roman"/>
                <w:color w:val="000000"/>
              </w:rPr>
              <w:t>0.0005</w:t>
            </w:r>
          </w:p>
        </w:tc>
        <w:tc>
          <w:tcPr>
            <w:tcW w:w="1214" w:type="dxa"/>
            <w:shd w:val="clear" w:color="auto" w:fill="auto"/>
            <w:vAlign w:val="center"/>
          </w:tcPr>
          <w:p w14:paraId="763FF220" w14:textId="77777777" w:rsidR="00E62177" w:rsidRPr="00CE6915" w:rsidRDefault="00E62177" w:rsidP="002D1CE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6915">
              <w:rPr>
                <w:rFonts w:ascii="Times New Roman" w:hAnsi="Times New Roman" w:cs="Times New Roman"/>
                <w:color w:val="000000"/>
              </w:rPr>
              <w:t>0.1921</w:t>
            </w:r>
          </w:p>
        </w:tc>
        <w:tc>
          <w:tcPr>
            <w:tcW w:w="1258" w:type="dxa"/>
            <w:vAlign w:val="center"/>
          </w:tcPr>
          <w:p w14:paraId="0E38ACEA" w14:textId="77777777" w:rsidR="00E62177" w:rsidRPr="00CE6915" w:rsidRDefault="00E62177" w:rsidP="002D1CE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6915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791" w:type="dxa"/>
            <w:vAlign w:val="center"/>
          </w:tcPr>
          <w:p w14:paraId="2F4E4714" w14:textId="77777777" w:rsidR="00E62177" w:rsidRPr="00CE6915" w:rsidRDefault="00E62177" w:rsidP="002D1CE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6915">
              <w:rPr>
                <w:rFonts w:ascii="Times New Roman" w:hAnsi="Times New Roman" w:cs="Times New Roman"/>
                <w:color w:val="000000"/>
              </w:rPr>
              <w:t>0.0014</w:t>
            </w:r>
          </w:p>
        </w:tc>
      </w:tr>
      <w:tr w:rsidR="0079439A" w:rsidRPr="00CE6915" w14:paraId="5972A25F" w14:textId="77777777" w:rsidTr="00964354">
        <w:tc>
          <w:tcPr>
            <w:tcW w:w="1254" w:type="dxa"/>
            <w:vAlign w:val="center"/>
          </w:tcPr>
          <w:p w14:paraId="3099209D" w14:textId="77777777" w:rsidR="00E62177" w:rsidRPr="00CE6915" w:rsidRDefault="00E62177" w:rsidP="002D1CE1">
            <w:pPr>
              <w:rPr>
                <w:rFonts w:ascii="Times New Roman" w:hAnsi="Times New Roman" w:cs="Times New Roman"/>
                <w:color w:val="000000"/>
              </w:rPr>
            </w:pPr>
            <w:r w:rsidRPr="00CE6915">
              <w:rPr>
                <w:rFonts w:ascii="Times New Roman" w:hAnsi="Times New Roman" w:cs="Times New Roman"/>
                <w:color w:val="000000"/>
              </w:rPr>
              <w:t>Week 27</w:t>
            </w:r>
          </w:p>
        </w:tc>
        <w:tc>
          <w:tcPr>
            <w:tcW w:w="1306" w:type="dxa"/>
            <w:vAlign w:val="center"/>
          </w:tcPr>
          <w:p w14:paraId="7D84EFDD" w14:textId="77777777" w:rsidR="00E62177" w:rsidRPr="00CE6915" w:rsidRDefault="00E62177" w:rsidP="002D1CE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6915">
              <w:rPr>
                <w:rFonts w:ascii="Times New Roman" w:hAnsi="Times New Roman" w:cs="Times New Roman"/>
                <w:color w:val="000000"/>
              </w:rPr>
              <w:t>61,990</w:t>
            </w:r>
          </w:p>
        </w:tc>
        <w:tc>
          <w:tcPr>
            <w:tcW w:w="1130" w:type="dxa"/>
            <w:vAlign w:val="center"/>
          </w:tcPr>
          <w:p w14:paraId="6FF2E067" w14:textId="77777777" w:rsidR="00E62177" w:rsidRPr="00CE6915" w:rsidRDefault="00E62177" w:rsidP="002D1CE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6915">
              <w:rPr>
                <w:rFonts w:ascii="Times New Roman" w:hAnsi="Times New Roman" w:cs="Times New Roman"/>
                <w:color w:val="000000"/>
              </w:rPr>
              <w:t>63</w:t>
            </w:r>
          </w:p>
        </w:tc>
        <w:tc>
          <w:tcPr>
            <w:tcW w:w="1397" w:type="dxa"/>
            <w:vAlign w:val="center"/>
          </w:tcPr>
          <w:p w14:paraId="5397B7A4" w14:textId="77777777" w:rsidR="00E62177" w:rsidRPr="00CE6915" w:rsidRDefault="00E62177" w:rsidP="002D1CE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6915">
              <w:rPr>
                <w:rFonts w:ascii="Times New Roman" w:hAnsi="Times New Roman" w:cs="Times New Roman"/>
                <w:color w:val="000000"/>
              </w:rPr>
              <w:t>0.0010</w:t>
            </w:r>
          </w:p>
        </w:tc>
        <w:tc>
          <w:tcPr>
            <w:tcW w:w="1214" w:type="dxa"/>
            <w:shd w:val="clear" w:color="auto" w:fill="auto"/>
            <w:vAlign w:val="center"/>
          </w:tcPr>
          <w:p w14:paraId="7E6D01E4" w14:textId="77777777" w:rsidR="00E62177" w:rsidRPr="00CE6915" w:rsidRDefault="00E62177" w:rsidP="002D1CE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6915">
              <w:rPr>
                <w:rFonts w:ascii="Times New Roman" w:hAnsi="Times New Roman" w:cs="Times New Roman"/>
                <w:color w:val="000000"/>
              </w:rPr>
              <w:t>0.2179</w:t>
            </w:r>
          </w:p>
        </w:tc>
        <w:tc>
          <w:tcPr>
            <w:tcW w:w="1258" w:type="dxa"/>
            <w:vAlign w:val="center"/>
          </w:tcPr>
          <w:p w14:paraId="36EE7693" w14:textId="77777777" w:rsidR="00E62177" w:rsidRPr="00CE6915" w:rsidRDefault="00E62177" w:rsidP="002D1CE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6915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1791" w:type="dxa"/>
            <w:vAlign w:val="center"/>
          </w:tcPr>
          <w:p w14:paraId="7547AADC" w14:textId="77777777" w:rsidR="00E62177" w:rsidRPr="00CE6915" w:rsidRDefault="00E62177" w:rsidP="002D1CE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6915">
              <w:rPr>
                <w:rFonts w:ascii="Times New Roman" w:hAnsi="Times New Roman" w:cs="Times New Roman"/>
                <w:color w:val="000000"/>
              </w:rPr>
              <w:t>0.0032</w:t>
            </w:r>
          </w:p>
        </w:tc>
      </w:tr>
      <w:tr w:rsidR="0079439A" w:rsidRPr="00CE6915" w14:paraId="6ABCE851" w14:textId="77777777" w:rsidTr="00964354">
        <w:tc>
          <w:tcPr>
            <w:tcW w:w="1254" w:type="dxa"/>
            <w:vAlign w:val="center"/>
          </w:tcPr>
          <w:p w14:paraId="1DCBF872" w14:textId="77777777" w:rsidR="00E62177" w:rsidRPr="00CE6915" w:rsidRDefault="00E62177" w:rsidP="002D1CE1">
            <w:pPr>
              <w:rPr>
                <w:rFonts w:ascii="Times New Roman" w:hAnsi="Times New Roman" w:cs="Times New Roman"/>
                <w:color w:val="000000"/>
              </w:rPr>
            </w:pPr>
            <w:r w:rsidRPr="00CE6915">
              <w:rPr>
                <w:rFonts w:ascii="Times New Roman" w:hAnsi="Times New Roman" w:cs="Times New Roman"/>
                <w:color w:val="000000"/>
              </w:rPr>
              <w:t>Week 28</w:t>
            </w:r>
          </w:p>
        </w:tc>
        <w:tc>
          <w:tcPr>
            <w:tcW w:w="1306" w:type="dxa"/>
            <w:vAlign w:val="center"/>
          </w:tcPr>
          <w:p w14:paraId="3506F067" w14:textId="77777777" w:rsidR="00E62177" w:rsidRPr="00CE6915" w:rsidRDefault="00E62177" w:rsidP="002D1CE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6915">
              <w:rPr>
                <w:rFonts w:ascii="Times New Roman" w:hAnsi="Times New Roman" w:cs="Times New Roman"/>
                <w:color w:val="000000"/>
              </w:rPr>
              <w:t>61,927</w:t>
            </w:r>
          </w:p>
        </w:tc>
        <w:tc>
          <w:tcPr>
            <w:tcW w:w="1130" w:type="dxa"/>
            <w:vAlign w:val="center"/>
          </w:tcPr>
          <w:p w14:paraId="664161BA" w14:textId="77777777" w:rsidR="00E62177" w:rsidRPr="00CE6915" w:rsidRDefault="00E62177" w:rsidP="002D1CE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6915">
              <w:rPr>
                <w:rFonts w:ascii="Times New Roman" w:hAnsi="Times New Roman" w:cs="Times New Roman"/>
                <w:color w:val="000000"/>
              </w:rPr>
              <w:t>65</w:t>
            </w:r>
          </w:p>
        </w:tc>
        <w:tc>
          <w:tcPr>
            <w:tcW w:w="1397" w:type="dxa"/>
            <w:vAlign w:val="center"/>
          </w:tcPr>
          <w:p w14:paraId="754F1341" w14:textId="77777777" w:rsidR="00E62177" w:rsidRPr="00CE6915" w:rsidRDefault="00E62177" w:rsidP="002D1CE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6915">
              <w:rPr>
                <w:rFonts w:ascii="Times New Roman" w:hAnsi="Times New Roman" w:cs="Times New Roman"/>
                <w:color w:val="000000"/>
              </w:rPr>
              <w:t>0.0010</w:t>
            </w:r>
          </w:p>
        </w:tc>
        <w:tc>
          <w:tcPr>
            <w:tcW w:w="1214" w:type="dxa"/>
            <w:shd w:val="clear" w:color="auto" w:fill="auto"/>
            <w:vAlign w:val="center"/>
          </w:tcPr>
          <w:p w14:paraId="75A29A06" w14:textId="77777777" w:rsidR="00E62177" w:rsidRPr="00CE6915" w:rsidRDefault="00E62177" w:rsidP="002D1CE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6915">
              <w:rPr>
                <w:rFonts w:ascii="Times New Roman" w:hAnsi="Times New Roman" w:cs="Times New Roman"/>
                <w:color w:val="000000"/>
              </w:rPr>
              <w:t>0.2473</w:t>
            </w:r>
          </w:p>
        </w:tc>
        <w:tc>
          <w:tcPr>
            <w:tcW w:w="1258" w:type="dxa"/>
            <w:vAlign w:val="center"/>
          </w:tcPr>
          <w:p w14:paraId="79FBCA4B" w14:textId="77777777" w:rsidR="00E62177" w:rsidRPr="00CE6915" w:rsidRDefault="00E62177" w:rsidP="002D1CE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6915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1791" w:type="dxa"/>
            <w:vAlign w:val="center"/>
          </w:tcPr>
          <w:p w14:paraId="4B8C91A9" w14:textId="77777777" w:rsidR="00E62177" w:rsidRPr="00CE6915" w:rsidRDefault="00E62177" w:rsidP="002D1CE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6915">
              <w:rPr>
                <w:rFonts w:ascii="Times New Roman" w:hAnsi="Times New Roman" w:cs="Times New Roman"/>
                <w:color w:val="000000"/>
              </w:rPr>
              <w:t>0.0037</w:t>
            </w:r>
          </w:p>
        </w:tc>
      </w:tr>
      <w:tr w:rsidR="0079439A" w:rsidRPr="00CE6915" w14:paraId="366DA90F" w14:textId="77777777" w:rsidTr="00964354">
        <w:tc>
          <w:tcPr>
            <w:tcW w:w="1254" w:type="dxa"/>
            <w:vAlign w:val="center"/>
          </w:tcPr>
          <w:p w14:paraId="6C296927" w14:textId="77777777" w:rsidR="00E62177" w:rsidRPr="00CE6915" w:rsidRDefault="00E62177" w:rsidP="002D1CE1">
            <w:pPr>
              <w:rPr>
                <w:rFonts w:ascii="Times New Roman" w:hAnsi="Times New Roman" w:cs="Times New Roman"/>
                <w:color w:val="000000"/>
              </w:rPr>
            </w:pPr>
            <w:r w:rsidRPr="00CE6915">
              <w:rPr>
                <w:rFonts w:ascii="Times New Roman" w:hAnsi="Times New Roman" w:cs="Times New Roman"/>
                <w:color w:val="000000"/>
              </w:rPr>
              <w:t>Week 29</w:t>
            </w:r>
          </w:p>
        </w:tc>
        <w:tc>
          <w:tcPr>
            <w:tcW w:w="1306" w:type="dxa"/>
            <w:vAlign w:val="center"/>
          </w:tcPr>
          <w:p w14:paraId="0BB3F56E" w14:textId="77777777" w:rsidR="00E62177" w:rsidRPr="00CE6915" w:rsidRDefault="00E62177" w:rsidP="002D1CE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6915">
              <w:rPr>
                <w:rFonts w:ascii="Times New Roman" w:hAnsi="Times New Roman" w:cs="Times New Roman"/>
                <w:color w:val="000000"/>
              </w:rPr>
              <w:t>61,862</w:t>
            </w:r>
          </w:p>
        </w:tc>
        <w:tc>
          <w:tcPr>
            <w:tcW w:w="1130" w:type="dxa"/>
            <w:vAlign w:val="center"/>
          </w:tcPr>
          <w:p w14:paraId="11DB44F8" w14:textId="77777777" w:rsidR="00E62177" w:rsidRPr="00CE6915" w:rsidRDefault="00E62177" w:rsidP="002D1CE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6915">
              <w:rPr>
                <w:rFonts w:ascii="Times New Roman" w:hAnsi="Times New Roman" w:cs="Times New Roman"/>
                <w:color w:val="000000"/>
              </w:rPr>
              <w:t>75</w:t>
            </w:r>
          </w:p>
        </w:tc>
        <w:tc>
          <w:tcPr>
            <w:tcW w:w="1397" w:type="dxa"/>
            <w:vAlign w:val="center"/>
          </w:tcPr>
          <w:p w14:paraId="23F1A6ED" w14:textId="77777777" w:rsidR="00E62177" w:rsidRPr="00CE6915" w:rsidRDefault="00E62177" w:rsidP="002D1CE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6915">
              <w:rPr>
                <w:rFonts w:ascii="Times New Roman" w:hAnsi="Times New Roman" w:cs="Times New Roman"/>
                <w:color w:val="000000"/>
              </w:rPr>
              <w:t>0.0012</w:t>
            </w:r>
          </w:p>
        </w:tc>
        <w:tc>
          <w:tcPr>
            <w:tcW w:w="1214" w:type="dxa"/>
            <w:shd w:val="clear" w:color="auto" w:fill="auto"/>
            <w:vAlign w:val="center"/>
          </w:tcPr>
          <w:p w14:paraId="089D9ADB" w14:textId="77777777" w:rsidR="00E62177" w:rsidRPr="00CE6915" w:rsidRDefault="00E62177" w:rsidP="002D1CE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6915">
              <w:rPr>
                <w:rFonts w:ascii="Times New Roman" w:hAnsi="Times New Roman" w:cs="Times New Roman"/>
                <w:color w:val="000000"/>
              </w:rPr>
              <w:t>0.2806</w:t>
            </w:r>
          </w:p>
        </w:tc>
        <w:tc>
          <w:tcPr>
            <w:tcW w:w="1258" w:type="dxa"/>
            <w:vAlign w:val="center"/>
          </w:tcPr>
          <w:p w14:paraId="214A8559" w14:textId="77777777" w:rsidR="00E62177" w:rsidRPr="00CE6915" w:rsidRDefault="00E62177" w:rsidP="002D1CE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6915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1791" w:type="dxa"/>
            <w:vAlign w:val="center"/>
          </w:tcPr>
          <w:p w14:paraId="42EA6D3E" w14:textId="77777777" w:rsidR="00E62177" w:rsidRPr="00CE6915" w:rsidRDefault="00E62177" w:rsidP="002D1CE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6915">
              <w:rPr>
                <w:rFonts w:ascii="Times New Roman" w:hAnsi="Times New Roman" w:cs="Times New Roman"/>
                <w:color w:val="000000"/>
              </w:rPr>
              <w:t>0.0049</w:t>
            </w:r>
          </w:p>
        </w:tc>
      </w:tr>
      <w:tr w:rsidR="0079439A" w:rsidRPr="00CE6915" w14:paraId="1573E813" w14:textId="77777777" w:rsidTr="00964354">
        <w:tc>
          <w:tcPr>
            <w:tcW w:w="1254" w:type="dxa"/>
            <w:vAlign w:val="center"/>
          </w:tcPr>
          <w:p w14:paraId="27FB6D82" w14:textId="77777777" w:rsidR="00E62177" w:rsidRPr="00CE6915" w:rsidRDefault="00E62177" w:rsidP="002D1CE1">
            <w:pPr>
              <w:rPr>
                <w:rFonts w:ascii="Times New Roman" w:hAnsi="Times New Roman" w:cs="Times New Roman"/>
                <w:color w:val="000000"/>
              </w:rPr>
            </w:pPr>
            <w:r w:rsidRPr="00CE6915">
              <w:rPr>
                <w:rFonts w:ascii="Times New Roman" w:hAnsi="Times New Roman" w:cs="Times New Roman"/>
                <w:color w:val="000000"/>
              </w:rPr>
              <w:t>Week 30</w:t>
            </w:r>
          </w:p>
        </w:tc>
        <w:tc>
          <w:tcPr>
            <w:tcW w:w="1306" w:type="dxa"/>
            <w:vAlign w:val="center"/>
          </w:tcPr>
          <w:p w14:paraId="73A4CB85" w14:textId="77777777" w:rsidR="00E62177" w:rsidRPr="00CE6915" w:rsidRDefault="00E62177" w:rsidP="002D1CE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6915">
              <w:rPr>
                <w:rFonts w:ascii="Times New Roman" w:hAnsi="Times New Roman" w:cs="Times New Roman"/>
                <w:color w:val="000000"/>
              </w:rPr>
              <w:t>61,787</w:t>
            </w:r>
          </w:p>
        </w:tc>
        <w:tc>
          <w:tcPr>
            <w:tcW w:w="1130" w:type="dxa"/>
            <w:vAlign w:val="center"/>
          </w:tcPr>
          <w:p w14:paraId="1420AF78" w14:textId="77777777" w:rsidR="00E62177" w:rsidRPr="00CE6915" w:rsidRDefault="00E62177" w:rsidP="002D1CE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6915">
              <w:rPr>
                <w:rFonts w:ascii="Times New Roman" w:hAnsi="Times New Roman" w:cs="Times New Roman"/>
                <w:color w:val="000000"/>
              </w:rPr>
              <w:t>104</w:t>
            </w:r>
          </w:p>
        </w:tc>
        <w:tc>
          <w:tcPr>
            <w:tcW w:w="1397" w:type="dxa"/>
            <w:vAlign w:val="center"/>
          </w:tcPr>
          <w:p w14:paraId="44F855B3" w14:textId="77777777" w:rsidR="00E62177" w:rsidRPr="00CE6915" w:rsidRDefault="00E62177" w:rsidP="002D1CE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6915">
              <w:rPr>
                <w:rFonts w:ascii="Times New Roman" w:hAnsi="Times New Roman" w:cs="Times New Roman"/>
                <w:color w:val="000000"/>
              </w:rPr>
              <w:t>0.0017</w:t>
            </w:r>
          </w:p>
        </w:tc>
        <w:tc>
          <w:tcPr>
            <w:tcW w:w="1214" w:type="dxa"/>
            <w:shd w:val="clear" w:color="auto" w:fill="auto"/>
            <w:vAlign w:val="center"/>
          </w:tcPr>
          <w:p w14:paraId="05FC9C55" w14:textId="77777777" w:rsidR="00E62177" w:rsidRPr="00CE6915" w:rsidRDefault="00E62177" w:rsidP="002D1CE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6915">
              <w:rPr>
                <w:rFonts w:ascii="Times New Roman" w:hAnsi="Times New Roman" w:cs="Times New Roman"/>
                <w:color w:val="000000"/>
              </w:rPr>
              <w:t>0.3183</w:t>
            </w:r>
          </w:p>
        </w:tc>
        <w:tc>
          <w:tcPr>
            <w:tcW w:w="1258" w:type="dxa"/>
            <w:vAlign w:val="center"/>
          </w:tcPr>
          <w:p w14:paraId="4706165C" w14:textId="77777777" w:rsidR="00E62177" w:rsidRPr="00CE6915" w:rsidRDefault="00E62177" w:rsidP="002D1CE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6915">
              <w:rPr>
                <w:rFonts w:ascii="Times New Roman" w:hAnsi="Times New Roman" w:cs="Times New Roman"/>
                <w:color w:val="000000"/>
              </w:rPr>
              <w:t>33</w:t>
            </w:r>
          </w:p>
        </w:tc>
        <w:tc>
          <w:tcPr>
            <w:tcW w:w="1791" w:type="dxa"/>
            <w:vAlign w:val="center"/>
          </w:tcPr>
          <w:p w14:paraId="4F94AB13" w14:textId="77777777" w:rsidR="00E62177" w:rsidRPr="00CE6915" w:rsidRDefault="00E62177" w:rsidP="002D1CE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6915">
              <w:rPr>
                <w:rFonts w:ascii="Times New Roman" w:hAnsi="Times New Roman" w:cs="Times New Roman"/>
                <w:color w:val="000000"/>
              </w:rPr>
              <w:t>0.0077</w:t>
            </w:r>
          </w:p>
        </w:tc>
      </w:tr>
      <w:tr w:rsidR="0079439A" w:rsidRPr="00CE6915" w14:paraId="6E0B7CAB" w14:textId="77777777" w:rsidTr="00964354">
        <w:tc>
          <w:tcPr>
            <w:tcW w:w="1254" w:type="dxa"/>
            <w:vAlign w:val="center"/>
          </w:tcPr>
          <w:p w14:paraId="1A9AD129" w14:textId="77777777" w:rsidR="00E62177" w:rsidRPr="00CE6915" w:rsidRDefault="00E62177" w:rsidP="002D1CE1">
            <w:pPr>
              <w:rPr>
                <w:rFonts w:ascii="Times New Roman" w:hAnsi="Times New Roman" w:cs="Times New Roman"/>
                <w:color w:val="000000"/>
              </w:rPr>
            </w:pPr>
            <w:r w:rsidRPr="00CE6915">
              <w:rPr>
                <w:rFonts w:ascii="Times New Roman" w:hAnsi="Times New Roman" w:cs="Times New Roman"/>
                <w:color w:val="000000"/>
              </w:rPr>
              <w:t>Week 31</w:t>
            </w:r>
          </w:p>
        </w:tc>
        <w:tc>
          <w:tcPr>
            <w:tcW w:w="1306" w:type="dxa"/>
            <w:vAlign w:val="center"/>
          </w:tcPr>
          <w:p w14:paraId="4056C479" w14:textId="77777777" w:rsidR="00E62177" w:rsidRPr="00CE6915" w:rsidRDefault="00E62177" w:rsidP="002D1CE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6915">
              <w:rPr>
                <w:rFonts w:ascii="Times New Roman" w:hAnsi="Times New Roman" w:cs="Times New Roman"/>
                <w:color w:val="000000"/>
              </w:rPr>
              <w:t>61,683</w:t>
            </w:r>
          </w:p>
        </w:tc>
        <w:tc>
          <w:tcPr>
            <w:tcW w:w="1130" w:type="dxa"/>
            <w:vAlign w:val="center"/>
          </w:tcPr>
          <w:p w14:paraId="5BBC20BC" w14:textId="77777777" w:rsidR="00E62177" w:rsidRPr="00CE6915" w:rsidRDefault="00E62177" w:rsidP="002D1CE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6915">
              <w:rPr>
                <w:rFonts w:ascii="Times New Roman" w:hAnsi="Times New Roman" w:cs="Times New Roman"/>
                <w:color w:val="000000"/>
              </w:rPr>
              <w:t>115</w:t>
            </w:r>
          </w:p>
        </w:tc>
        <w:tc>
          <w:tcPr>
            <w:tcW w:w="1397" w:type="dxa"/>
            <w:vAlign w:val="center"/>
          </w:tcPr>
          <w:p w14:paraId="5B40B0C6" w14:textId="77777777" w:rsidR="00E62177" w:rsidRPr="00CE6915" w:rsidRDefault="00E62177" w:rsidP="002D1CE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6915">
              <w:rPr>
                <w:rFonts w:ascii="Times New Roman" w:hAnsi="Times New Roman" w:cs="Times New Roman"/>
                <w:color w:val="000000"/>
              </w:rPr>
              <w:t>0.0019</w:t>
            </w:r>
          </w:p>
        </w:tc>
        <w:tc>
          <w:tcPr>
            <w:tcW w:w="1214" w:type="dxa"/>
            <w:shd w:val="clear" w:color="auto" w:fill="auto"/>
            <w:vAlign w:val="center"/>
          </w:tcPr>
          <w:p w14:paraId="5BCA8C05" w14:textId="77777777" w:rsidR="00E62177" w:rsidRPr="00CE6915" w:rsidRDefault="00E62177" w:rsidP="002D1CE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6915">
              <w:rPr>
                <w:rFonts w:ascii="Times New Roman" w:hAnsi="Times New Roman" w:cs="Times New Roman"/>
                <w:color w:val="000000"/>
              </w:rPr>
              <w:t>0.3612</w:t>
            </w:r>
          </w:p>
        </w:tc>
        <w:tc>
          <w:tcPr>
            <w:tcW w:w="1258" w:type="dxa"/>
            <w:vAlign w:val="center"/>
          </w:tcPr>
          <w:p w14:paraId="046A91D5" w14:textId="77777777" w:rsidR="00E62177" w:rsidRPr="00CE6915" w:rsidRDefault="00E62177" w:rsidP="002D1CE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6915">
              <w:rPr>
                <w:rFonts w:ascii="Times New Roman" w:hAnsi="Times New Roman" w:cs="Times New Roman"/>
                <w:color w:val="000000"/>
              </w:rPr>
              <w:t>42</w:t>
            </w:r>
          </w:p>
        </w:tc>
        <w:tc>
          <w:tcPr>
            <w:tcW w:w="1791" w:type="dxa"/>
            <w:vAlign w:val="center"/>
          </w:tcPr>
          <w:p w14:paraId="07694F15" w14:textId="77777777" w:rsidR="00E62177" w:rsidRPr="00CE6915" w:rsidRDefault="00E62177" w:rsidP="002D1CE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6915">
              <w:rPr>
                <w:rFonts w:ascii="Times New Roman" w:hAnsi="Times New Roman" w:cs="Times New Roman"/>
                <w:color w:val="000000"/>
              </w:rPr>
              <w:t>0.0098</w:t>
            </w:r>
          </w:p>
        </w:tc>
      </w:tr>
      <w:tr w:rsidR="0079439A" w:rsidRPr="00CE6915" w14:paraId="4126BF0D" w14:textId="77777777" w:rsidTr="00964354">
        <w:tc>
          <w:tcPr>
            <w:tcW w:w="1254" w:type="dxa"/>
            <w:vAlign w:val="center"/>
          </w:tcPr>
          <w:p w14:paraId="49BA941F" w14:textId="77777777" w:rsidR="00E62177" w:rsidRPr="00CE6915" w:rsidRDefault="00E62177" w:rsidP="002D1CE1">
            <w:pPr>
              <w:rPr>
                <w:rFonts w:ascii="Times New Roman" w:hAnsi="Times New Roman" w:cs="Times New Roman"/>
                <w:color w:val="000000"/>
              </w:rPr>
            </w:pPr>
            <w:r w:rsidRPr="00CE6915">
              <w:rPr>
                <w:rFonts w:ascii="Times New Roman" w:hAnsi="Times New Roman" w:cs="Times New Roman"/>
                <w:color w:val="000000"/>
              </w:rPr>
              <w:t>Week 32</w:t>
            </w:r>
          </w:p>
        </w:tc>
        <w:tc>
          <w:tcPr>
            <w:tcW w:w="1306" w:type="dxa"/>
            <w:vAlign w:val="center"/>
          </w:tcPr>
          <w:p w14:paraId="15D14799" w14:textId="77777777" w:rsidR="00E62177" w:rsidRPr="00CE6915" w:rsidRDefault="00E62177" w:rsidP="002D1CE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6915">
              <w:rPr>
                <w:rFonts w:ascii="Times New Roman" w:hAnsi="Times New Roman" w:cs="Times New Roman"/>
                <w:color w:val="000000"/>
              </w:rPr>
              <w:t>61,568</w:t>
            </w:r>
          </w:p>
        </w:tc>
        <w:tc>
          <w:tcPr>
            <w:tcW w:w="1130" w:type="dxa"/>
            <w:vAlign w:val="center"/>
          </w:tcPr>
          <w:p w14:paraId="18B4865C" w14:textId="77777777" w:rsidR="00E62177" w:rsidRPr="00CE6915" w:rsidRDefault="00E62177" w:rsidP="002D1CE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6915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397" w:type="dxa"/>
            <w:vAlign w:val="center"/>
          </w:tcPr>
          <w:p w14:paraId="60933FBA" w14:textId="77777777" w:rsidR="00E62177" w:rsidRPr="00CE6915" w:rsidRDefault="00E62177" w:rsidP="002D1CE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6915">
              <w:rPr>
                <w:rFonts w:ascii="Times New Roman" w:hAnsi="Times New Roman" w:cs="Times New Roman"/>
                <w:color w:val="000000"/>
              </w:rPr>
              <w:t>0.0032</w:t>
            </w:r>
          </w:p>
        </w:tc>
        <w:tc>
          <w:tcPr>
            <w:tcW w:w="1214" w:type="dxa"/>
            <w:shd w:val="clear" w:color="auto" w:fill="auto"/>
            <w:vAlign w:val="center"/>
          </w:tcPr>
          <w:p w14:paraId="0C00A747" w14:textId="77777777" w:rsidR="00E62177" w:rsidRPr="00CE6915" w:rsidRDefault="00E62177" w:rsidP="002D1CE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6915">
              <w:rPr>
                <w:rFonts w:ascii="Times New Roman" w:hAnsi="Times New Roman" w:cs="Times New Roman"/>
                <w:color w:val="000000"/>
              </w:rPr>
              <w:t>0.4098</w:t>
            </w:r>
          </w:p>
        </w:tc>
        <w:tc>
          <w:tcPr>
            <w:tcW w:w="1258" w:type="dxa"/>
            <w:vAlign w:val="center"/>
          </w:tcPr>
          <w:p w14:paraId="101E0711" w14:textId="77777777" w:rsidR="00E62177" w:rsidRPr="00CE6915" w:rsidRDefault="00E62177" w:rsidP="002D1CE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6915">
              <w:rPr>
                <w:rFonts w:ascii="Times New Roman" w:hAnsi="Times New Roman" w:cs="Times New Roman"/>
                <w:color w:val="000000"/>
              </w:rPr>
              <w:t>82</w:t>
            </w:r>
          </w:p>
        </w:tc>
        <w:tc>
          <w:tcPr>
            <w:tcW w:w="1791" w:type="dxa"/>
            <w:vAlign w:val="center"/>
          </w:tcPr>
          <w:p w14:paraId="6B01DA76" w14:textId="77777777" w:rsidR="00E62177" w:rsidRPr="00CE6915" w:rsidRDefault="00E62177" w:rsidP="002D1CE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6915">
              <w:rPr>
                <w:rFonts w:ascii="Times New Roman" w:hAnsi="Times New Roman" w:cs="Times New Roman"/>
                <w:color w:val="000000"/>
              </w:rPr>
              <w:t>0.0194</w:t>
            </w:r>
          </w:p>
        </w:tc>
      </w:tr>
      <w:tr w:rsidR="0079439A" w:rsidRPr="00CE6915" w14:paraId="38F7A574" w14:textId="77777777" w:rsidTr="00964354">
        <w:tc>
          <w:tcPr>
            <w:tcW w:w="1254" w:type="dxa"/>
            <w:vAlign w:val="center"/>
          </w:tcPr>
          <w:p w14:paraId="067C3C01" w14:textId="77777777" w:rsidR="00E62177" w:rsidRPr="00CE6915" w:rsidRDefault="00E62177" w:rsidP="002D1CE1">
            <w:pPr>
              <w:rPr>
                <w:rFonts w:ascii="Times New Roman" w:hAnsi="Times New Roman" w:cs="Times New Roman"/>
                <w:color w:val="000000"/>
              </w:rPr>
            </w:pPr>
            <w:r w:rsidRPr="00CE6915">
              <w:rPr>
                <w:rFonts w:ascii="Times New Roman" w:hAnsi="Times New Roman" w:cs="Times New Roman"/>
                <w:color w:val="000000"/>
              </w:rPr>
              <w:t>Week 33</w:t>
            </w:r>
          </w:p>
        </w:tc>
        <w:tc>
          <w:tcPr>
            <w:tcW w:w="1306" w:type="dxa"/>
            <w:vAlign w:val="center"/>
          </w:tcPr>
          <w:p w14:paraId="6716A384" w14:textId="77777777" w:rsidR="00E62177" w:rsidRPr="00CE6915" w:rsidRDefault="00E62177" w:rsidP="002D1CE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6915">
              <w:rPr>
                <w:rFonts w:ascii="Times New Roman" w:hAnsi="Times New Roman" w:cs="Times New Roman"/>
                <w:color w:val="000000"/>
              </w:rPr>
              <w:t>61,368</w:t>
            </w:r>
          </w:p>
        </w:tc>
        <w:tc>
          <w:tcPr>
            <w:tcW w:w="1130" w:type="dxa"/>
            <w:vAlign w:val="center"/>
          </w:tcPr>
          <w:p w14:paraId="6A8BDEC9" w14:textId="77777777" w:rsidR="00E62177" w:rsidRPr="00CE6915" w:rsidRDefault="00E62177" w:rsidP="002D1CE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6915">
              <w:rPr>
                <w:rFonts w:ascii="Times New Roman" w:hAnsi="Times New Roman" w:cs="Times New Roman"/>
                <w:color w:val="000000"/>
              </w:rPr>
              <w:t>299</w:t>
            </w:r>
          </w:p>
        </w:tc>
        <w:tc>
          <w:tcPr>
            <w:tcW w:w="1397" w:type="dxa"/>
            <w:vAlign w:val="center"/>
          </w:tcPr>
          <w:p w14:paraId="12EEAB13" w14:textId="77777777" w:rsidR="00E62177" w:rsidRPr="00CE6915" w:rsidRDefault="00E62177" w:rsidP="002D1CE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6915">
              <w:rPr>
                <w:rFonts w:ascii="Times New Roman" w:hAnsi="Times New Roman" w:cs="Times New Roman"/>
                <w:color w:val="000000"/>
              </w:rPr>
              <w:t>0.0049</w:t>
            </w:r>
          </w:p>
        </w:tc>
        <w:tc>
          <w:tcPr>
            <w:tcW w:w="1214" w:type="dxa"/>
            <w:shd w:val="clear" w:color="auto" w:fill="auto"/>
            <w:vAlign w:val="center"/>
          </w:tcPr>
          <w:p w14:paraId="6925BA83" w14:textId="77777777" w:rsidR="00E62177" w:rsidRPr="00CE6915" w:rsidRDefault="00E62177" w:rsidP="002D1CE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6915">
              <w:rPr>
                <w:rFonts w:ascii="Times New Roman" w:hAnsi="Times New Roman" w:cs="Times New Roman"/>
                <w:color w:val="000000"/>
              </w:rPr>
              <w:t>0.4649</w:t>
            </w:r>
          </w:p>
        </w:tc>
        <w:tc>
          <w:tcPr>
            <w:tcW w:w="1258" w:type="dxa"/>
            <w:vAlign w:val="center"/>
          </w:tcPr>
          <w:p w14:paraId="67711FC9" w14:textId="77777777" w:rsidR="00E62177" w:rsidRPr="00CE6915" w:rsidRDefault="00E62177" w:rsidP="002D1CE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6915">
              <w:rPr>
                <w:rFonts w:ascii="Times New Roman" w:hAnsi="Times New Roman" w:cs="Times New Roman"/>
                <w:color w:val="000000"/>
              </w:rPr>
              <w:t>139</w:t>
            </w:r>
          </w:p>
        </w:tc>
        <w:tc>
          <w:tcPr>
            <w:tcW w:w="1791" w:type="dxa"/>
            <w:vAlign w:val="center"/>
          </w:tcPr>
          <w:p w14:paraId="79DD46F2" w14:textId="77777777" w:rsidR="00E62177" w:rsidRPr="00CE6915" w:rsidRDefault="00E62177" w:rsidP="002D1CE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6915">
              <w:rPr>
                <w:rFonts w:ascii="Times New Roman" w:hAnsi="Times New Roman" w:cs="Times New Roman"/>
                <w:color w:val="000000"/>
              </w:rPr>
              <w:t>0.0336</w:t>
            </w:r>
          </w:p>
        </w:tc>
      </w:tr>
      <w:tr w:rsidR="0079439A" w:rsidRPr="00CE6915" w14:paraId="4F5A7F0C" w14:textId="77777777" w:rsidTr="00964354">
        <w:tc>
          <w:tcPr>
            <w:tcW w:w="1254" w:type="dxa"/>
            <w:vAlign w:val="center"/>
          </w:tcPr>
          <w:p w14:paraId="0F933094" w14:textId="77777777" w:rsidR="00E62177" w:rsidRPr="00CE6915" w:rsidRDefault="00E62177" w:rsidP="002D1CE1">
            <w:pPr>
              <w:rPr>
                <w:rFonts w:ascii="Times New Roman" w:hAnsi="Times New Roman" w:cs="Times New Roman"/>
                <w:color w:val="000000"/>
              </w:rPr>
            </w:pPr>
            <w:r w:rsidRPr="00CE6915">
              <w:rPr>
                <w:rFonts w:ascii="Times New Roman" w:hAnsi="Times New Roman" w:cs="Times New Roman"/>
                <w:color w:val="000000"/>
              </w:rPr>
              <w:t>Week 34</w:t>
            </w:r>
          </w:p>
        </w:tc>
        <w:tc>
          <w:tcPr>
            <w:tcW w:w="1306" w:type="dxa"/>
            <w:vAlign w:val="center"/>
          </w:tcPr>
          <w:p w14:paraId="1CBB64A6" w14:textId="77777777" w:rsidR="00E62177" w:rsidRPr="00CE6915" w:rsidRDefault="00E62177" w:rsidP="002D1CE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6915">
              <w:rPr>
                <w:rFonts w:ascii="Times New Roman" w:hAnsi="Times New Roman" w:cs="Times New Roman"/>
                <w:color w:val="000000"/>
              </w:rPr>
              <w:t>61,069</w:t>
            </w:r>
          </w:p>
        </w:tc>
        <w:tc>
          <w:tcPr>
            <w:tcW w:w="1130" w:type="dxa"/>
            <w:vAlign w:val="center"/>
          </w:tcPr>
          <w:p w14:paraId="5C1107B3" w14:textId="77777777" w:rsidR="00E62177" w:rsidRPr="00CE6915" w:rsidRDefault="00E62177" w:rsidP="002D1CE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6915">
              <w:rPr>
                <w:rFonts w:ascii="Times New Roman" w:hAnsi="Times New Roman" w:cs="Times New Roman"/>
                <w:color w:val="000000"/>
              </w:rPr>
              <w:t>674</w:t>
            </w:r>
          </w:p>
        </w:tc>
        <w:tc>
          <w:tcPr>
            <w:tcW w:w="1397" w:type="dxa"/>
            <w:vAlign w:val="center"/>
          </w:tcPr>
          <w:p w14:paraId="14613E3D" w14:textId="77777777" w:rsidR="00E62177" w:rsidRPr="00CE6915" w:rsidRDefault="00E62177" w:rsidP="002D1CE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6915">
              <w:rPr>
                <w:rFonts w:ascii="Times New Roman" w:hAnsi="Times New Roman" w:cs="Times New Roman"/>
                <w:color w:val="000000"/>
              </w:rPr>
              <w:t>0.0110</w:t>
            </w:r>
          </w:p>
        </w:tc>
        <w:tc>
          <w:tcPr>
            <w:tcW w:w="1214" w:type="dxa"/>
            <w:shd w:val="clear" w:color="auto" w:fill="auto"/>
            <w:vAlign w:val="center"/>
          </w:tcPr>
          <w:p w14:paraId="719D6653" w14:textId="77777777" w:rsidR="00E62177" w:rsidRPr="00CE6915" w:rsidRDefault="00E62177" w:rsidP="002D1CE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6915">
              <w:rPr>
                <w:rFonts w:ascii="Times New Roman" w:hAnsi="Times New Roman" w:cs="Times New Roman"/>
                <w:color w:val="000000"/>
              </w:rPr>
              <w:t>0.5275</w:t>
            </w:r>
          </w:p>
        </w:tc>
        <w:tc>
          <w:tcPr>
            <w:tcW w:w="1258" w:type="dxa"/>
            <w:vAlign w:val="center"/>
          </w:tcPr>
          <w:p w14:paraId="3E6B78E3" w14:textId="77777777" w:rsidR="00E62177" w:rsidRPr="00CE6915" w:rsidRDefault="00E62177" w:rsidP="002D1CE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6915">
              <w:rPr>
                <w:rFonts w:ascii="Times New Roman" w:hAnsi="Times New Roman" w:cs="Times New Roman"/>
                <w:color w:val="000000"/>
              </w:rPr>
              <w:t>356</w:t>
            </w:r>
          </w:p>
        </w:tc>
        <w:tc>
          <w:tcPr>
            <w:tcW w:w="1791" w:type="dxa"/>
            <w:vAlign w:val="center"/>
          </w:tcPr>
          <w:p w14:paraId="3C096452" w14:textId="77777777" w:rsidR="00E62177" w:rsidRPr="00CE6915" w:rsidRDefault="00E62177" w:rsidP="002D1CE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6915">
              <w:rPr>
                <w:rFonts w:ascii="Times New Roman" w:hAnsi="Times New Roman" w:cs="Times New Roman"/>
                <w:color w:val="000000"/>
              </w:rPr>
              <w:t>0.0890</w:t>
            </w:r>
          </w:p>
        </w:tc>
      </w:tr>
      <w:tr w:rsidR="0079439A" w:rsidRPr="00CE6915" w14:paraId="36B89DFA" w14:textId="77777777" w:rsidTr="00964354">
        <w:tc>
          <w:tcPr>
            <w:tcW w:w="1254" w:type="dxa"/>
            <w:vAlign w:val="center"/>
          </w:tcPr>
          <w:p w14:paraId="5DC8C05B" w14:textId="77777777" w:rsidR="00E62177" w:rsidRPr="00CE6915" w:rsidRDefault="00E62177" w:rsidP="002D1CE1">
            <w:pPr>
              <w:rPr>
                <w:rFonts w:ascii="Times New Roman" w:hAnsi="Times New Roman" w:cs="Times New Roman"/>
                <w:color w:val="000000"/>
              </w:rPr>
            </w:pPr>
            <w:r w:rsidRPr="00CE6915">
              <w:rPr>
                <w:rFonts w:ascii="Times New Roman" w:hAnsi="Times New Roman" w:cs="Times New Roman"/>
                <w:color w:val="000000"/>
              </w:rPr>
              <w:t xml:space="preserve">Week 35 </w:t>
            </w:r>
          </w:p>
        </w:tc>
        <w:tc>
          <w:tcPr>
            <w:tcW w:w="1306" w:type="dxa"/>
            <w:vAlign w:val="center"/>
          </w:tcPr>
          <w:p w14:paraId="79884A75" w14:textId="77777777" w:rsidR="00E62177" w:rsidRPr="00CE6915" w:rsidRDefault="00E62177" w:rsidP="002D1CE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6915">
              <w:rPr>
                <w:rFonts w:ascii="Times New Roman" w:hAnsi="Times New Roman" w:cs="Times New Roman"/>
                <w:color w:val="000000"/>
              </w:rPr>
              <w:t>60,395</w:t>
            </w:r>
          </w:p>
        </w:tc>
        <w:tc>
          <w:tcPr>
            <w:tcW w:w="1130" w:type="dxa"/>
            <w:vAlign w:val="center"/>
          </w:tcPr>
          <w:p w14:paraId="7C9D5DD1" w14:textId="77777777" w:rsidR="00E62177" w:rsidRPr="00CE6915" w:rsidRDefault="00E62177" w:rsidP="002D1CE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6915">
              <w:rPr>
                <w:rFonts w:ascii="Times New Roman" w:hAnsi="Times New Roman" w:cs="Times New Roman"/>
                <w:color w:val="000000"/>
              </w:rPr>
              <w:t>820</w:t>
            </w:r>
          </w:p>
        </w:tc>
        <w:tc>
          <w:tcPr>
            <w:tcW w:w="1397" w:type="dxa"/>
            <w:vAlign w:val="center"/>
          </w:tcPr>
          <w:p w14:paraId="3C2509BF" w14:textId="77777777" w:rsidR="00E62177" w:rsidRPr="00CE6915" w:rsidRDefault="00E62177" w:rsidP="002D1CE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6915">
              <w:rPr>
                <w:rFonts w:ascii="Times New Roman" w:hAnsi="Times New Roman" w:cs="Times New Roman"/>
                <w:color w:val="000000"/>
              </w:rPr>
              <w:t>0.0136</w:t>
            </w:r>
          </w:p>
        </w:tc>
        <w:tc>
          <w:tcPr>
            <w:tcW w:w="1214" w:type="dxa"/>
            <w:shd w:val="clear" w:color="auto" w:fill="auto"/>
            <w:vAlign w:val="center"/>
          </w:tcPr>
          <w:p w14:paraId="73F3B0BC" w14:textId="77777777" w:rsidR="00E62177" w:rsidRPr="00CE6915" w:rsidRDefault="00E62177" w:rsidP="002D1CE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6915">
              <w:rPr>
                <w:rFonts w:ascii="Times New Roman" w:hAnsi="Times New Roman" w:cs="Times New Roman"/>
                <w:color w:val="000000"/>
              </w:rPr>
              <w:t>0.5985</w:t>
            </w:r>
          </w:p>
        </w:tc>
        <w:tc>
          <w:tcPr>
            <w:tcW w:w="1258" w:type="dxa"/>
            <w:vAlign w:val="center"/>
          </w:tcPr>
          <w:p w14:paraId="66D02005" w14:textId="77777777" w:rsidR="00E62177" w:rsidRPr="00CE6915" w:rsidRDefault="00E62177" w:rsidP="002D1CE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6915">
              <w:rPr>
                <w:rFonts w:ascii="Times New Roman" w:hAnsi="Times New Roman" w:cs="Times New Roman"/>
                <w:color w:val="000000"/>
              </w:rPr>
              <w:t>491</w:t>
            </w:r>
          </w:p>
        </w:tc>
        <w:tc>
          <w:tcPr>
            <w:tcW w:w="1791" w:type="dxa"/>
            <w:vAlign w:val="center"/>
          </w:tcPr>
          <w:p w14:paraId="5969463E" w14:textId="77777777" w:rsidR="00E62177" w:rsidRPr="00CE6915" w:rsidRDefault="00E62177" w:rsidP="002D1CE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6915">
              <w:rPr>
                <w:rFonts w:ascii="Times New Roman" w:hAnsi="Times New Roman" w:cs="Times New Roman"/>
                <w:color w:val="000000"/>
              </w:rPr>
              <w:t>0.1349</w:t>
            </w:r>
          </w:p>
        </w:tc>
      </w:tr>
      <w:tr w:rsidR="0079439A" w:rsidRPr="00CE6915" w14:paraId="79316B93" w14:textId="77777777" w:rsidTr="00964354">
        <w:tc>
          <w:tcPr>
            <w:tcW w:w="1254" w:type="dxa"/>
            <w:vAlign w:val="center"/>
          </w:tcPr>
          <w:p w14:paraId="63915769" w14:textId="77777777" w:rsidR="00E62177" w:rsidRPr="00CE6915" w:rsidRDefault="00E62177" w:rsidP="002D1CE1">
            <w:pPr>
              <w:rPr>
                <w:rFonts w:ascii="Times New Roman" w:hAnsi="Times New Roman" w:cs="Times New Roman"/>
                <w:color w:val="000000"/>
              </w:rPr>
            </w:pPr>
            <w:r w:rsidRPr="00CE6915">
              <w:rPr>
                <w:rFonts w:ascii="Times New Roman" w:hAnsi="Times New Roman" w:cs="Times New Roman"/>
                <w:color w:val="000000"/>
              </w:rPr>
              <w:t xml:space="preserve">Week 36 </w:t>
            </w:r>
          </w:p>
        </w:tc>
        <w:tc>
          <w:tcPr>
            <w:tcW w:w="1306" w:type="dxa"/>
            <w:vAlign w:val="center"/>
          </w:tcPr>
          <w:p w14:paraId="59D33DF2" w14:textId="77777777" w:rsidR="00E62177" w:rsidRPr="00CE6915" w:rsidRDefault="00E62177" w:rsidP="002D1CE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6915">
              <w:rPr>
                <w:rFonts w:ascii="Times New Roman" w:hAnsi="Times New Roman" w:cs="Times New Roman"/>
                <w:color w:val="000000"/>
              </w:rPr>
              <w:t>59,575</w:t>
            </w:r>
          </w:p>
        </w:tc>
        <w:tc>
          <w:tcPr>
            <w:tcW w:w="1130" w:type="dxa"/>
            <w:vAlign w:val="center"/>
          </w:tcPr>
          <w:p w14:paraId="17FC4ED9" w14:textId="77777777" w:rsidR="00E62177" w:rsidRPr="00CE6915" w:rsidRDefault="00E62177" w:rsidP="002D1CE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6915">
              <w:rPr>
                <w:rFonts w:ascii="Times New Roman" w:hAnsi="Times New Roman" w:cs="Times New Roman"/>
                <w:color w:val="000000"/>
              </w:rPr>
              <w:t>1,842</w:t>
            </w:r>
          </w:p>
        </w:tc>
        <w:tc>
          <w:tcPr>
            <w:tcW w:w="1397" w:type="dxa"/>
            <w:vAlign w:val="center"/>
          </w:tcPr>
          <w:p w14:paraId="45699DD1" w14:textId="77777777" w:rsidR="00E62177" w:rsidRPr="00CE6915" w:rsidRDefault="00E62177" w:rsidP="002D1CE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6915">
              <w:rPr>
                <w:rFonts w:ascii="Times New Roman" w:hAnsi="Times New Roman" w:cs="Times New Roman"/>
                <w:color w:val="000000"/>
              </w:rPr>
              <w:t>0.0309</w:t>
            </w:r>
          </w:p>
        </w:tc>
        <w:tc>
          <w:tcPr>
            <w:tcW w:w="1214" w:type="dxa"/>
            <w:shd w:val="clear" w:color="auto" w:fill="auto"/>
            <w:vAlign w:val="center"/>
          </w:tcPr>
          <w:p w14:paraId="7FD84399" w14:textId="77777777" w:rsidR="00E62177" w:rsidRPr="00CE6915" w:rsidRDefault="00E62177" w:rsidP="002D1CE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6915">
              <w:rPr>
                <w:rFonts w:ascii="Times New Roman" w:hAnsi="Times New Roman" w:cs="Times New Roman"/>
                <w:color w:val="000000"/>
              </w:rPr>
              <w:t>0.6791</w:t>
            </w:r>
          </w:p>
        </w:tc>
        <w:tc>
          <w:tcPr>
            <w:tcW w:w="1258" w:type="dxa"/>
            <w:vAlign w:val="center"/>
          </w:tcPr>
          <w:p w14:paraId="26A63B45" w14:textId="77777777" w:rsidR="00E62177" w:rsidRPr="00CE6915" w:rsidRDefault="00E62177" w:rsidP="002D1CE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6915">
              <w:rPr>
                <w:rFonts w:ascii="Times New Roman" w:hAnsi="Times New Roman" w:cs="Times New Roman"/>
                <w:color w:val="000000"/>
              </w:rPr>
              <w:t>1,251</w:t>
            </w:r>
          </w:p>
        </w:tc>
        <w:tc>
          <w:tcPr>
            <w:tcW w:w="1791" w:type="dxa"/>
            <w:vAlign w:val="center"/>
          </w:tcPr>
          <w:p w14:paraId="523C951D" w14:textId="77777777" w:rsidR="00E62177" w:rsidRPr="00CE6915" w:rsidRDefault="00E62177" w:rsidP="002D1CE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6915">
              <w:rPr>
                <w:rFonts w:ascii="Times New Roman" w:hAnsi="Times New Roman" w:cs="Times New Roman"/>
                <w:color w:val="000000"/>
              </w:rPr>
              <w:t>0.3975</w:t>
            </w:r>
          </w:p>
        </w:tc>
      </w:tr>
      <w:tr w:rsidR="0079439A" w:rsidRPr="00CE6915" w14:paraId="617A278F" w14:textId="77777777" w:rsidTr="00964354">
        <w:tc>
          <w:tcPr>
            <w:tcW w:w="1254" w:type="dxa"/>
            <w:vAlign w:val="center"/>
          </w:tcPr>
          <w:p w14:paraId="77F8D1C6" w14:textId="77777777" w:rsidR="00E62177" w:rsidRPr="00CE6915" w:rsidRDefault="00E62177" w:rsidP="002D1CE1">
            <w:pPr>
              <w:rPr>
                <w:rFonts w:ascii="Times New Roman" w:hAnsi="Times New Roman" w:cs="Times New Roman"/>
                <w:color w:val="000000"/>
              </w:rPr>
            </w:pPr>
            <w:r w:rsidRPr="00CE6915">
              <w:rPr>
                <w:rFonts w:ascii="Times New Roman" w:hAnsi="Times New Roman" w:cs="Times New Roman"/>
                <w:color w:val="000000"/>
              </w:rPr>
              <w:t xml:space="preserve">Week 37+ </w:t>
            </w:r>
          </w:p>
        </w:tc>
        <w:tc>
          <w:tcPr>
            <w:tcW w:w="1306" w:type="dxa"/>
            <w:vAlign w:val="center"/>
          </w:tcPr>
          <w:p w14:paraId="1F947E03" w14:textId="77777777" w:rsidR="00E62177" w:rsidRPr="00CE6915" w:rsidRDefault="00E62177" w:rsidP="002D1CE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6915">
              <w:rPr>
                <w:rFonts w:ascii="Times New Roman" w:hAnsi="Times New Roman" w:cs="Times New Roman"/>
                <w:color w:val="000000"/>
              </w:rPr>
              <w:t>57,733</w:t>
            </w:r>
          </w:p>
        </w:tc>
        <w:tc>
          <w:tcPr>
            <w:tcW w:w="1130" w:type="dxa"/>
            <w:vAlign w:val="center"/>
          </w:tcPr>
          <w:p w14:paraId="1EB2EDEB" w14:textId="77777777" w:rsidR="00E62177" w:rsidRPr="00CE6915" w:rsidRDefault="00E62177" w:rsidP="002D1CE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6915">
              <w:rPr>
                <w:rFonts w:ascii="Times New Roman" w:hAnsi="Times New Roman" w:cs="Times New Roman"/>
                <w:color w:val="000000"/>
              </w:rPr>
              <w:t>57,733</w:t>
            </w:r>
          </w:p>
        </w:tc>
        <w:tc>
          <w:tcPr>
            <w:tcW w:w="1397" w:type="dxa"/>
            <w:vAlign w:val="center"/>
          </w:tcPr>
          <w:p w14:paraId="515E0605" w14:textId="77777777" w:rsidR="00E62177" w:rsidRPr="00CE6915" w:rsidRDefault="00E62177" w:rsidP="002D1CE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6915">
              <w:rPr>
                <w:rFonts w:ascii="Times New Roman" w:hAnsi="Times New Roman" w:cs="Times New Roman"/>
                <w:color w:val="000000"/>
              </w:rPr>
              <w:t>1.0000</w:t>
            </w:r>
          </w:p>
        </w:tc>
        <w:tc>
          <w:tcPr>
            <w:tcW w:w="1214" w:type="dxa"/>
            <w:shd w:val="clear" w:color="auto" w:fill="auto"/>
            <w:vAlign w:val="center"/>
          </w:tcPr>
          <w:p w14:paraId="1F19C9C1" w14:textId="77777777" w:rsidR="00E62177" w:rsidRPr="00CE6915" w:rsidRDefault="00E62177" w:rsidP="002D1CE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6915">
              <w:rPr>
                <w:rFonts w:ascii="Times New Roman" w:hAnsi="Times New Roman" w:cs="Times New Roman"/>
                <w:color w:val="000000"/>
              </w:rPr>
              <w:t>NA</w:t>
            </w:r>
          </w:p>
        </w:tc>
        <w:tc>
          <w:tcPr>
            <w:tcW w:w="1258" w:type="dxa"/>
          </w:tcPr>
          <w:p w14:paraId="3B5DC615" w14:textId="77777777" w:rsidR="00E62177" w:rsidRPr="00CE6915" w:rsidRDefault="00E62177" w:rsidP="002D1CE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6915">
              <w:rPr>
                <w:rFonts w:ascii="Times New Roman" w:hAnsi="Times New Roman" w:cs="Times New Roman"/>
                <w:color w:val="000000"/>
              </w:rPr>
              <w:t>59,629</w:t>
            </w:r>
          </w:p>
        </w:tc>
        <w:tc>
          <w:tcPr>
            <w:tcW w:w="1791" w:type="dxa"/>
            <w:vAlign w:val="center"/>
          </w:tcPr>
          <w:p w14:paraId="1784ECB9" w14:textId="77777777" w:rsidR="00E62177" w:rsidRPr="00CE6915" w:rsidRDefault="00E62177" w:rsidP="002D1CE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6915">
              <w:rPr>
                <w:rFonts w:ascii="Times New Roman" w:hAnsi="Times New Roman" w:cs="Times New Roman"/>
                <w:color w:val="000000"/>
              </w:rPr>
              <w:t>N/A</w:t>
            </w:r>
          </w:p>
        </w:tc>
      </w:tr>
    </w:tbl>
    <w:p w14:paraId="2F63FB7A" w14:textId="77777777" w:rsidR="00E62177" w:rsidRPr="00CE6915" w:rsidRDefault="00E62177" w:rsidP="00964354">
      <w:pPr>
        <w:pStyle w:val="ListParagraph"/>
        <w:contextualSpacing/>
        <w:rPr>
          <w:color w:val="000000"/>
        </w:rPr>
      </w:pPr>
    </w:p>
    <w:p w14:paraId="0C497CC1" w14:textId="600C3A0F" w:rsidR="00E62177" w:rsidRPr="00CE6915" w:rsidRDefault="00E62177" w:rsidP="00E62177">
      <w:pPr>
        <w:contextualSpacing/>
        <w:rPr>
          <w:color w:val="000000"/>
        </w:rPr>
      </w:pPr>
    </w:p>
    <w:p w14:paraId="501C3F25" w14:textId="26C0FCD5" w:rsidR="0079439A" w:rsidRPr="00CE6915" w:rsidRDefault="0058229B" w:rsidP="0058229B">
      <w:pPr>
        <w:pStyle w:val="ListParagraph"/>
        <w:numPr>
          <w:ilvl w:val="0"/>
          <w:numId w:val="38"/>
        </w:numPr>
        <w:contextualSpacing/>
        <w:rPr>
          <w:color w:val="000000"/>
        </w:rPr>
      </w:pPr>
      <w:r w:rsidRPr="00CE6915">
        <w:rPr>
          <w:color w:val="000000"/>
        </w:rPr>
        <w:t>Identification of gestational age at birth</w:t>
      </w:r>
      <w:r w:rsidR="00296C3B" w:rsidRPr="00CE6915">
        <w:rPr>
          <w:color w:val="000000"/>
        </w:rPr>
        <w:t xml:space="preserve"> via ICD-10-CM codes:</w:t>
      </w:r>
    </w:p>
    <w:p w14:paraId="5B1AB8D7" w14:textId="77777777" w:rsidR="00296C3B" w:rsidRPr="00CE6915" w:rsidRDefault="00296C3B">
      <w:pPr>
        <w:rPr>
          <w:color w:val="000000"/>
        </w:rPr>
      </w:pPr>
    </w:p>
    <w:tbl>
      <w:tblPr>
        <w:tblStyle w:val="TableGrid"/>
        <w:tblW w:w="7825" w:type="dxa"/>
        <w:tblLook w:val="04A0" w:firstRow="1" w:lastRow="0" w:firstColumn="1" w:lastColumn="0" w:noHBand="0" w:noVBand="1"/>
      </w:tblPr>
      <w:tblGrid>
        <w:gridCol w:w="1165"/>
        <w:gridCol w:w="4860"/>
        <w:gridCol w:w="1800"/>
      </w:tblGrid>
      <w:tr w:rsidR="00296C3B" w:rsidRPr="00CE6915" w14:paraId="080F4967" w14:textId="77777777" w:rsidTr="00296C3B">
        <w:trPr>
          <w:trHeight w:val="20"/>
        </w:trPr>
        <w:tc>
          <w:tcPr>
            <w:tcW w:w="1165" w:type="dxa"/>
            <w:noWrap/>
            <w:hideMark/>
          </w:tcPr>
          <w:p w14:paraId="133F00C4" w14:textId="77777777" w:rsidR="00296C3B" w:rsidRPr="00CE6915" w:rsidRDefault="00296C3B" w:rsidP="00296C3B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860" w:type="dxa"/>
            <w:noWrap/>
            <w:hideMark/>
          </w:tcPr>
          <w:p w14:paraId="730D1839" w14:textId="77777777" w:rsidR="00296C3B" w:rsidRPr="00CE6915" w:rsidRDefault="00296C3B" w:rsidP="00296C3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E6915">
              <w:rPr>
                <w:rFonts w:ascii="Times New Roman" w:hAnsi="Times New Roman" w:cs="Times New Roman"/>
                <w:b/>
                <w:bCs/>
                <w:color w:val="000000"/>
              </w:rPr>
              <w:t>Mother claims</w:t>
            </w:r>
          </w:p>
        </w:tc>
        <w:tc>
          <w:tcPr>
            <w:tcW w:w="1800" w:type="dxa"/>
            <w:noWrap/>
            <w:hideMark/>
          </w:tcPr>
          <w:p w14:paraId="58672550" w14:textId="148170E5" w:rsidR="00296C3B" w:rsidRPr="00CE6915" w:rsidRDefault="00BD31EC" w:rsidP="00296C3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E6915">
              <w:rPr>
                <w:rFonts w:ascii="Times New Roman" w:hAnsi="Times New Roman" w:cs="Times New Roman"/>
                <w:b/>
                <w:bCs/>
                <w:color w:val="000000"/>
              </w:rPr>
              <w:t>Neonate</w:t>
            </w:r>
            <w:r w:rsidR="00296C3B" w:rsidRPr="00CE6915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claims</w:t>
            </w:r>
          </w:p>
        </w:tc>
      </w:tr>
      <w:tr w:rsidR="00296C3B" w:rsidRPr="00CE6915" w14:paraId="77ACC6AA" w14:textId="77777777" w:rsidTr="00296C3B">
        <w:trPr>
          <w:trHeight w:val="20"/>
        </w:trPr>
        <w:tc>
          <w:tcPr>
            <w:tcW w:w="1165" w:type="dxa"/>
            <w:hideMark/>
          </w:tcPr>
          <w:p w14:paraId="4D7FB801" w14:textId="77777777" w:rsidR="00296C3B" w:rsidRPr="00CE6915" w:rsidRDefault="00296C3B" w:rsidP="00296C3B">
            <w:pPr>
              <w:rPr>
                <w:rFonts w:ascii="Times New Roman" w:hAnsi="Times New Roman" w:cs="Times New Roman"/>
                <w:color w:val="000000"/>
              </w:rPr>
            </w:pPr>
            <w:r w:rsidRPr="00CE6915">
              <w:rPr>
                <w:rFonts w:ascii="Times New Roman" w:hAnsi="Times New Roman" w:cs="Times New Roman"/>
                <w:color w:val="000000"/>
              </w:rPr>
              <w:t>Weeks of gestation</w:t>
            </w:r>
          </w:p>
        </w:tc>
        <w:tc>
          <w:tcPr>
            <w:tcW w:w="4860" w:type="dxa"/>
            <w:noWrap/>
            <w:hideMark/>
          </w:tcPr>
          <w:p w14:paraId="37C2D20F" w14:textId="77777777" w:rsidR="00296C3B" w:rsidRPr="00CE6915" w:rsidRDefault="00296C3B" w:rsidP="00296C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00" w:type="dxa"/>
            <w:noWrap/>
            <w:hideMark/>
          </w:tcPr>
          <w:p w14:paraId="48015F2B" w14:textId="77777777" w:rsidR="00296C3B" w:rsidRPr="00CE6915" w:rsidRDefault="00296C3B" w:rsidP="00296C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96C3B" w:rsidRPr="00CE6915" w14:paraId="206FAC97" w14:textId="77777777" w:rsidTr="00296C3B">
        <w:trPr>
          <w:trHeight w:val="20"/>
        </w:trPr>
        <w:tc>
          <w:tcPr>
            <w:tcW w:w="1165" w:type="dxa"/>
            <w:noWrap/>
            <w:hideMark/>
          </w:tcPr>
          <w:p w14:paraId="3A4E63FD" w14:textId="77777777" w:rsidR="00296C3B" w:rsidRPr="00CE6915" w:rsidRDefault="00296C3B" w:rsidP="00296C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6915">
              <w:rPr>
                <w:rFonts w:ascii="Times New Roman" w:hAnsi="Times New Roman" w:cs="Times New Roman"/>
                <w:color w:val="000000"/>
              </w:rPr>
              <w:t>&lt;23</w:t>
            </w:r>
          </w:p>
        </w:tc>
        <w:tc>
          <w:tcPr>
            <w:tcW w:w="4860" w:type="dxa"/>
            <w:hideMark/>
          </w:tcPr>
          <w:p w14:paraId="6C5EC10A" w14:textId="433CF738" w:rsidR="00296C3B" w:rsidRPr="00CE6915" w:rsidRDefault="00296C3B" w:rsidP="00296C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6915">
              <w:rPr>
                <w:rFonts w:ascii="Times New Roman" w:hAnsi="Times New Roman" w:cs="Times New Roman"/>
                <w:color w:val="000000"/>
              </w:rPr>
              <w:t>Z3A.17,</w:t>
            </w:r>
            <w:r w:rsidR="00615392" w:rsidRPr="00CE6915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CE6915">
              <w:rPr>
                <w:rFonts w:ascii="Times New Roman" w:hAnsi="Times New Roman" w:cs="Times New Roman"/>
                <w:color w:val="000000"/>
              </w:rPr>
              <w:t>Z3A.18,</w:t>
            </w:r>
            <w:r w:rsidR="00615392" w:rsidRPr="00CE6915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CE6915">
              <w:rPr>
                <w:rFonts w:ascii="Times New Roman" w:hAnsi="Times New Roman" w:cs="Times New Roman"/>
                <w:color w:val="000000"/>
              </w:rPr>
              <w:t>Z3A.19,</w:t>
            </w:r>
            <w:r w:rsidR="00615392" w:rsidRPr="00CE6915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CE6915">
              <w:rPr>
                <w:rFonts w:ascii="Times New Roman" w:hAnsi="Times New Roman" w:cs="Times New Roman"/>
                <w:color w:val="000000"/>
              </w:rPr>
              <w:t>Z3A.20,</w:t>
            </w:r>
            <w:r w:rsidR="00615392" w:rsidRPr="00CE6915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CE6915">
              <w:rPr>
                <w:rFonts w:ascii="Times New Roman" w:hAnsi="Times New Roman" w:cs="Times New Roman"/>
                <w:color w:val="000000"/>
              </w:rPr>
              <w:t>Z3A.21,</w:t>
            </w:r>
            <w:r w:rsidR="00615392" w:rsidRPr="00CE6915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CE6915">
              <w:rPr>
                <w:rFonts w:ascii="Times New Roman" w:hAnsi="Times New Roman" w:cs="Times New Roman"/>
                <w:color w:val="000000"/>
              </w:rPr>
              <w:t>Z3A.22</w:t>
            </w:r>
          </w:p>
        </w:tc>
        <w:tc>
          <w:tcPr>
            <w:tcW w:w="1800" w:type="dxa"/>
            <w:noWrap/>
            <w:hideMark/>
          </w:tcPr>
          <w:p w14:paraId="0A209E90" w14:textId="77777777" w:rsidR="00296C3B" w:rsidRPr="00CE6915" w:rsidRDefault="00296C3B" w:rsidP="00296C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6915">
              <w:rPr>
                <w:rFonts w:ascii="Times New Roman" w:hAnsi="Times New Roman" w:cs="Times New Roman"/>
                <w:color w:val="000000"/>
              </w:rPr>
              <w:t>P07.21</w:t>
            </w:r>
          </w:p>
        </w:tc>
      </w:tr>
      <w:tr w:rsidR="00296C3B" w:rsidRPr="00CE6915" w14:paraId="2EA2E0A8" w14:textId="77777777" w:rsidTr="00296C3B">
        <w:trPr>
          <w:trHeight w:val="20"/>
        </w:trPr>
        <w:tc>
          <w:tcPr>
            <w:tcW w:w="1165" w:type="dxa"/>
            <w:noWrap/>
            <w:hideMark/>
          </w:tcPr>
          <w:p w14:paraId="773CF21F" w14:textId="77777777" w:rsidR="00296C3B" w:rsidRPr="00CE6915" w:rsidRDefault="00296C3B" w:rsidP="00296C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6915"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4860" w:type="dxa"/>
            <w:noWrap/>
            <w:hideMark/>
          </w:tcPr>
          <w:p w14:paraId="78218439" w14:textId="77777777" w:rsidR="00296C3B" w:rsidRPr="00CE6915" w:rsidRDefault="00296C3B" w:rsidP="00296C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6915">
              <w:rPr>
                <w:rFonts w:ascii="Times New Roman" w:hAnsi="Times New Roman" w:cs="Times New Roman"/>
                <w:color w:val="000000"/>
              </w:rPr>
              <w:t>Z3A.23</w:t>
            </w:r>
          </w:p>
        </w:tc>
        <w:tc>
          <w:tcPr>
            <w:tcW w:w="1800" w:type="dxa"/>
            <w:noWrap/>
            <w:hideMark/>
          </w:tcPr>
          <w:p w14:paraId="38DA6D60" w14:textId="77777777" w:rsidR="00296C3B" w:rsidRPr="00CE6915" w:rsidRDefault="00296C3B" w:rsidP="00296C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6915">
              <w:rPr>
                <w:rFonts w:ascii="Times New Roman" w:hAnsi="Times New Roman" w:cs="Times New Roman"/>
                <w:color w:val="000000"/>
              </w:rPr>
              <w:t>P07.22</w:t>
            </w:r>
          </w:p>
        </w:tc>
      </w:tr>
      <w:tr w:rsidR="00296C3B" w:rsidRPr="00CE6915" w14:paraId="395C3DF9" w14:textId="77777777" w:rsidTr="00296C3B">
        <w:trPr>
          <w:trHeight w:val="20"/>
        </w:trPr>
        <w:tc>
          <w:tcPr>
            <w:tcW w:w="1165" w:type="dxa"/>
            <w:noWrap/>
            <w:hideMark/>
          </w:tcPr>
          <w:p w14:paraId="39914C45" w14:textId="77777777" w:rsidR="00296C3B" w:rsidRPr="00CE6915" w:rsidRDefault="00296C3B" w:rsidP="00296C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6915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4860" w:type="dxa"/>
            <w:noWrap/>
            <w:hideMark/>
          </w:tcPr>
          <w:p w14:paraId="1627D899" w14:textId="77777777" w:rsidR="00296C3B" w:rsidRPr="00CE6915" w:rsidRDefault="00296C3B" w:rsidP="00296C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6915">
              <w:rPr>
                <w:rFonts w:ascii="Times New Roman" w:hAnsi="Times New Roman" w:cs="Times New Roman"/>
                <w:color w:val="000000"/>
              </w:rPr>
              <w:t>Z3A.24</w:t>
            </w:r>
          </w:p>
        </w:tc>
        <w:tc>
          <w:tcPr>
            <w:tcW w:w="1800" w:type="dxa"/>
            <w:noWrap/>
            <w:hideMark/>
          </w:tcPr>
          <w:p w14:paraId="11AD1DC8" w14:textId="77777777" w:rsidR="00296C3B" w:rsidRPr="00CE6915" w:rsidRDefault="00296C3B" w:rsidP="00296C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6915">
              <w:rPr>
                <w:rFonts w:ascii="Times New Roman" w:hAnsi="Times New Roman" w:cs="Times New Roman"/>
                <w:color w:val="000000"/>
              </w:rPr>
              <w:t>P07.23</w:t>
            </w:r>
          </w:p>
        </w:tc>
      </w:tr>
      <w:tr w:rsidR="00296C3B" w:rsidRPr="00CE6915" w14:paraId="015FA300" w14:textId="77777777" w:rsidTr="00296C3B">
        <w:trPr>
          <w:trHeight w:val="20"/>
        </w:trPr>
        <w:tc>
          <w:tcPr>
            <w:tcW w:w="1165" w:type="dxa"/>
            <w:noWrap/>
            <w:hideMark/>
          </w:tcPr>
          <w:p w14:paraId="22C25BC4" w14:textId="77777777" w:rsidR="00296C3B" w:rsidRPr="00CE6915" w:rsidRDefault="00296C3B" w:rsidP="00296C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6915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4860" w:type="dxa"/>
            <w:noWrap/>
            <w:hideMark/>
          </w:tcPr>
          <w:p w14:paraId="15472DAC" w14:textId="77777777" w:rsidR="00296C3B" w:rsidRPr="00CE6915" w:rsidRDefault="00296C3B" w:rsidP="00296C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6915">
              <w:rPr>
                <w:rFonts w:ascii="Times New Roman" w:hAnsi="Times New Roman" w:cs="Times New Roman"/>
                <w:color w:val="000000"/>
              </w:rPr>
              <w:t>Z3A.25</w:t>
            </w:r>
          </w:p>
        </w:tc>
        <w:tc>
          <w:tcPr>
            <w:tcW w:w="1800" w:type="dxa"/>
            <w:noWrap/>
            <w:hideMark/>
          </w:tcPr>
          <w:p w14:paraId="66AFCD30" w14:textId="77777777" w:rsidR="00296C3B" w:rsidRPr="00CE6915" w:rsidRDefault="00296C3B" w:rsidP="00296C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6915">
              <w:rPr>
                <w:rFonts w:ascii="Times New Roman" w:hAnsi="Times New Roman" w:cs="Times New Roman"/>
                <w:color w:val="000000"/>
              </w:rPr>
              <w:t>P07.24</w:t>
            </w:r>
          </w:p>
        </w:tc>
      </w:tr>
      <w:tr w:rsidR="00296C3B" w:rsidRPr="00CE6915" w14:paraId="2138972B" w14:textId="77777777" w:rsidTr="00296C3B">
        <w:trPr>
          <w:trHeight w:val="20"/>
        </w:trPr>
        <w:tc>
          <w:tcPr>
            <w:tcW w:w="1165" w:type="dxa"/>
            <w:noWrap/>
            <w:hideMark/>
          </w:tcPr>
          <w:p w14:paraId="4CFCF471" w14:textId="77777777" w:rsidR="00296C3B" w:rsidRPr="00CE6915" w:rsidRDefault="00296C3B" w:rsidP="00296C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6915"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4860" w:type="dxa"/>
            <w:noWrap/>
            <w:hideMark/>
          </w:tcPr>
          <w:p w14:paraId="1F3A6ACC" w14:textId="77777777" w:rsidR="00296C3B" w:rsidRPr="00CE6915" w:rsidRDefault="00296C3B" w:rsidP="00296C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6915">
              <w:rPr>
                <w:rFonts w:ascii="Times New Roman" w:hAnsi="Times New Roman" w:cs="Times New Roman"/>
                <w:color w:val="000000"/>
              </w:rPr>
              <w:t>Z3A.26</w:t>
            </w:r>
          </w:p>
        </w:tc>
        <w:tc>
          <w:tcPr>
            <w:tcW w:w="1800" w:type="dxa"/>
            <w:noWrap/>
            <w:hideMark/>
          </w:tcPr>
          <w:p w14:paraId="1F1FC796" w14:textId="77777777" w:rsidR="00296C3B" w:rsidRPr="00CE6915" w:rsidRDefault="00296C3B" w:rsidP="00296C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6915">
              <w:rPr>
                <w:rFonts w:ascii="Times New Roman" w:hAnsi="Times New Roman" w:cs="Times New Roman"/>
                <w:color w:val="000000"/>
              </w:rPr>
              <w:t>P07.25</w:t>
            </w:r>
          </w:p>
        </w:tc>
      </w:tr>
      <w:tr w:rsidR="00296C3B" w:rsidRPr="00CE6915" w14:paraId="424DE2DF" w14:textId="77777777" w:rsidTr="00296C3B">
        <w:trPr>
          <w:trHeight w:val="20"/>
        </w:trPr>
        <w:tc>
          <w:tcPr>
            <w:tcW w:w="1165" w:type="dxa"/>
            <w:noWrap/>
            <w:hideMark/>
          </w:tcPr>
          <w:p w14:paraId="130BFFA6" w14:textId="77777777" w:rsidR="00296C3B" w:rsidRPr="00CE6915" w:rsidRDefault="00296C3B" w:rsidP="00296C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6915"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4860" w:type="dxa"/>
            <w:noWrap/>
            <w:hideMark/>
          </w:tcPr>
          <w:p w14:paraId="4E5B5187" w14:textId="77777777" w:rsidR="00296C3B" w:rsidRPr="00CE6915" w:rsidRDefault="00296C3B" w:rsidP="00296C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6915">
              <w:rPr>
                <w:rFonts w:ascii="Times New Roman" w:hAnsi="Times New Roman" w:cs="Times New Roman"/>
                <w:color w:val="000000"/>
              </w:rPr>
              <w:t>Z3A.27</w:t>
            </w:r>
          </w:p>
        </w:tc>
        <w:tc>
          <w:tcPr>
            <w:tcW w:w="1800" w:type="dxa"/>
            <w:noWrap/>
            <w:hideMark/>
          </w:tcPr>
          <w:p w14:paraId="20539A29" w14:textId="77777777" w:rsidR="00296C3B" w:rsidRPr="00CE6915" w:rsidRDefault="00296C3B" w:rsidP="00296C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6915">
              <w:rPr>
                <w:rFonts w:ascii="Times New Roman" w:hAnsi="Times New Roman" w:cs="Times New Roman"/>
                <w:color w:val="000000"/>
              </w:rPr>
              <w:t>P07.26, P07.20</w:t>
            </w:r>
          </w:p>
        </w:tc>
      </w:tr>
      <w:tr w:rsidR="00296C3B" w:rsidRPr="00CE6915" w14:paraId="6915D8EA" w14:textId="77777777" w:rsidTr="00296C3B">
        <w:trPr>
          <w:trHeight w:val="20"/>
        </w:trPr>
        <w:tc>
          <w:tcPr>
            <w:tcW w:w="1165" w:type="dxa"/>
            <w:noWrap/>
            <w:hideMark/>
          </w:tcPr>
          <w:p w14:paraId="410565E5" w14:textId="77777777" w:rsidR="00296C3B" w:rsidRPr="00CE6915" w:rsidRDefault="00296C3B" w:rsidP="00296C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6915"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4860" w:type="dxa"/>
            <w:noWrap/>
            <w:hideMark/>
          </w:tcPr>
          <w:p w14:paraId="0722D6B7" w14:textId="77777777" w:rsidR="00296C3B" w:rsidRPr="00CE6915" w:rsidRDefault="00296C3B" w:rsidP="00296C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6915">
              <w:rPr>
                <w:rFonts w:ascii="Times New Roman" w:hAnsi="Times New Roman" w:cs="Times New Roman"/>
                <w:color w:val="000000"/>
              </w:rPr>
              <w:t>Z3A.28</w:t>
            </w:r>
          </w:p>
        </w:tc>
        <w:tc>
          <w:tcPr>
            <w:tcW w:w="1800" w:type="dxa"/>
            <w:noWrap/>
            <w:hideMark/>
          </w:tcPr>
          <w:p w14:paraId="5E93D9C2" w14:textId="77777777" w:rsidR="00296C3B" w:rsidRPr="00CE6915" w:rsidRDefault="00296C3B" w:rsidP="00296C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6915">
              <w:rPr>
                <w:rFonts w:ascii="Times New Roman" w:hAnsi="Times New Roman" w:cs="Times New Roman"/>
                <w:color w:val="000000"/>
              </w:rPr>
              <w:t>P07.31</w:t>
            </w:r>
          </w:p>
        </w:tc>
      </w:tr>
      <w:tr w:rsidR="00296C3B" w:rsidRPr="00CE6915" w14:paraId="3E67BA10" w14:textId="77777777" w:rsidTr="00296C3B">
        <w:trPr>
          <w:trHeight w:val="20"/>
        </w:trPr>
        <w:tc>
          <w:tcPr>
            <w:tcW w:w="1165" w:type="dxa"/>
            <w:noWrap/>
            <w:hideMark/>
          </w:tcPr>
          <w:p w14:paraId="062F895D" w14:textId="77777777" w:rsidR="00296C3B" w:rsidRPr="00CE6915" w:rsidRDefault="00296C3B" w:rsidP="00296C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6915">
              <w:rPr>
                <w:rFonts w:ascii="Times New Roman" w:hAnsi="Times New Roman" w:cs="Times New Roman"/>
                <w:color w:val="000000"/>
              </w:rPr>
              <w:t>29</w:t>
            </w:r>
          </w:p>
        </w:tc>
        <w:tc>
          <w:tcPr>
            <w:tcW w:w="4860" w:type="dxa"/>
            <w:noWrap/>
            <w:hideMark/>
          </w:tcPr>
          <w:p w14:paraId="68B56E07" w14:textId="77777777" w:rsidR="00296C3B" w:rsidRPr="00CE6915" w:rsidRDefault="00296C3B" w:rsidP="00296C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6915">
              <w:rPr>
                <w:rFonts w:ascii="Times New Roman" w:hAnsi="Times New Roman" w:cs="Times New Roman"/>
                <w:color w:val="000000"/>
              </w:rPr>
              <w:t>Z3A.29</w:t>
            </w:r>
          </w:p>
        </w:tc>
        <w:tc>
          <w:tcPr>
            <w:tcW w:w="1800" w:type="dxa"/>
            <w:noWrap/>
            <w:hideMark/>
          </w:tcPr>
          <w:p w14:paraId="134AFA0F" w14:textId="77777777" w:rsidR="00296C3B" w:rsidRPr="00CE6915" w:rsidRDefault="00296C3B" w:rsidP="00296C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6915">
              <w:rPr>
                <w:rFonts w:ascii="Times New Roman" w:hAnsi="Times New Roman" w:cs="Times New Roman"/>
                <w:color w:val="000000"/>
              </w:rPr>
              <w:t>P07.32</w:t>
            </w:r>
          </w:p>
        </w:tc>
      </w:tr>
      <w:tr w:rsidR="00296C3B" w:rsidRPr="00CE6915" w14:paraId="5E4D72AE" w14:textId="77777777" w:rsidTr="00296C3B">
        <w:trPr>
          <w:trHeight w:val="20"/>
        </w:trPr>
        <w:tc>
          <w:tcPr>
            <w:tcW w:w="1165" w:type="dxa"/>
            <w:noWrap/>
            <w:hideMark/>
          </w:tcPr>
          <w:p w14:paraId="2C59BC86" w14:textId="77777777" w:rsidR="00296C3B" w:rsidRPr="00CE6915" w:rsidRDefault="00296C3B" w:rsidP="00296C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6915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4860" w:type="dxa"/>
            <w:noWrap/>
            <w:hideMark/>
          </w:tcPr>
          <w:p w14:paraId="09A229D0" w14:textId="77777777" w:rsidR="00296C3B" w:rsidRPr="00CE6915" w:rsidRDefault="00296C3B" w:rsidP="00296C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6915">
              <w:rPr>
                <w:rFonts w:ascii="Times New Roman" w:hAnsi="Times New Roman" w:cs="Times New Roman"/>
                <w:color w:val="000000"/>
              </w:rPr>
              <w:t>Z3A.30</w:t>
            </w:r>
          </w:p>
        </w:tc>
        <w:tc>
          <w:tcPr>
            <w:tcW w:w="1800" w:type="dxa"/>
            <w:noWrap/>
            <w:hideMark/>
          </w:tcPr>
          <w:p w14:paraId="2D2ACED4" w14:textId="77777777" w:rsidR="00296C3B" w:rsidRPr="00CE6915" w:rsidRDefault="00296C3B" w:rsidP="00296C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6915">
              <w:rPr>
                <w:rFonts w:ascii="Times New Roman" w:hAnsi="Times New Roman" w:cs="Times New Roman"/>
                <w:color w:val="000000"/>
              </w:rPr>
              <w:t>P07.33</w:t>
            </w:r>
          </w:p>
        </w:tc>
      </w:tr>
      <w:tr w:rsidR="00296C3B" w:rsidRPr="00CE6915" w14:paraId="183C6CCB" w14:textId="77777777" w:rsidTr="00296C3B">
        <w:trPr>
          <w:trHeight w:val="20"/>
        </w:trPr>
        <w:tc>
          <w:tcPr>
            <w:tcW w:w="1165" w:type="dxa"/>
            <w:noWrap/>
            <w:hideMark/>
          </w:tcPr>
          <w:p w14:paraId="5C356AFB" w14:textId="77777777" w:rsidR="00296C3B" w:rsidRPr="00CE6915" w:rsidRDefault="00296C3B" w:rsidP="00296C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6915">
              <w:rPr>
                <w:rFonts w:ascii="Times New Roman" w:hAnsi="Times New Roman" w:cs="Times New Roman"/>
                <w:color w:val="000000"/>
              </w:rPr>
              <w:t>31</w:t>
            </w:r>
          </w:p>
        </w:tc>
        <w:tc>
          <w:tcPr>
            <w:tcW w:w="4860" w:type="dxa"/>
            <w:noWrap/>
            <w:hideMark/>
          </w:tcPr>
          <w:p w14:paraId="0855FCFF" w14:textId="77777777" w:rsidR="00296C3B" w:rsidRPr="00CE6915" w:rsidRDefault="00296C3B" w:rsidP="00296C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6915">
              <w:rPr>
                <w:rFonts w:ascii="Times New Roman" w:hAnsi="Times New Roman" w:cs="Times New Roman"/>
                <w:color w:val="000000"/>
              </w:rPr>
              <w:t>Z3A.31</w:t>
            </w:r>
          </w:p>
        </w:tc>
        <w:tc>
          <w:tcPr>
            <w:tcW w:w="1800" w:type="dxa"/>
            <w:noWrap/>
            <w:hideMark/>
          </w:tcPr>
          <w:p w14:paraId="65D785FF" w14:textId="77777777" w:rsidR="00296C3B" w:rsidRPr="00CE6915" w:rsidRDefault="00296C3B" w:rsidP="00296C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6915">
              <w:rPr>
                <w:rFonts w:ascii="Times New Roman" w:hAnsi="Times New Roman" w:cs="Times New Roman"/>
                <w:color w:val="000000"/>
              </w:rPr>
              <w:t>P07.34</w:t>
            </w:r>
          </w:p>
        </w:tc>
      </w:tr>
      <w:tr w:rsidR="00296C3B" w:rsidRPr="00CE6915" w14:paraId="79F70204" w14:textId="77777777" w:rsidTr="00296C3B">
        <w:trPr>
          <w:trHeight w:val="20"/>
        </w:trPr>
        <w:tc>
          <w:tcPr>
            <w:tcW w:w="1165" w:type="dxa"/>
            <w:noWrap/>
            <w:hideMark/>
          </w:tcPr>
          <w:p w14:paraId="61266376" w14:textId="77777777" w:rsidR="00296C3B" w:rsidRPr="00CE6915" w:rsidRDefault="00296C3B" w:rsidP="00296C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6915">
              <w:rPr>
                <w:rFonts w:ascii="Times New Roman" w:hAnsi="Times New Roman" w:cs="Times New Roman"/>
                <w:color w:val="000000"/>
              </w:rPr>
              <w:t>32</w:t>
            </w:r>
          </w:p>
        </w:tc>
        <w:tc>
          <w:tcPr>
            <w:tcW w:w="4860" w:type="dxa"/>
            <w:noWrap/>
            <w:hideMark/>
          </w:tcPr>
          <w:p w14:paraId="18C29D28" w14:textId="77777777" w:rsidR="00296C3B" w:rsidRPr="00CE6915" w:rsidRDefault="00296C3B" w:rsidP="00296C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6915">
              <w:rPr>
                <w:rFonts w:ascii="Times New Roman" w:hAnsi="Times New Roman" w:cs="Times New Roman"/>
                <w:color w:val="000000"/>
              </w:rPr>
              <w:t>Z3A.32</w:t>
            </w:r>
          </w:p>
        </w:tc>
        <w:tc>
          <w:tcPr>
            <w:tcW w:w="1800" w:type="dxa"/>
            <w:noWrap/>
            <w:hideMark/>
          </w:tcPr>
          <w:p w14:paraId="7D13C199" w14:textId="77777777" w:rsidR="00296C3B" w:rsidRPr="00CE6915" w:rsidRDefault="00296C3B" w:rsidP="00296C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6915">
              <w:rPr>
                <w:rFonts w:ascii="Times New Roman" w:hAnsi="Times New Roman" w:cs="Times New Roman"/>
                <w:color w:val="000000"/>
              </w:rPr>
              <w:t>P07.35</w:t>
            </w:r>
          </w:p>
        </w:tc>
      </w:tr>
      <w:tr w:rsidR="00296C3B" w:rsidRPr="00CE6915" w14:paraId="1B5797EC" w14:textId="77777777" w:rsidTr="00296C3B">
        <w:trPr>
          <w:trHeight w:val="20"/>
        </w:trPr>
        <w:tc>
          <w:tcPr>
            <w:tcW w:w="1165" w:type="dxa"/>
            <w:noWrap/>
            <w:hideMark/>
          </w:tcPr>
          <w:p w14:paraId="141541FA" w14:textId="77777777" w:rsidR="00296C3B" w:rsidRPr="00CE6915" w:rsidRDefault="00296C3B" w:rsidP="00296C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6915">
              <w:rPr>
                <w:rFonts w:ascii="Times New Roman" w:hAnsi="Times New Roman" w:cs="Times New Roman"/>
                <w:color w:val="000000"/>
              </w:rPr>
              <w:t>33</w:t>
            </w:r>
          </w:p>
        </w:tc>
        <w:tc>
          <w:tcPr>
            <w:tcW w:w="4860" w:type="dxa"/>
            <w:noWrap/>
            <w:hideMark/>
          </w:tcPr>
          <w:p w14:paraId="0E90C44D" w14:textId="77777777" w:rsidR="00296C3B" w:rsidRPr="00CE6915" w:rsidRDefault="00296C3B" w:rsidP="00296C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6915">
              <w:rPr>
                <w:rFonts w:ascii="Times New Roman" w:hAnsi="Times New Roman" w:cs="Times New Roman"/>
                <w:color w:val="000000"/>
              </w:rPr>
              <w:t>Z3A.33</w:t>
            </w:r>
          </w:p>
        </w:tc>
        <w:tc>
          <w:tcPr>
            <w:tcW w:w="1800" w:type="dxa"/>
            <w:noWrap/>
            <w:hideMark/>
          </w:tcPr>
          <w:p w14:paraId="62C78574" w14:textId="77777777" w:rsidR="00296C3B" w:rsidRPr="00CE6915" w:rsidRDefault="00296C3B" w:rsidP="00296C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6915">
              <w:rPr>
                <w:rFonts w:ascii="Times New Roman" w:hAnsi="Times New Roman" w:cs="Times New Roman"/>
                <w:color w:val="000000"/>
              </w:rPr>
              <w:t>P07.36</w:t>
            </w:r>
          </w:p>
        </w:tc>
      </w:tr>
      <w:tr w:rsidR="00296C3B" w:rsidRPr="00CE6915" w14:paraId="192238A4" w14:textId="77777777" w:rsidTr="00296C3B">
        <w:trPr>
          <w:trHeight w:val="20"/>
        </w:trPr>
        <w:tc>
          <w:tcPr>
            <w:tcW w:w="1165" w:type="dxa"/>
            <w:noWrap/>
            <w:hideMark/>
          </w:tcPr>
          <w:p w14:paraId="0A6BF7FA" w14:textId="77777777" w:rsidR="00296C3B" w:rsidRPr="00CE6915" w:rsidRDefault="00296C3B" w:rsidP="00296C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6915">
              <w:rPr>
                <w:rFonts w:ascii="Times New Roman" w:hAnsi="Times New Roman" w:cs="Times New Roman"/>
                <w:color w:val="000000"/>
              </w:rPr>
              <w:t>34</w:t>
            </w:r>
          </w:p>
        </w:tc>
        <w:tc>
          <w:tcPr>
            <w:tcW w:w="4860" w:type="dxa"/>
            <w:noWrap/>
            <w:hideMark/>
          </w:tcPr>
          <w:p w14:paraId="6B14F0FC" w14:textId="77777777" w:rsidR="00296C3B" w:rsidRPr="00CE6915" w:rsidRDefault="00296C3B" w:rsidP="00296C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6915">
              <w:rPr>
                <w:rFonts w:ascii="Times New Roman" w:hAnsi="Times New Roman" w:cs="Times New Roman"/>
                <w:color w:val="000000"/>
              </w:rPr>
              <w:t>Z3A.34</w:t>
            </w:r>
          </w:p>
        </w:tc>
        <w:tc>
          <w:tcPr>
            <w:tcW w:w="1800" w:type="dxa"/>
            <w:noWrap/>
            <w:hideMark/>
          </w:tcPr>
          <w:p w14:paraId="1D6DD21C" w14:textId="77777777" w:rsidR="00296C3B" w:rsidRPr="00CE6915" w:rsidRDefault="00296C3B" w:rsidP="00296C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6915">
              <w:rPr>
                <w:rFonts w:ascii="Times New Roman" w:hAnsi="Times New Roman" w:cs="Times New Roman"/>
                <w:color w:val="000000"/>
              </w:rPr>
              <w:t>P07.37</w:t>
            </w:r>
          </w:p>
        </w:tc>
      </w:tr>
      <w:tr w:rsidR="00296C3B" w:rsidRPr="00CE6915" w14:paraId="598DF380" w14:textId="77777777" w:rsidTr="00296C3B">
        <w:trPr>
          <w:trHeight w:val="20"/>
        </w:trPr>
        <w:tc>
          <w:tcPr>
            <w:tcW w:w="1165" w:type="dxa"/>
            <w:noWrap/>
            <w:hideMark/>
          </w:tcPr>
          <w:p w14:paraId="50E3B575" w14:textId="77777777" w:rsidR="00296C3B" w:rsidRPr="00CE6915" w:rsidRDefault="00296C3B" w:rsidP="00296C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6915">
              <w:rPr>
                <w:rFonts w:ascii="Times New Roman" w:hAnsi="Times New Roman" w:cs="Times New Roman"/>
                <w:color w:val="000000"/>
              </w:rPr>
              <w:t>35</w:t>
            </w:r>
          </w:p>
        </w:tc>
        <w:tc>
          <w:tcPr>
            <w:tcW w:w="4860" w:type="dxa"/>
            <w:noWrap/>
            <w:hideMark/>
          </w:tcPr>
          <w:p w14:paraId="4AB52717" w14:textId="77777777" w:rsidR="00296C3B" w:rsidRPr="00CE6915" w:rsidRDefault="00296C3B" w:rsidP="00296C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6915">
              <w:rPr>
                <w:rFonts w:ascii="Times New Roman" w:hAnsi="Times New Roman" w:cs="Times New Roman"/>
                <w:color w:val="000000"/>
              </w:rPr>
              <w:t>Z3A.35</w:t>
            </w:r>
          </w:p>
        </w:tc>
        <w:tc>
          <w:tcPr>
            <w:tcW w:w="1800" w:type="dxa"/>
            <w:noWrap/>
            <w:hideMark/>
          </w:tcPr>
          <w:p w14:paraId="22A9722D" w14:textId="77777777" w:rsidR="00296C3B" w:rsidRPr="00CE6915" w:rsidRDefault="00296C3B" w:rsidP="00296C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6915">
              <w:rPr>
                <w:rFonts w:ascii="Times New Roman" w:hAnsi="Times New Roman" w:cs="Times New Roman"/>
                <w:color w:val="000000"/>
              </w:rPr>
              <w:t>P07.38</w:t>
            </w:r>
          </w:p>
        </w:tc>
      </w:tr>
      <w:tr w:rsidR="00296C3B" w:rsidRPr="00CE6915" w14:paraId="2B008390" w14:textId="77777777" w:rsidTr="00296C3B">
        <w:trPr>
          <w:trHeight w:val="20"/>
        </w:trPr>
        <w:tc>
          <w:tcPr>
            <w:tcW w:w="1165" w:type="dxa"/>
            <w:noWrap/>
            <w:hideMark/>
          </w:tcPr>
          <w:p w14:paraId="35C35675" w14:textId="77777777" w:rsidR="00296C3B" w:rsidRPr="00CE6915" w:rsidRDefault="00296C3B" w:rsidP="00296C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6915">
              <w:rPr>
                <w:rFonts w:ascii="Times New Roman" w:hAnsi="Times New Roman" w:cs="Times New Roman"/>
                <w:color w:val="000000"/>
              </w:rPr>
              <w:t>36</w:t>
            </w:r>
          </w:p>
        </w:tc>
        <w:tc>
          <w:tcPr>
            <w:tcW w:w="4860" w:type="dxa"/>
            <w:noWrap/>
            <w:hideMark/>
          </w:tcPr>
          <w:p w14:paraId="21D8A1FE" w14:textId="77777777" w:rsidR="00296C3B" w:rsidRPr="00CE6915" w:rsidRDefault="00296C3B" w:rsidP="00296C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6915">
              <w:rPr>
                <w:rFonts w:ascii="Times New Roman" w:hAnsi="Times New Roman" w:cs="Times New Roman"/>
                <w:color w:val="000000"/>
              </w:rPr>
              <w:t>Z3A.36</w:t>
            </w:r>
          </w:p>
        </w:tc>
        <w:tc>
          <w:tcPr>
            <w:tcW w:w="1800" w:type="dxa"/>
            <w:noWrap/>
            <w:hideMark/>
          </w:tcPr>
          <w:p w14:paraId="0ECB5ECC" w14:textId="77777777" w:rsidR="00296C3B" w:rsidRPr="00CE6915" w:rsidRDefault="00296C3B" w:rsidP="00296C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6915">
              <w:rPr>
                <w:rFonts w:ascii="Times New Roman" w:hAnsi="Times New Roman" w:cs="Times New Roman"/>
                <w:color w:val="000000"/>
              </w:rPr>
              <w:t>P07.39, P07.30</w:t>
            </w:r>
          </w:p>
        </w:tc>
      </w:tr>
      <w:tr w:rsidR="00296C3B" w:rsidRPr="00CE6915" w14:paraId="7DC2B43C" w14:textId="77777777" w:rsidTr="00296C3B">
        <w:trPr>
          <w:trHeight w:val="20"/>
        </w:trPr>
        <w:tc>
          <w:tcPr>
            <w:tcW w:w="1165" w:type="dxa"/>
            <w:noWrap/>
            <w:hideMark/>
          </w:tcPr>
          <w:p w14:paraId="4DC401C7" w14:textId="77777777" w:rsidR="00296C3B" w:rsidRPr="00CE6915" w:rsidRDefault="00296C3B" w:rsidP="00296C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6915">
              <w:rPr>
                <w:rFonts w:ascii="Times New Roman" w:hAnsi="Times New Roman" w:cs="Times New Roman"/>
                <w:color w:val="000000"/>
              </w:rPr>
              <w:t>≥37</w:t>
            </w:r>
          </w:p>
        </w:tc>
        <w:tc>
          <w:tcPr>
            <w:tcW w:w="4860" w:type="dxa"/>
            <w:hideMark/>
          </w:tcPr>
          <w:p w14:paraId="738520A8" w14:textId="614F7A24" w:rsidR="00296C3B" w:rsidRPr="00CE6915" w:rsidRDefault="00296C3B" w:rsidP="00296C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6915">
              <w:rPr>
                <w:rFonts w:ascii="Times New Roman" w:hAnsi="Times New Roman" w:cs="Times New Roman"/>
                <w:color w:val="000000"/>
              </w:rPr>
              <w:t>Z3A.37,</w:t>
            </w:r>
            <w:r w:rsidR="00615392" w:rsidRPr="00CE6915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CE6915">
              <w:rPr>
                <w:rFonts w:ascii="Times New Roman" w:hAnsi="Times New Roman" w:cs="Times New Roman"/>
                <w:color w:val="000000"/>
              </w:rPr>
              <w:t>Z3A.38,</w:t>
            </w:r>
            <w:r w:rsidR="00615392" w:rsidRPr="00CE6915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CE6915">
              <w:rPr>
                <w:rFonts w:ascii="Times New Roman" w:hAnsi="Times New Roman" w:cs="Times New Roman"/>
                <w:color w:val="000000"/>
              </w:rPr>
              <w:t>Z3A.39,</w:t>
            </w:r>
            <w:r w:rsidR="00615392" w:rsidRPr="00CE6915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CE6915">
              <w:rPr>
                <w:rFonts w:ascii="Times New Roman" w:hAnsi="Times New Roman" w:cs="Times New Roman"/>
                <w:color w:val="000000"/>
              </w:rPr>
              <w:t>Z3A.40,</w:t>
            </w:r>
            <w:r w:rsidR="00615392" w:rsidRPr="00CE6915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CE6915">
              <w:rPr>
                <w:rFonts w:ascii="Times New Roman" w:hAnsi="Times New Roman" w:cs="Times New Roman"/>
                <w:color w:val="000000"/>
              </w:rPr>
              <w:t>Z3A.41,</w:t>
            </w:r>
            <w:r w:rsidR="00615392" w:rsidRPr="00CE6915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CE6915">
              <w:rPr>
                <w:rFonts w:ascii="Times New Roman" w:hAnsi="Times New Roman" w:cs="Times New Roman"/>
                <w:color w:val="000000"/>
              </w:rPr>
              <w:t>Z3A.42,</w:t>
            </w:r>
            <w:r w:rsidR="00615392" w:rsidRPr="00CE6915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CE6915">
              <w:rPr>
                <w:rFonts w:ascii="Times New Roman" w:hAnsi="Times New Roman" w:cs="Times New Roman"/>
                <w:color w:val="000000"/>
              </w:rPr>
              <w:t>Z3A.49</w:t>
            </w:r>
          </w:p>
        </w:tc>
        <w:tc>
          <w:tcPr>
            <w:tcW w:w="1800" w:type="dxa"/>
            <w:hideMark/>
          </w:tcPr>
          <w:p w14:paraId="5542C66A" w14:textId="7F089D61" w:rsidR="00296C3B" w:rsidRPr="00CE6915" w:rsidRDefault="00296C3B" w:rsidP="00296C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6915">
              <w:rPr>
                <w:rFonts w:ascii="Times New Roman" w:hAnsi="Times New Roman" w:cs="Times New Roman"/>
                <w:color w:val="000000"/>
              </w:rPr>
              <w:t>P08.21,</w:t>
            </w:r>
            <w:r w:rsidR="00615392" w:rsidRPr="00CE6915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CE6915">
              <w:rPr>
                <w:rFonts w:ascii="Times New Roman" w:hAnsi="Times New Roman" w:cs="Times New Roman"/>
                <w:color w:val="000000"/>
              </w:rPr>
              <w:t>P08.22</w:t>
            </w:r>
          </w:p>
        </w:tc>
      </w:tr>
    </w:tbl>
    <w:p w14:paraId="3A931850" w14:textId="5699889C" w:rsidR="0079439A" w:rsidRPr="00CE6915" w:rsidRDefault="0079439A">
      <w:pPr>
        <w:rPr>
          <w:color w:val="000000"/>
        </w:rPr>
      </w:pPr>
      <w:r w:rsidRPr="00CE6915">
        <w:rPr>
          <w:color w:val="000000"/>
        </w:rPr>
        <w:br w:type="page"/>
      </w:r>
    </w:p>
    <w:p w14:paraId="164ABA66" w14:textId="19A16AFE" w:rsidR="00C47F0C" w:rsidRPr="00CE6915" w:rsidRDefault="008C7A7C" w:rsidP="00C47F0C">
      <w:pPr>
        <w:rPr>
          <w:rFonts w:asciiTheme="majorBidi" w:hAnsiTheme="majorBidi" w:cstheme="majorBidi"/>
          <w:i/>
          <w:iCs/>
          <w:color w:val="000000"/>
          <w:sz w:val="24"/>
          <w:szCs w:val="24"/>
        </w:rPr>
      </w:pPr>
      <w:r w:rsidRPr="00CE6915">
        <w:rPr>
          <w:rFonts w:asciiTheme="majorBidi" w:hAnsiTheme="majorBidi" w:cstheme="majorBidi"/>
          <w:i/>
          <w:iCs/>
          <w:color w:val="000000"/>
          <w:sz w:val="24"/>
          <w:szCs w:val="24"/>
        </w:rPr>
        <w:lastRenderedPageBreak/>
        <w:t>SUPPLEMENTARY</w:t>
      </w:r>
      <w:r w:rsidR="00C47F0C" w:rsidRPr="00CE6915">
        <w:rPr>
          <w:rFonts w:asciiTheme="majorBidi" w:hAnsiTheme="majorBidi" w:cstheme="majorBidi"/>
          <w:i/>
          <w:iCs/>
          <w:color w:val="000000"/>
          <w:sz w:val="24"/>
          <w:szCs w:val="24"/>
        </w:rPr>
        <w:t xml:space="preserve"> TABLES</w:t>
      </w:r>
    </w:p>
    <w:p w14:paraId="4BDD9FC3" w14:textId="77777777" w:rsidR="00C47F0C" w:rsidRPr="00CE6915" w:rsidRDefault="00C47F0C" w:rsidP="00C47F0C">
      <w:pPr>
        <w:rPr>
          <w:rFonts w:asciiTheme="majorBidi" w:hAnsiTheme="majorBidi" w:cstheme="majorBidi"/>
          <w:color w:val="000000"/>
          <w:sz w:val="24"/>
          <w:szCs w:val="24"/>
        </w:rPr>
      </w:pPr>
      <w:bookmarkStart w:id="1" w:name="_Hlk64391895"/>
    </w:p>
    <w:p w14:paraId="1046EB56" w14:textId="3CA2E19F" w:rsidR="00C47F0C" w:rsidRPr="00CE6915" w:rsidRDefault="00C47F0C" w:rsidP="00C47F0C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E6915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Table </w:t>
      </w:r>
      <w:r w:rsidR="002D1CE1" w:rsidRPr="00CE6915">
        <w:rPr>
          <w:rFonts w:asciiTheme="majorBidi" w:hAnsiTheme="majorBidi" w:cstheme="majorBidi"/>
          <w:b/>
          <w:bCs/>
          <w:color w:val="000000"/>
          <w:sz w:val="24"/>
          <w:szCs w:val="24"/>
        </w:rPr>
        <w:t>A</w:t>
      </w:r>
      <w:r w:rsidRPr="00CE6915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1. </w:t>
      </w:r>
      <w:r w:rsidRPr="00CE6915">
        <w:rPr>
          <w:rFonts w:ascii="Times New Roman" w:hAnsi="Times New Roman" w:cs="Times New Roman"/>
          <w:color w:val="000000"/>
          <w:sz w:val="24"/>
          <w:szCs w:val="24"/>
        </w:rPr>
        <w:t>Patient Selection</w:t>
      </w:r>
    </w:p>
    <w:bookmarkEnd w:id="1"/>
    <w:p w14:paraId="0BBF0083" w14:textId="77777777" w:rsidR="00C47F0C" w:rsidRPr="00CE6915" w:rsidRDefault="00C47F0C" w:rsidP="00C47F0C">
      <w:pPr>
        <w:spacing w:line="276" w:lineRule="auto"/>
        <w:rPr>
          <w:color w:val="00000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72"/>
        <w:gridCol w:w="7845"/>
        <w:gridCol w:w="828"/>
      </w:tblGrid>
      <w:tr w:rsidR="00C47F0C" w:rsidRPr="00CE6915" w14:paraId="1991170E" w14:textId="77777777" w:rsidTr="002D1CE1">
        <w:trPr>
          <w:trHeight w:val="20"/>
        </w:trPr>
        <w:tc>
          <w:tcPr>
            <w:tcW w:w="0" w:type="auto"/>
            <w:tcBorders>
              <w:top w:val="single" w:sz="12" w:space="0" w:color="auto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352E5" w14:textId="77777777" w:rsidR="00C47F0C" w:rsidRPr="00CE6915" w:rsidRDefault="00C47F0C" w:rsidP="002D1CE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E6915">
              <w:rPr>
                <w:rFonts w:ascii="Times New Roman" w:hAnsi="Times New Roman" w:cs="Times New Roman"/>
                <w:b/>
                <w:bCs/>
                <w:color w:val="000000"/>
              </w:rPr>
              <w:t>Steps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FE298" w14:textId="77777777" w:rsidR="00C47F0C" w:rsidRPr="00CE6915" w:rsidRDefault="00C47F0C" w:rsidP="002D1CE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E6915">
              <w:rPr>
                <w:rFonts w:ascii="Times New Roman" w:hAnsi="Times New Roman" w:cs="Times New Roman"/>
                <w:b/>
                <w:bCs/>
                <w:color w:val="000000"/>
              </w:rPr>
              <w:t>Identification criteria for mothers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4E564" w14:textId="77777777" w:rsidR="00C47F0C" w:rsidRPr="00CE6915" w:rsidRDefault="00C47F0C" w:rsidP="002D1CE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E6915">
              <w:rPr>
                <w:rFonts w:ascii="Times New Roman" w:hAnsi="Times New Roman" w:cs="Times New Roman"/>
                <w:b/>
                <w:bCs/>
                <w:color w:val="000000"/>
              </w:rPr>
              <w:t>Counts</w:t>
            </w:r>
          </w:p>
        </w:tc>
      </w:tr>
      <w:tr w:rsidR="00C47F0C" w:rsidRPr="00CE6915" w14:paraId="59B2AFFA" w14:textId="77777777" w:rsidTr="002D1CE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E32E0" w14:textId="77777777" w:rsidR="00C47F0C" w:rsidRPr="00CE6915" w:rsidRDefault="00C47F0C" w:rsidP="002D1CE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E6915">
              <w:rPr>
                <w:rFonts w:ascii="Times New Roman" w:hAnsi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29D74" w14:textId="38C98E23" w:rsidR="00C47F0C" w:rsidRPr="00CE6915" w:rsidRDefault="00C47F0C" w:rsidP="002D1CE1">
            <w:pPr>
              <w:rPr>
                <w:rFonts w:ascii="Times New Roman" w:hAnsi="Times New Roman" w:cs="Times New Roman"/>
                <w:color w:val="000000"/>
              </w:rPr>
            </w:pPr>
            <w:r w:rsidRPr="00CE6915">
              <w:rPr>
                <w:rFonts w:ascii="Times New Roman" w:hAnsi="Times New Roman" w:cs="Times New Roman"/>
                <w:color w:val="000000"/>
              </w:rPr>
              <w:t>≥1 claim for delivery in an inpatient setting. Index Date = admission date of the delivery hospitalization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F6280" w14:textId="77777777" w:rsidR="00C47F0C" w:rsidRPr="00CE6915" w:rsidRDefault="00C47F0C" w:rsidP="002D1CE1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E6915">
              <w:rPr>
                <w:rFonts w:ascii="Times New Roman" w:hAnsi="Times New Roman" w:cs="Times New Roman"/>
                <w:color w:val="000000"/>
              </w:rPr>
              <w:t>96,222</w:t>
            </w:r>
          </w:p>
        </w:tc>
      </w:tr>
      <w:tr w:rsidR="00C47F0C" w:rsidRPr="00CE6915" w14:paraId="0F34F5E3" w14:textId="77777777" w:rsidTr="002D1CE1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5DDBE" w14:textId="77777777" w:rsidR="00C47F0C" w:rsidRPr="00CE6915" w:rsidRDefault="00C47F0C" w:rsidP="002D1CE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E6915">
              <w:rPr>
                <w:rFonts w:ascii="Times New Roman" w:hAnsi="Times New Roman" w:cs="Times New Roman"/>
                <w:b/>
                <w:bCs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88648" w14:textId="7D72B239" w:rsidR="00C47F0C" w:rsidRPr="00CE6915" w:rsidRDefault="00C47F0C" w:rsidP="002D1CE1">
            <w:pPr>
              <w:rPr>
                <w:rFonts w:ascii="Times New Roman" w:hAnsi="Times New Roman" w:cs="Times New Roman"/>
                <w:color w:val="000000"/>
              </w:rPr>
            </w:pPr>
            <w:r w:rsidRPr="00CE6915">
              <w:rPr>
                <w:rFonts w:ascii="Times New Roman" w:hAnsi="Times New Roman" w:cs="Times New Roman"/>
                <w:color w:val="000000"/>
              </w:rPr>
              <w:t>≥1 claim for gestational age during gestational age identification period</w:t>
            </w:r>
            <w:r w:rsidR="003E61EC" w:rsidRPr="00CE6915">
              <w:rPr>
                <w:rFonts w:ascii="Times New Roman" w:hAnsi="Times New Roman" w:cs="Times New Roman"/>
                <w:color w:val="000000"/>
                <w:vertAlign w:val="superscript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46434" w14:textId="77777777" w:rsidR="00C47F0C" w:rsidRPr="00CE6915" w:rsidRDefault="00C47F0C" w:rsidP="002D1CE1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E6915">
              <w:rPr>
                <w:rFonts w:ascii="Times New Roman" w:hAnsi="Times New Roman" w:cs="Times New Roman"/>
                <w:color w:val="000000"/>
              </w:rPr>
              <w:t>94,004</w:t>
            </w:r>
          </w:p>
        </w:tc>
      </w:tr>
      <w:tr w:rsidR="00C47F0C" w:rsidRPr="00CE6915" w14:paraId="5BA98437" w14:textId="77777777" w:rsidTr="002D1CE1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9B484" w14:textId="77777777" w:rsidR="00C47F0C" w:rsidRPr="00CE6915" w:rsidRDefault="00C47F0C" w:rsidP="002D1CE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E6915">
              <w:rPr>
                <w:rFonts w:ascii="Times New Roman" w:hAnsi="Times New Roman" w:cs="Times New Roman"/>
                <w:b/>
                <w:bCs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F2EDA" w14:textId="6820B7F4" w:rsidR="00C47F0C" w:rsidRPr="00CE6915" w:rsidRDefault="00C47F0C" w:rsidP="002D1CE1">
            <w:pPr>
              <w:rPr>
                <w:rFonts w:ascii="Times New Roman" w:hAnsi="Times New Roman" w:cs="Times New Roman"/>
                <w:color w:val="000000"/>
              </w:rPr>
            </w:pPr>
            <w:r w:rsidRPr="00CE6915">
              <w:rPr>
                <w:rFonts w:ascii="Times New Roman" w:hAnsi="Times New Roman" w:cs="Times New Roman"/>
                <w:color w:val="000000"/>
              </w:rPr>
              <w:t>Age ≥18 years old as of the estimated pregnancy start date</w:t>
            </w:r>
            <w:r w:rsidR="003E61EC" w:rsidRPr="00CE6915">
              <w:rPr>
                <w:rFonts w:ascii="Times New Roman" w:hAnsi="Times New Roman" w:cs="Times New Roman"/>
                <w:color w:val="000000"/>
                <w:vertAlign w:val="superscript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5479F" w14:textId="77777777" w:rsidR="00C47F0C" w:rsidRPr="00CE6915" w:rsidRDefault="00C47F0C" w:rsidP="002D1CE1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E6915">
              <w:rPr>
                <w:rFonts w:ascii="Times New Roman" w:hAnsi="Times New Roman" w:cs="Times New Roman"/>
                <w:color w:val="000000"/>
              </w:rPr>
              <w:t>93,253</w:t>
            </w:r>
          </w:p>
        </w:tc>
      </w:tr>
      <w:tr w:rsidR="00C47F0C" w:rsidRPr="00CE6915" w14:paraId="78D8209E" w14:textId="77777777" w:rsidTr="002D1CE1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20993" w14:textId="77777777" w:rsidR="00C47F0C" w:rsidRPr="00CE6915" w:rsidRDefault="00C47F0C" w:rsidP="002D1CE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E6915">
              <w:rPr>
                <w:rFonts w:ascii="Times New Roman" w:hAnsi="Times New Roman" w:cs="Times New Roman"/>
                <w:b/>
                <w:bCs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60CD8" w14:textId="74F11F8D" w:rsidR="00C47F0C" w:rsidRPr="00CE6915" w:rsidRDefault="00C47F0C" w:rsidP="002D1CE1">
            <w:pPr>
              <w:rPr>
                <w:rFonts w:ascii="Times New Roman" w:hAnsi="Times New Roman" w:cs="Times New Roman"/>
                <w:color w:val="000000"/>
              </w:rPr>
            </w:pPr>
            <w:r w:rsidRPr="00CE6915">
              <w:rPr>
                <w:rFonts w:ascii="Times New Roman" w:hAnsi="Times New Roman" w:cs="Times New Roman"/>
                <w:color w:val="000000"/>
              </w:rPr>
              <w:t>Continuously enrolled in the health plan with medical and pharmacy benefit during the baseline period (i.e. during pregnancy)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7760A" w14:textId="77777777" w:rsidR="00C47F0C" w:rsidRPr="00CE6915" w:rsidRDefault="00C47F0C" w:rsidP="002D1CE1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E6915">
              <w:rPr>
                <w:rFonts w:ascii="Times New Roman" w:hAnsi="Times New Roman" w:cs="Times New Roman"/>
                <w:color w:val="000000"/>
              </w:rPr>
              <w:t>70,047</w:t>
            </w:r>
          </w:p>
        </w:tc>
      </w:tr>
      <w:tr w:rsidR="00C47F0C" w:rsidRPr="00CE6915" w14:paraId="537119D4" w14:textId="77777777" w:rsidTr="002D1CE1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83613" w14:textId="77777777" w:rsidR="00C47F0C" w:rsidRPr="00CE6915" w:rsidRDefault="00C47F0C" w:rsidP="002D1CE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E6915">
              <w:rPr>
                <w:rFonts w:ascii="Times New Roman" w:hAnsi="Times New Roman" w:cs="Times New Roman"/>
                <w:b/>
                <w:bCs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F474D" w14:textId="77777777" w:rsidR="00C47F0C" w:rsidRPr="00CE6915" w:rsidRDefault="00C47F0C" w:rsidP="002D1CE1">
            <w:pPr>
              <w:rPr>
                <w:rFonts w:ascii="Times New Roman" w:hAnsi="Times New Roman" w:cs="Times New Roman"/>
                <w:color w:val="000000"/>
              </w:rPr>
            </w:pPr>
            <w:r w:rsidRPr="00CE6915">
              <w:rPr>
                <w:rFonts w:ascii="Times New Roman" w:hAnsi="Times New Roman" w:cs="Times New Roman"/>
                <w:color w:val="000000"/>
              </w:rPr>
              <w:t>No evidence for multiple gestation during intake period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F2AFE" w14:textId="77777777" w:rsidR="00C47F0C" w:rsidRPr="00CE6915" w:rsidRDefault="00C47F0C" w:rsidP="002D1CE1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E6915">
              <w:rPr>
                <w:rFonts w:ascii="Times New Roman" w:hAnsi="Times New Roman" w:cs="Times New Roman"/>
                <w:color w:val="000000"/>
              </w:rPr>
              <w:t>68,306</w:t>
            </w:r>
          </w:p>
        </w:tc>
      </w:tr>
      <w:tr w:rsidR="00C47F0C" w:rsidRPr="00CE6915" w14:paraId="414BB757" w14:textId="77777777" w:rsidTr="002D1CE1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8C5C3" w14:textId="77777777" w:rsidR="00C47F0C" w:rsidRPr="00CE6915" w:rsidRDefault="00C47F0C" w:rsidP="002D1CE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E6915">
              <w:rPr>
                <w:rFonts w:ascii="Times New Roman" w:hAnsi="Times New Roman" w:cs="Times New Roman"/>
                <w:b/>
                <w:bCs/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7AB52" w14:textId="61545224" w:rsidR="00C47F0C" w:rsidRPr="00CE6915" w:rsidRDefault="00C47F0C" w:rsidP="002D1CE1">
            <w:pPr>
              <w:rPr>
                <w:rFonts w:ascii="Times New Roman" w:hAnsi="Times New Roman" w:cs="Times New Roman"/>
                <w:color w:val="000000"/>
              </w:rPr>
            </w:pPr>
            <w:r w:rsidRPr="00CE6915">
              <w:rPr>
                <w:rFonts w:ascii="Times New Roman" w:hAnsi="Times New Roman" w:cs="Times New Roman"/>
                <w:color w:val="000000"/>
              </w:rPr>
              <w:t>No progesterone therapy &gt;12 to &lt;21 weeks of gestation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44EB0" w14:textId="77777777" w:rsidR="00C47F0C" w:rsidRPr="00CE6915" w:rsidRDefault="00C47F0C" w:rsidP="002D1CE1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E6915">
              <w:rPr>
                <w:rFonts w:ascii="Times New Roman" w:hAnsi="Times New Roman" w:cs="Times New Roman"/>
                <w:color w:val="000000"/>
              </w:rPr>
              <w:t>67,286</w:t>
            </w:r>
          </w:p>
        </w:tc>
      </w:tr>
      <w:tr w:rsidR="00C47F0C" w:rsidRPr="00CE6915" w14:paraId="09464446" w14:textId="77777777" w:rsidTr="002D1CE1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552C2" w14:textId="77777777" w:rsidR="00C47F0C" w:rsidRPr="00CE6915" w:rsidRDefault="00C47F0C" w:rsidP="002D1CE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E6915">
              <w:rPr>
                <w:rFonts w:ascii="Times New Roman" w:hAnsi="Times New Roman" w:cs="Times New Roman"/>
                <w:b/>
                <w:bCs/>
                <w:color w:val="00000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4A142" w14:textId="7AE01AE6" w:rsidR="00C47F0C" w:rsidRPr="00CE6915" w:rsidRDefault="00C47F0C" w:rsidP="002D1CE1">
            <w:pPr>
              <w:rPr>
                <w:rFonts w:ascii="Times New Roman" w:hAnsi="Times New Roman" w:cs="Times New Roman"/>
                <w:color w:val="000000"/>
              </w:rPr>
            </w:pPr>
            <w:r w:rsidRPr="00CE6915">
              <w:rPr>
                <w:rFonts w:ascii="Times New Roman" w:hAnsi="Times New Roman" w:cs="Times New Roman"/>
                <w:color w:val="000000"/>
              </w:rPr>
              <w:t>No fetal chromosomal abnormality or structural anomaly associated with shortened gestation during the intake period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B5770" w14:textId="77777777" w:rsidR="00C47F0C" w:rsidRPr="00CE6915" w:rsidRDefault="00C47F0C" w:rsidP="002D1CE1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E6915">
              <w:rPr>
                <w:rFonts w:ascii="Times New Roman" w:hAnsi="Times New Roman" w:cs="Times New Roman"/>
                <w:color w:val="000000"/>
              </w:rPr>
              <w:t>63,406</w:t>
            </w:r>
          </w:p>
        </w:tc>
      </w:tr>
      <w:tr w:rsidR="00C47F0C" w:rsidRPr="00CE6915" w14:paraId="6659921F" w14:textId="77777777" w:rsidTr="002D1CE1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5EA13" w14:textId="77777777" w:rsidR="00C47F0C" w:rsidRPr="00CE6915" w:rsidRDefault="00C47F0C" w:rsidP="002D1CE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E6915">
              <w:rPr>
                <w:rFonts w:ascii="Times New Roman" w:hAnsi="Times New Roman" w:cs="Times New Roman"/>
                <w:b/>
                <w:bCs/>
                <w:color w:val="000000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1C108" w14:textId="0274D202" w:rsidR="00C47F0C" w:rsidRPr="00CE6915" w:rsidRDefault="00C47F0C" w:rsidP="002D1CE1">
            <w:pPr>
              <w:rPr>
                <w:rFonts w:ascii="Times New Roman" w:hAnsi="Times New Roman" w:cs="Times New Roman"/>
                <w:color w:val="000000"/>
              </w:rPr>
            </w:pPr>
            <w:r w:rsidRPr="00CE6915">
              <w:rPr>
                <w:rFonts w:ascii="Times New Roman" w:hAnsi="Times New Roman" w:cs="Times New Roman"/>
                <w:color w:val="000000"/>
              </w:rPr>
              <w:t>No preterm labor or rupture of membranes &lt;21 weeks gestation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7197D" w14:textId="77777777" w:rsidR="00C47F0C" w:rsidRPr="00CE6915" w:rsidRDefault="00C47F0C" w:rsidP="002D1CE1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E6915">
              <w:rPr>
                <w:rFonts w:ascii="Times New Roman" w:hAnsi="Times New Roman" w:cs="Times New Roman"/>
                <w:color w:val="000000"/>
              </w:rPr>
              <w:t>63,237</w:t>
            </w:r>
          </w:p>
        </w:tc>
      </w:tr>
      <w:tr w:rsidR="00C47F0C" w:rsidRPr="00CE6915" w14:paraId="54B92848" w14:textId="77777777" w:rsidTr="002D1CE1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79491" w14:textId="77777777" w:rsidR="00C47F0C" w:rsidRPr="00CE6915" w:rsidRDefault="00C47F0C" w:rsidP="002D1CE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E6915">
              <w:rPr>
                <w:rFonts w:ascii="Times New Roman" w:hAnsi="Times New Roman" w:cs="Times New Roman"/>
                <w:b/>
                <w:bCs/>
                <w:color w:val="000000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B4854" w14:textId="56A9524B" w:rsidR="00C47F0C" w:rsidRPr="00CE6915" w:rsidRDefault="00C47F0C" w:rsidP="002D1CE1">
            <w:pPr>
              <w:rPr>
                <w:rFonts w:ascii="Times New Roman" w:hAnsi="Times New Roman" w:cs="Times New Roman"/>
                <w:color w:val="000000"/>
              </w:rPr>
            </w:pPr>
            <w:r w:rsidRPr="00CE6915">
              <w:rPr>
                <w:rFonts w:ascii="Times New Roman" w:hAnsi="Times New Roman" w:cs="Times New Roman"/>
                <w:color w:val="000000"/>
              </w:rPr>
              <w:t>Continuously enrolled in the health plan with medical and pharmacy benefit during the 12 months post-index period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2AD90" w14:textId="77777777" w:rsidR="00C47F0C" w:rsidRPr="00CE6915" w:rsidRDefault="00C47F0C" w:rsidP="002D1CE1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E6915">
              <w:rPr>
                <w:rFonts w:ascii="Times New Roman" w:hAnsi="Times New Roman" w:cs="Times New Roman"/>
                <w:color w:val="000000"/>
              </w:rPr>
              <w:t>42,233</w:t>
            </w:r>
          </w:p>
        </w:tc>
      </w:tr>
      <w:tr w:rsidR="00C47F0C" w:rsidRPr="00CE6915" w14:paraId="4CBD7A83" w14:textId="77777777" w:rsidTr="002D1CE1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B2A1F" w14:textId="77777777" w:rsidR="00C47F0C" w:rsidRPr="00CE6915" w:rsidRDefault="00C47F0C" w:rsidP="002D1CE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E6915">
              <w:rPr>
                <w:rFonts w:ascii="Times New Roman" w:hAnsi="Times New Roman" w:cs="Times New Roman"/>
                <w:b/>
                <w:bCs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BCA8C" w14:textId="38C6F099" w:rsidR="00C47F0C" w:rsidRPr="00CE6915" w:rsidRDefault="00C47F0C" w:rsidP="002D1CE1">
            <w:pPr>
              <w:rPr>
                <w:rFonts w:ascii="Times New Roman" w:hAnsi="Times New Roman" w:cs="Times New Roman"/>
                <w:color w:val="000000"/>
              </w:rPr>
            </w:pPr>
            <w:r w:rsidRPr="00CE6915">
              <w:rPr>
                <w:rFonts w:ascii="Times New Roman" w:hAnsi="Times New Roman" w:cs="Times New Roman"/>
                <w:color w:val="000000"/>
              </w:rPr>
              <w:t>No claim for still births or abortion during the intake period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603D2" w14:textId="77777777" w:rsidR="00C47F0C" w:rsidRPr="00CE6915" w:rsidRDefault="00C47F0C" w:rsidP="002D1CE1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E6915">
              <w:rPr>
                <w:rFonts w:ascii="Times New Roman" w:hAnsi="Times New Roman" w:cs="Times New Roman"/>
                <w:color w:val="000000"/>
              </w:rPr>
              <w:t>40,649</w:t>
            </w:r>
          </w:p>
        </w:tc>
      </w:tr>
    </w:tbl>
    <w:p w14:paraId="1C11CAA9" w14:textId="1B676977" w:rsidR="00C47F0C" w:rsidRPr="00CE6915" w:rsidRDefault="003E61EC" w:rsidP="00C47F0C">
      <w:pPr>
        <w:spacing w:line="276" w:lineRule="auto"/>
        <w:rPr>
          <w:rFonts w:ascii="Times New Roman" w:hAnsi="Times New Roman" w:cs="Times New Roman"/>
          <w:color w:val="000000"/>
        </w:rPr>
      </w:pPr>
      <w:r w:rsidRPr="00CE6915">
        <w:rPr>
          <w:rFonts w:ascii="Times New Roman" w:hAnsi="Times New Roman" w:cs="Times New Roman"/>
          <w:color w:val="000000"/>
          <w:vertAlign w:val="superscript"/>
        </w:rPr>
        <w:t>a</w:t>
      </w:r>
      <w:r w:rsidR="006E276C" w:rsidRPr="00CE6915">
        <w:rPr>
          <w:rFonts w:ascii="Times New Roman" w:hAnsi="Times New Roman" w:cs="Times New Roman"/>
          <w:color w:val="000000"/>
        </w:rPr>
        <w:t>Gestational age identification period: index date (delivery date) minus 7 days through index date plus 7 days, using ICD</w:t>
      </w:r>
      <w:r w:rsidR="00341E11" w:rsidRPr="00CE6915">
        <w:rPr>
          <w:rFonts w:ascii="Times New Roman" w:hAnsi="Times New Roman" w:cs="Times New Roman"/>
          <w:color w:val="000000"/>
        </w:rPr>
        <w:t>-</w:t>
      </w:r>
      <w:r w:rsidR="006E276C" w:rsidRPr="00CE6915">
        <w:rPr>
          <w:rFonts w:ascii="Times New Roman" w:hAnsi="Times New Roman" w:cs="Times New Roman"/>
          <w:color w:val="000000"/>
        </w:rPr>
        <w:t>10</w:t>
      </w:r>
      <w:r w:rsidR="00341E11" w:rsidRPr="00CE6915">
        <w:rPr>
          <w:rFonts w:ascii="Times New Roman" w:hAnsi="Times New Roman" w:cs="Times New Roman"/>
          <w:color w:val="000000"/>
        </w:rPr>
        <w:t>-CM</w:t>
      </w:r>
      <w:r w:rsidR="006E276C" w:rsidRPr="00CE6915">
        <w:rPr>
          <w:rFonts w:ascii="Times New Roman" w:hAnsi="Times New Roman" w:cs="Times New Roman"/>
          <w:color w:val="000000"/>
        </w:rPr>
        <w:t xml:space="preserve"> code descriptions of gestational age.</w:t>
      </w:r>
    </w:p>
    <w:p w14:paraId="4DD59B7C" w14:textId="47AFD949" w:rsidR="006E276C" w:rsidRPr="00CE6915" w:rsidRDefault="003E61EC" w:rsidP="00C47F0C">
      <w:pPr>
        <w:spacing w:line="276" w:lineRule="auto"/>
        <w:rPr>
          <w:rFonts w:ascii="Times New Roman" w:hAnsi="Times New Roman" w:cs="Times New Roman"/>
          <w:color w:val="000000"/>
        </w:rPr>
      </w:pPr>
      <w:r w:rsidRPr="00CE6915">
        <w:rPr>
          <w:rFonts w:ascii="Times New Roman" w:hAnsi="Times New Roman" w:cs="Times New Roman"/>
          <w:color w:val="000000"/>
          <w:vertAlign w:val="superscript"/>
        </w:rPr>
        <w:t>b</w:t>
      </w:r>
      <w:r w:rsidR="006E276C" w:rsidRPr="00CE6915">
        <w:rPr>
          <w:rFonts w:ascii="Times New Roman" w:hAnsi="Times New Roman" w:cs="Times New Roman"/>
          <w:color w:val="000000"/>
        </w:rPr>
        <w:t>Estimated claims-based pregnancy start date: index date minus weeks of gestation identified during gestational week identification period.</w:t>
      </w:r>
    </w:p>
    <w:p w14:paraId="551F1DD5" w14:textId="77777777" w:rsidR="006E276C" w:rsidRPr="00CE6915" w:rsidRDefault="006E276C" w:rsidP="00C47F0C">
      <w:pPr>
        <w:spacing w:line="276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72"/>
        <w:gridCol w:w="7802"/>
        <w:gridCol w:w="866"/>
      </w:tblGrid>
      <w:tr w:rsidR="00C47F0C" w:rsidRPr="00CE6915" w14:paraId="740526EC" w14:textId="77777777" w:rsidTr="002D1CE1">
        <w:trPr>
          <w:trHeight w:val="20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86B6A" w14:textId="77777777" w:rsidR="00C47F0C" w:rsidRPr="00CE6915" w:rsidRDefault="00C47F0C" w:rsidP="002D1CE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E6915">
              <w:rPr>
                <w:rFonts w:ascii="Times New Roman" w:hAnsi="Times New Roman" w:cs="Times New Roman"/>
                <w:b/>
                <w:bCs/>
                <w:color w:val="000000"/>
              </w:rPr>
              <w:t>Steps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DC048" w14:textId="77777777" w:rsidR="00C47F0C" w:rsidRPr="00CE6915" w:rsidRDefault="00C47F0C" w:rsidP="002D1CE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E6915">
              <w:rPr>
                <w:rFonts w:ascii="Times New Roman" w:hAnsi="Times New Roman" w:cs="Times New Roman"/>
                <w:b/>
                <w:bCs/>
                <w:color w:val="000000"/>
              </w:rPr>
              <w:t>Identification criteria for infants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6973F" w14:textId="77777777" w:rsidR="00C47F0C" w:rsidRPr="00CE6915" w:rsidRDefault="00C47F0C" w:rsidP="002D1CE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E6915">
              <w:rPr>
                <w:rFonts w:ascii="Times New Roman" w:hAnsi="Times New Roman" w:cs="Times New Roman"/>
                <w:b/>
                <w:bCs/>
                <w:color w:val="000000"/>
              </w:rPr>
              <w:t>Counts</w:t>
            </w:r>
          </w:p>
        </w:tc>
      </w:tr>
      <w:tr w:rsidR="00C47F0C" w:rsidRPr="00CE6915" w14:paraId="35903B3C" w14:textId="77777777" w:rsidTr="002D1CE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3202D" w14:textId="77777777" w:rsidR="00C47F0C" w:rsidRPr="00CE6915" w:rsidRDefault="00C47F0C" w:rsidP="002D1CE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E6915">
              <w:rPr>
                <w:rFonts w:ascii="Times New Roman" w:hAnsi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61C50" w14:textId="4308F6E6" w:rsidR="00C47F0C" w:rsidRPr="00CE6915" w:rsidRDefault="00C47F0C" w:rsidP="002D1CE1">
            <w:pPr>
              <w:rPr>
                <w:rFonts w:ascii="Times New Roman" w:hAnsi="Times New Roman" w:cs="Times New Roman"/>
                <w:color w:val="000000"/>
              </w:rPr>
            </w:pPr>
            <w:r w:rsidRPr="00CE6915">
              <w:rPr>
                <w:rFonts w:ascii="Times New Roman" w:hAnsi="Times New Roman" w:cs="Times New Roman"/>
                <w:color w:val="000000"/>
              </w:rPr>
              <w:t>Among those with medical and pharmacy health plan eligibility, birth year was 2016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90B38" w14:textId="77777777" w:rsidR="00C47F0C" w:rsidRPr="00CE6915" w:rsidRDefault="00C47F0C" w:rsidP="002D1CE1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E6915">
              <w:rPr>
                <w:rFonts w:ascii="Times New Roman" w:hAnsi="Times New Roman" w:cs="Times New Roman"/>
                <w:color w:val="000000"/>
              </w:rPr>
              <w:t>101,435</w:t>
            </w:r>
          </w:p>
        </w:tc>
      </w:tr>
      <w:tr w:rsidR="00C47F0C" w:rsidRPr="00CE6915" w14:paraId="5CC12B58" w14:textId="77777777" w:rsidTr="002D1CE1">
        <w:trPr>
          <w:trHeight w:val="20"/>
        </w:trPr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D491B" w14:textId="77777777" w:rsidR="00C47F0C" w:rsidRPr="00CE6915" w:rsidRDefault="00C47F0C" w:rsidP="002D1CE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E6915">
              <w:rPr>
                <w:rFonts w:ascii="Times New Roman" w:hAnsi="Times New Roman" w:cs="Times New Roman"/>
                <w:b/>
                <w:bCs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A889F" w14:textId="49F49CD0" w:rsidR="00C47F0C" w:rsidRPr="00CE6915" w:rsidRDefault="00C47F0C" w:rsidP="002D1CE1">
            <w:pPr>
              <w:rPr>
                <w:rFonts w:ascii="Times New Roman" w:hAnsi="Times New Roman" w:cs="Times New Roman"/>
                <w:color w:val="000000"/>
              </w:rPr>
            </w:pPr>
            <w:r w:rsidRPr="00CE6915">
              <w:rPr>
                <w:rFonts w:ascii="Times New Roman" w:hAnsi="Times New Roman" w:cs="Times New Roman"/>
                <w:color w:val="000000"/>
              </w:rPr>
              <w:t>≥1 medical claim with gestational age or ≥1 medical claim indicative of single live born infant within 30 days of birth date. Index Date is Birth Date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80052" w14:textId="77777777" w:rsidR="00C47F0C" w:rsidRPr="00CE6915" w:rsidRDefault="00C47F0C" w:rsidP="002D1CE1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E6915">
              <w:rPr>
                <w:rFonts w:ascii="Times New Roman" w:hAnsi="Times New Roman" w:cs="Times New Roman"/>
                <w:color w:val="000000"/>
              </w:rPr>
              <w:t>63,945</w:t>
            </w:r>
          </w:p>
        </w:tc>
      </w:tr>
      <w:tr w:rsidR="00C47F0C" w:rsidRPr="00CE6915" w14:paraId="16AED326" w14:textId="77777777" w:rsidTr="002D1CE1">
        <w:trPr>
          <w:trHeight w:val="20"/>
        </w:trPr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8BBD6" w14:textId="77777777" w:rsidR="00C47F0C" w:rsidRPr="00CE6915" w:rsidRDefault="00C47F0C" w:rsidP="002D1CE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E6915">
              <w:rPr>
                <w:rFonts w:ascii="Times New Roman" w:hAnsi="Times New Roman" w:cs="Times New Roman"/>
                <w:b/>
                <w:bCs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AFE05" w14:textId="0D943F4B" w:rsidR="00C47F0C" w:rsidRPr="00CE6915" w:rsidRDefault="00C47F0C" w:rsidP="002D1CE1">
            <w:pPr>
              <w:rPr>
                <w:rFonts w:ascii="Times New Roman" w:hAnsi="Times New Roman" w:cs="Times New Roman"/>
                <w:color w:val="000000"/>
              </w:rPr>
            </w:pPr>
            <w:r w:rsidRPr="00CE6915">
              <w:rPr>
                <w:rFonts w:ascii="Times New Roman" w:hAnsi="Times New Roman" w:cs="Times New Roman"/>
                <w:color w:val="000000"/>
              </w:rPr>
              <w:t>No code for multiple gestatio</w:t>
            </w:r>
            <w:r w:rsidR="006E276C" w:rsidRPr="00CE6915">
              <w:rPr>
                <w:rFonts w:ascii="Times New Roman" w:hAnsi="Times New Roman" w:cs="Times New Roman"/>
                <w:color w:val="000000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FFAA1" w14:textId="77777777" w:rsidR="00C47F0C" w:rsidRPr="00CE6915" w:rsidRDefault="00C47F0C" w:rsidP="002D1CE1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E6915">
              <w:rPr>
                <w:rFonts w:ascii="Times New Roman" w:hAnsi="Times New Roman" w:cs="Times New Roman"/>
                <w:color w:val="000000"/>
              </w:rPr>
              <w:t>62,093</w:t>
            </w:r>
          </w:p>
        </w:tc>
      </w:tr>
      <w:tr w:rsidR="00C47F0C" w:rsidRPr="00CE6915" w14:paraId="68EB79ED" w14:textId="77777777" w:rsidTr="00A36C6E">
        <w:trPr>
          <w:trHeight w:val="20"/>
        </w:trPr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7186B" w14:textId="6AF3CAD0" w:rsidR="00C47F0C" w:rsidRPr="00CE6915" w:rsidRDefault="00C47F0C" w:rsidP="002D1CE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E6915">
              <w:rPr>
                <w:rFonts w:ascii="Times New Roman" w:hAnsi="Times New Roman" w:cs="Times New Roman"/>
                <w:b/>
                <w:bCs/>
                <w:color w:val="000000"/>
              </w:rPr>
              <w:t>4</w:t>
            </w:r>
            <w:r w:rsidR="00A36C6E" w:rsidRPr="00CE6915">
              <w:rPr>
                <w:rFonts w:ascii="Times New Roman" w:hAnsi="Times New Roman" w:cs="Times New Roman"/>
                <w:b/>
                <w:bCs/>
                <w:color w:val="00000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0A2E0" w14:textId="41F2D2BD" w:rsidR="00C47F0C" w:rsidRPr="00CE6915" w:rsidRDefault="00293526" w:rsidP="002D1CE1">
            <w:pPr>
              <w:rPr>
                <w:rFonts w:ascii="Times New Roman" w:hAnsi="Times New Roman" w:cs="Times New Roman"/>
                <w:color w:val="000000"/>
              </w:rPr>
            </w:pPr>
            <w:r w:rsidRPr="00CE6915">
              <w:rPr>
                <w:rFonts w:ascii="Times New Roman" w:hAnsi="Times New Roman" w:cs="Times New Roman"/>
                <w:i/>
                <w:iCs/>
                <w:color w:val="000000"/>
              </w:rPr>
              <w:t>Only applied for</w:t>
            </w:r>
            <w:r w:rsidR="00E67E07" w:rsidRPr="00CE6915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derivation of costs in</w:t>
            </w:r>
            <w:r w:rsidRPr="00CE6915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Scenario </w:t>
            </w:r>
            <w:r w:rsidR="00A36C6E" w:rsidRPr="00CE6915">
              <w:rPr>
                <w:rFonts w:ascii="Times New Roman" w:hAnsi="Times New Roman" w:cs="Times New Roman"/>
                <w:i/>
                <w:iCs/>
                <w:color w:val="000000"/>
              </w:rPr>
              <w:t>5</w:t>
            </w:r>
            <w:r w:rsidRPr="00CE6915">
              <w:rPr>
                <w:rFonts w:ascii="Times New Roman" w:hAnsi="Times New Roman" w:cs="Times New Roman"/>
                <w:i/>
                <w:iCs/>
                <w:color w:val="000000"/>
              </w:rPr>
              <w:t>:</w:t>
            </w:r>
            <w:r w:rsidRPr="00CE6915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C47F0C" w:rsidRPr="00CE6915">
              <w:rPr>
                <w:rFonts w:ascii="Times New Roman" w:hAnsi="Times New Roman" w:cs="Times New Roman"/>
                <w:color w:val="000000"/>
              </w:rPr>
              <w:t>Continuously enrolled in the health plan with medical and pharmacy benefit during the 12 months post-index period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55BB1" w14:textId="77777777" w:rsidR="00C47F0C" w:rsidRPr="00CE6915" w:rsidRDefault="00C47F0C" w:rsidP="002D1CE1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E6915">
              <w:rPr>
                <w:rFonts w:ascii="Times New Roman" w:hAnsi="Times New Roman" w:cs="Times New Roman"/>
                <w:color w:val="000000"/>
              </w:rPr>
              <w:t>40,116</w:t>
            </w:r>
          </w:p>
        </w:tc>
      </w:tr>
      <w:tr w:rsidR="00A36C6E" w:rsidRPr="00CE6915" w14:paraId="6DD0185B" w14:textId="77777777" w:rsidTr="00A36C6E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6864F9" w14:textId="7BD001A3" w:rsidR="00A36C6E" w:rsidRPr="00CE6915" w:rsidRDefault="00A36C6E" w:rsidP="00A36C6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E6915">
              <w:rPr>
                <w:rFonts w:ascii="Times New Roman" w:hAnsi="Times New Roman" w:cs="Times New Roman"/>
                <w:b/>
                <w:bCs/>
                <w:color w:val="000000"/>
              </w:rPr>
              <w:t>4b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67FCB" w14:textId="752A1E6D" w:rsidR="00A36C6E" w:rsidRPr="00CE6915" w:rsidRDefault="00A36C6E" w:rsidP="00A36C6E">
            <w:pPr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CE6915">
              <w:rPr>
                <w:rFonts w:ascii="Times New Roman" w:hAnsi="Times New Roman" w:cs="Times New Roman"/>
                <w:i/>
                <w:iCs/>
                <w:color w:val="000000"/>
              </w:rPr>
              <w:t>Only applied for derivation of costs in Scenario 3:</w:t>
            </w:r>
            <w:r w:rsidRPr="00CE6915">
              <w:rPr>
                <w:rFonts w:ascii="Times New Roman" w:hAnsi="Times New Roman" w:cs="Times New Roman"/>
                <w:color w:val="000000"/>
              </w:rPr>
              <w:t xml:space="preserve"> Continuously enrolled in the health plan with medical and pharmacy benefit during the 30 months post-index period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9178B2" w14:textId="74C58BA3" w:rsidR="00A36C6E" w:rsidRPr="00CE6915" w:rsidRDefault="00A36C6E" w:rsidP="00A36C6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E6915">
              <w:rPr>
                <w:rFonts w:ascii="Times New Roman" w:hAnsi="Times New Roman" w:cs="Times New Roman"/>
                <w:color w:val="000000"/>
              </w:rPr>
              <w:t>22,212</w:t>
            </w:r>
          </w:p>
        </w:tc>
      </w:tr>
    </w:tbl>
    <w:p w14:paraId="2CB17721" w14:textId="77777777" w:rsidR="00C47F0C" w:rsidRPr="00CE6915" w:rsidRDefault="00C47F0C" w:rsidP="00C47F0C">
      <w:pPr>
        <w:rPr>
          <w:rFonts w:asciiTheme="majorBidi" w:hAnsiTheme="majorBidi" w:cstheme="majorBidi"/>
          <w:color w:val="000000"/>
          <w:sz w:val="24"/>
          <w:szCs w:val="24"/>
        </w:rPr>
      </w:pPr>
    </w:p>
    <w:p w14:paraId="2F33F465" w14:textId="77777777" w:rsidR="00C47F0C" w:rsidRPr="00CE6915" w:rsidRDefault="00C47F0C" w:rsidP="00C47F0C">
      <w:pPr>
        <w:rPr>
          <w:rFonts w:asciiTheme="majorBidi" w:hAnsiTheme="majorBidi" w:cstheme="majorBidi"/>
          <w:bCs/>
          <w:color w:val="000000"/>
          <w:sz w:val="24"/>
          <w:szCs w:val="24"/>
        </w:rPr>
      </w:pPr>
    </w:p>
    <w:p w14:paraId="7733A480" w14:textId="47595DC9" w:rsidR="00C47F0C" w:rsidRPr="00CE6915" w:rsidRDefault="00C47F0C" w:rsidP="00C47F0C">
      <w:pPr>
        <w:spacing w:line="276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bookmarkStart w:id="2" w:name="_Hlk64391906"/>
      <w:bookmarkStart w:id="3" w:name="_Hlk64391913"/>
      <w:r w:rsidRPr="00CE691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Table </w:t>
      </w:r>
      <w:r w:rsidR="002D1CE1" w:rsidRPr="00CE6915">
        <w:rPr>
          <w:rFonts w:ascii="Times New Roman" w:hAnsi="Times New Roman" w:cs="Times New Roman"/>
          <w:b/>
          <w:color w:val="000000"/>
          <w:sz w:val="24"/>
          <w:szCs w:val="24"/>
        </w:rPr>
        <w:t>A</w:t>
      </w:r>
      <w:r w:rsidRPr="00CE691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2. </w:t>
      </w:r>
      <w:bookmarkEnd w:id="2"/>
      <w:r w:rsidRPr="00CE691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Model assumptions on preterm births and </w:t>
      </w:r>
      <w:r w:rsidR="006E276C" w:rsidRPr="00CE6915">
        <w:rPr>
          <w:rFonts w:ascii="Times New Roman" w:hAnsi="Times New Roman" w:cs="Times New Roman"/>
          <w:bCs/>
          <w:color w:val="000000"/>
          <w:sz w:val="24"/>
          <w:szCs w:val="24"/>
        </w:rPr>
        <w:t>risk-screening-and-treat</w:t>
      </w:r>
      <w:r w:rsidRPr="00CE691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effectiveness</w:t>
      </w:r>
    </w:p>
    <w:bookmarkEnd w:id="3"/>
    <w:p w14:paraId="133AAC3A" w14:textId="77777777" w:rsidR="00C47F0C" w:rsidRPr="00CE6915" w:rsidRDefault="00C47F0C" w:rsidP="00C47F0C">
      <w:pPr>
        <w:spacing w:line="276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tbl>
      <w:tblPr>
        <w:tblStyle w:val="GridTable1Light"/>
        <w:tblW w:w="8010" w:type="dxa"/>
        <w:tblLook w:val="04A0" w:firstRow="1" w:lastRow="0" w:firstColumn="1" w:lastColumn="0" w:noHBand="0" w:noVBand="1"/>
      </w:tblPr>
      <w:tblGrid>
        <w:gridCol w:w="1105"/>
        <w:gridCol w:w="1040"/>
        <w:gridCol w:w="895"/>
        <w:gridCol w:w="1484"/>
        <w:gridCol w:w="1866"/>
        <w:gridCol w:w="1620"/>
      </w:tblGrid>
      <w:tr w:rsidR="00C47F0C" w:rsidRPr="00CE6915" w14:paraId="428DCD65" w14:textId="77777777" w:rsidTr="002D1C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5" w:type="dxa"/>
            <w:hideMark/>
          </w:tcPr>
          <w:p w14:paraId="4CEDEBEF" w14:textId="77777777" w:rsidR="00C47F0C" w:rsidRPr="00CE6915" w:rsidRDefault="00C47F0C" w:rsidP="002D1CE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6915">
              <w:rPr>
                <w:rFonts w:ascii="Times New Roman" w:hAnsi="Times New Roman" w:cs="Times New Roman"/>
                <w:color w:val="000000"/>
              </w:rPr>
              <w:t>Weeks of gestation</w:t>
            </w:r>
          </w:p>
        </w:tc>
        <w:tc>
          <w:tcPr>
            <w:tcW w:w="1040" w:type="dxa"/>
            <w:noWrap/>
            <w:hideMark/>
          </w:tcPr>
          <w:p w14:paraId="5E8118DF" w14:textId="77777777" w:rsidR="00C47F0C" w:rsidRPr="00CE6915" w:rsidRDefault="00C47F0C" w:rsidP="002D1CE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CE6915">
              <w:rPr>
                <w:rFonts w:ascii="Times New Roman" w:hAnsi="Times New Roman" w:cs="Times New Roman"/>
                <w:color w:val="000000"/>
              </w:rPr>
              <w:t># of births*</w:t>
            </w:r>
          </w:p>
        </w:tc>
        <w:tc>
          <w:tcPr>
            <w:tcW w:w="895" w:type="dxa"/>
            <w:hideMark/>
          </w:tcPr>
          <w:p w14:paraId="19A4162E" w14:textId="77777777" w:rsidR="00C47F0C" w:rsidRPr="00CE6915" w:rsidRDefault="00C47F0C" w:rsidP="002D1CE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CE6915">
              <w:rPr>
                <w:rFonts w:ascii="Times New Roman" w:hAnsi="Times New Roman" w:cs="Times New Roman"/>
                <w:color w:val="000000"/>
              </w:rPr>
              <w:t>% of births</w:t>
            </w:r>
          </w:p>
        </w:tc>
        <w:tc>
          <w:tcPr>
            <w:tcW w:w="1484" w:type="dxa"/>
            <w:hideMark/>
          </w:tcPr>
          <w:p w14:paraId="46F39D28" w14:textId="5D4427C3" w:rsidR="00C47F0C" w:rsidRPr="00CE6915" w:rsidRDefault="00E67E07" w:rsidP="002D1CE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000000"/>
              </w:rPr>
            </w:pPr>
            <w:r w:rsidRPr="00CE6915">
              <w:rPr>
                <w:rFonts w:ascii="Times New Roman" w:hAnsi="Times New Roman" w:cs="Times New Roman"/>
                <w:color w:val="000000"/>
              </w:rPr>
              <w:t>Treatment</w:t>
            </w:r>
            <w:r w:rsidR="00C47F0C" w:rsidRPr="00CE6915">
              <w:rPr>
                <w:rFonts w:ascii="Times New Roman" w:hAnsi="Times New Roman" w:cs="Times New Roman"/>
                <w:color w:val="000000"/>
              </w:rPr>
              <w:t xml:space="preserve"> effectiveness (base case)</w:t>
            </w:r>
            <w:r w:rsidR="002D1CE1" w:rsidRPr="00CE6915">
              <w:rPr>
                <w:rFonts w:ascii="Times New Roman" w:hAnsi="Times New Roman" w:cs="Times New Roman"/>
                <w:b w:val="0"/>
                <w:bCs w:val="0"/>
                <w:color w:val="000000"/>
              </w:rPr>
              <w:t>**</w:t>
            </w:r>
          </w:p>
        </w:tc>
        <w:tc>
          <w:tcPr>
            <w:tcW w:w="1866" w:type="dxa"/>
            <w:hideMark/>
          </w:tcPr>
          <w:p w14:paraId="0AE0D516" w14:textId="7AE0FB92" w:rsidR="00C47F0C" w:rsidRPr="00CE6915" w:rsidRDefault="00E67E07" w:rsidP="002D1CE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CE6915">
              <w:rPr>
                <w:rFonts w:ascii="Times New Roman" w:hAnsi="Times New Roman" w:cs="Times New Roman"/>
                <w:color w:val="000000"/>
              </w:rPr>
              <w:t xml:space="preserve">Treatment </w:t>
            </w:r>
            <w:r w:rsidR="00C47F0C" w:rsidRPr="00CE6915">
              <w:rPr>
                <w:rFonts w:ascii="Times New Roman" w:hAnsi="Times New Roman" w:cs="Times New Roman"/>
                <w:color w:val="000000"/>
              </w:rPr>
              <w:t>effectiveness (worst case)</w:t>
            </w:r>
            <w:r w:rsidR="00C47F0C" w:rsidRPr="00CE6915">
              <w:rPr>
                <w:rFonts w:ascii="Times New Roman" w:hAnsi="Times New Roman" w:cs="Times New Roman"/>
                <w:b w:val="0"/>
                <w:bCs w:val="0"/>
                <w:color w:val="000000"/>
              </w:rPr>
              <w:t>**</w:t>
            </w:r>
          </w:p>
        </w:tc>
        <w:tc>
          <w:tcPr>
            <w:tcW w:w="1620" w:type="dxa"/>
            <w:hideMark/>
          </w:tcPr>
          <w:p w14:paraId="6E5B6064" w14:textId="4B863643" w:rsidR="00C47F0C" w:rsidRPr="00CE6915" w:rsidRDefault="00E67E07" w:rsidP="002D1CE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CE6915">
              <w:rPr>
                <w:rFonts w:ascii="Times New Roman" w:hAnsi="Times New Roman" w:cs="Times New Roman"/>
                <w:color w:val="000000"/>
              </w:rPr>
              <w:t xml:space="preserve">Treatment </w:t>
            </w:r>
            <w:r w:rsidR="00C47F0C" w:rsidRPr="00CE6915">
              <w:rPr>
                <w:rFonts w:ascii="Times New Roman" w:hAnsi="Times New Roman" w:cs="Times New Roman"/>
                <w:color w:val="000000"/>
              </w:rPr>
              <w:t>effectiveness (best case)</w:t>
            </w:r>
            <w:r w:rsidR="00C47F0C" w:rsidRPr="00CE6915">
              <w:rPr>
                <w:rFonts w:ascii="Times New Roman" w:hAnsi="Times New Roman" w:cs="Times New Roman"/>
                <w:b w:val="0"/>
                <w:bCs w:val="0"/>
                <w:color w:val="000000"/>
              </w:rPr>
              <w:t>**</w:t>
            </w:r>
          </w:p>
        </w:tc>
      </w:tr>
      <w:tr w:rsidR="00C47F0C" w:rsidRPr="00CE6915" w14:paraId="39B33D90" w14:textId="77777777" w:rsidTr="002D1CE1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5" w:type="dxa"/>
            <w:noWrap/>
            <w:hideMark/>
          </w:tcPr>
          <w:p w14:paraId="550D7947" w14:textId="77777777" w:rsidR="00C47F0C" w:rsidRPr="00CE6915" w:rsidRDefault="00C47F0C" w:rsidP="002D1CE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6915">
              <w:rPr>
                <w:rFonts w:ascii="Times New Roman" w:hAnsi="Times New Roman" w:cs="Times New Roman"/>
                <w:color w:val="000000"/>
              </w:rPr>
              <w:t>&lt;23</w:t>
            </w:r>
          </w:p>
        </w:tc>
        <w:tc>
          <w:tcPr>
            <w:tcW w:w="1040" w:type="dxa"/>
            <w:hideMark/>
          </w:tcPr>
          <w:p w14:paraId="00F26D9E" w14:textId="77777777" w:rsidR="00C47F0C" w:rsidRPr="00CE6915" w:rsidRDefault="00C47F0C" w:rsidP="002D1C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CE6915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895" w:type="dxa"/>
            <w:noWrap/>
            <w:hideMark/>
          </w:tcPr>
          <w:p w14:paraId="6F63EB30" w14:textId="77777777" w:rsidR="00C47F0C" w:rsidRPr="00CE6915" w:rsidRDefault="00C47F0C" w:rsidP="002D1C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CE6915">
              <w:rPr>
                <w:rFonts w:ascii="Times New Roman" w:hAnsi="Times New Roman" w:cs="Times New Roman"/>
                <w:color w:val="000000"/>
              </w:rPr>
              <w:t>0.0%</w:t>
            </w:r>
          </w:p>
        </w:tc>
        <w:tc>
          <w:tcPr>
            <w:tcW w:w="1484" w:type="dxa"/>
            <w:hideMark/>
          </w:tcPr>
          <w:p w14:paraId="67427165" w14:textId="77777777" w:rsidR="00C47F0C" w:rsidRPr="00CE6915" w:rsidRDefault="00C47F0C" w:rsidP="002D1C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CE6915">
              <w:rPr>
                <w:rFonts w:ascii="Times New Roman" w:hAnsi="Times New Roman" w:cs="Times New Roman"/>
                <w:color w:val="000000"/>
              </w:rPr>
              <w:t>NA</w:t>
            </w:r>
          </w:p>
        </w:tc>
        <w:tc>
          <w:tcPr>
            <w:tcW w:w="1866" w:type="dxa"/>
            <w:noWrap/>
            <w:hideMark/>
          </w:tcPr>
          <w:p w14:paraId="7B0516B7" w14:textId="77777777" w:rsidR="00C47F0C" w:rsidRPr="00CE6915" w:rsidRDefault="00C47F0C" w:rsidP="002D1C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CE6915">
              <w:rPr>
                <w:rFonts w:ascii="Times New Roman" w:hAnsi="Times New Roman" w:cs="Times New Roman"/>
                <w:color w:val="000000"/>
              </w:rPr>
              <w:t>NA</w:t>
            </w:r>
          </w:p>
        </w:tc>
        <w:tc>
          <w:tcPr>
            <w:tcW w:w="1620" w:type="dxa"/>
            <w:noWrap/>
            <w:hideMark/>
          </w:tcPr>
          <w:p w14:paraId="0D456152" w14:textId="77777777" w:rsidR="00C47F0C" w:rsidRPr="00CE6915" w:rsidRDefault="00C47F0C" w:rsidP="002D1C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CE6915">
              <w:rPr>
                <w:rFonts w:ascii="Times New Roman" w:hAnsi="Times New Roman" w:cs="Times New Roman"/>
                <w:color w:val="000000"/>
              </w:rPr>
              <w:t>NA</w:t>
            </w:r>
          </w:p>
        </w:tc>
      </w:tr>
      <w:tr w:rsidR="002D1CE1" w:rsidRPr="00CE6915" w14:paraId="5150A99A" w14:textId="77777777" w:rsidTr="002D1CE1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5" w:type="dxa"/>
            <w:noWrap/>
            <w:hideMark/>
          </w:tcPr>
          <w:p w14:paraId="2C4D8EB0" w14:textId="77777777" w:rsidR="002D1CE1" w:rsidRPr="00CE6915" w:rsidRDefault="002D1CE1" w:rsidP="002D1CE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6915"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1040" w:type="dxa"/>
            <w:hideMark/>
          </w:tcPr>
          <w:p w14:paraId="3667B374" w14:textId="77777777" w:rsidR="002D1CE1" w:rsidRPr="00CE6915" w:rsidRDefault="002D1CE1" w:rsidP="002D1C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CE6915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895" w:type="dxa"/>
            <w:noWrap/>
            <w:hideMark/>
          </w:tcPr>
          <w:p w14:paraId="435C47DA" w14:textId="77777777" w:rsidR="002D1CE1" w:rsidRPr="00CE6915" w:rsidRDefault="002D1CE1" w:rsidP="002D1C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CE6915">
              <w:rPr>
                <w:rFonts w:ascii="Times New Roman" w:hAnsi="Times New Roman" w:cs="Times New Roman"/>
                <w:color w:val="000000"/>
              </w:rPr>
              <w:t>0.0%</w:t>
            </w:r>
          </w:p>
        </w:tc>
        <w:tc>
          <w:tcPr>
            <w:tcW w:w="1484" w:type="dxa"/>
            <w:hideMark/>
          </w:tcPr>
          <w:p w14:paraId="463D4073" w14:textId="09287C74" w:rsidR="002D1CE1" w:rsidRPr="00CE6915" w:rsidRDefault="002D1CE1" w:rsidP="002D1C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CE6915">
              <w:rPr>
                <w:rFonts w:ascii="Times New Roman" w:hAnsi="Times New Roman" w:cs="Times New Roman"/>
                <w:color w:val="000000"/>
              </w:rPr>
              <w:t>0.1315</w:t>
            </w:r>
          </w:p>
        </w:tc>
        <w:tc>
          <w:tcPr>
            <w:tcW w:w="1866" w:type="dxa"/>
            <w:noWrap/>
            <w:hideMark/>
          </w:tcPr>
          <w:p w14:paraId="36DE55D8" w14:textId="048A14CE" w:rsidR="002D1CE1" w:rsidRPr="00CE6915" w:rsidRDefault="002D1CE1" w:rsidP="002D1C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CE6915">
              <w:rPr>
                <w:rFonts w:ascii="Times New Roman" w:hAnsi="Times New Roman" w:cs="Times New Roman"/>
                <w:color w:val="000000"/>
              </w:rPr>
              <w:t>0.5338</w:t>
            </w:r>
          </w:p>
        </w:tc>
        <w:tc>
          <w:tcPr>
            <w:tcW w:w="1620" w:type="dxa"/>
            <w:noWrap/>
            <w:hideMark/>
          </w:tcPr>
          <w:p w14:paraId="0A8FFFB0" w14:textId="0807F76C" w:rsidR="002D1CE1" w:rsidRPr="00CE6915" w:rsidRDefault="002D1CE1" w:rsidP="002D1C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CE6915">
              <w:rPr>
                <w:rFonts w:ascii="Times New Roman" w:hAnsi="Times New Roman" w:cs="Times New Roman"/>
                <w:color w:val="000000"/>
              </w:rPr>
              <w:t>0.0087</w:t>
            </w:r>
          </w:p>
        </w:tc>
      </w:tr>
      <w:tr w:rsidR="002D1CE1" w:rsidRPr="00CE6915" w14:paraId="796163C9" w14:textId="77777777" w:rsidTr="002D1CE1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5" w:type="dxa"/>
            <w:noWrap/>
            <w:hideMark/>
          </w:tcPr>
          <w:p w14:paraId="1E87484C" w14:textId="77777777" w:rsidR="002D1CE1" w:rsidRPr="00CE6915" w:rsidRDefault="002D1CE1" w:rsidP="002D1CE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6915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1040" w:type="dxa"/>
            <w:hideMark/>
          </w:tcPr>
          <w:p w14:paraId="46ED4CCC" w14:textId="77777777" w:rsidR="002D1CE1" w:rsidRPr="00CE6915" w:rsidRDefault="002D1CE1" w:rsidP="002D1C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CE6915"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895" w:type="dxa"/>
            <w:noWrap/>
            <w:hideMark/>
          </w:tcPr>
          <w:p w14:paraId="18A80900" w14:textId="77777777" w:rsidR="002D1CE1" w:rsidRPr="00CE6915" w:rsidRDefault="002D1CE1" w:rsidP="002D1C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CE6915">
              <w:rPr>
                <w:rFonts w:ascii="Times New Roman" w:hAnsi="Times New Roman" w:cs="Times New Roman"/>
                <w:color w:val="000000"/>
              </w:rPr>
              <w:t>0.0%</w:t>
            </w:r>
          </w:p>
        </w:tc>
        <w:tc>
          <w:tcPr>
            <w:tcW w:w="1484" w:type="dxa"/>
            <w:hideMark/>
          </w:tcPr>
          <w:p w14:paraId="016E0525" w14:textId="025AB509" w:rsidR="002D1CE1" w:rsidRPr="00CE6915" w:rsidRDefault="002D1CE1" w:rsidP="002D1C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CE6915">
              <w:rPr>
                <w:rFonts w:ascii="Times New Roman" w:hAnsi="Times New Roman" w:cs="Times New Roman"/>
                <w:color w:val="000000"/>
              </w:rPr>
              <w:t>0.1492</w:t>
            </w:r>
          </w:p>
        </w:tc>
        <w:tc>
          <w:tcPr>
            <w:tcW w:w="1866" w:type="dxa"/>
            <w:noWrap/>
            <w:hideMark/>
          </w:tcPr>
          <w:p w14:paraId="74C7FC22" w14:textId="5FB52200" w:rsidR="002D1CE1" w:rsidRPr="00CE6915" w:rsidRDefault="002D1CE1" w:rsidP="002D1C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CE6915">
              <w:rPr>
                <w:rFonts w:ascii="Times New Roman" w:hAnsi="Times New Roman" w:cs="Times New Roman"/>
                <w:color w:val="000000"/>
              </w:rPr>
              <w:t>0.5521</w:t>
            </w:r>
          </w:p>
        </w:tc>
        <w:tc>
          <w:tcPr>
            <w:tcW w:w="1620" w:type="dxa"/>
            <w:noWrap/>
            <w:hideMark/>
          </w:tcPr>
          <w:p w14:paraId="37209E30" w14:textId="34C5D833" w:rsidR="002D1CE1" w:rsidRPr="00CE6915" w:rsidRDefault="002D1CE1" w:rsidP="002D1C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CE6915">
              <w:rPr>
                <w:rFonts w:ascii="Times New Roman" w:hAnsi="Times New Roman" w:cs="Times New Roman"/>
                <w:color w:val="000000"/>
              </w:rPr>
              <w:t>0.0127</w:t>
            </w:r>
          </w:p>
        </w:tc>
      </w:tr>
      <w:tr w:rsidR="002D1CE1" w:rsidRPr="00CE6915" w14:paraId="33C2F15E" w14:textId="77777777" w:rsidTr="002D1CE1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5" w:type="dxa"/>
            <w:noWrap/>
            <w:hideMark/>
          </w:tcPr>
          <w:p w14:paraId="283E19BF" w14:textId="77777777" w:rsidR="002D1CE1" w:rsidRPr="00CE6915" w:rsidRDefault="002D1CE1" w:rsidP="002D1CE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6915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1040" w:type="dxa"/>
            <w:hideMark/>
          </w:tcPr>
          <w:p w14:paraId="716E7473" w14:textId="77777777" w:rsidR="002D1CE1" w:rsidRPr="00CE6915" w:rsidRDefault="002D1CE1" w:rsidP="002D1C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CE6915">
              <w:rPr>
                <w:rFonts w:ascii="Times New Roman" w:hAnsi="Times New Roman" w:cs="Times New Roman"/>
                <w:color w:val="000000"/>
              </w:rPr>
              <w:t>29</w:t>
            </w:r>
          </w:p>
        </w:tc>
        <w:tc>
          <w:tcPr>
            <w:tcW w:w="895" w:type="dxa"/>
            <w:noWrap/>
            <w:hideMark/>
          </w:tcPr>
          <w:p w14:paraId="3576453B" w14:textId="77777777" w:rsidR="002D1CE1" w:rsidRPr="00CE6915" w:rsidRDefault="002D1CE1" w:rsidP="002D1C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CE6915">
              <w:rPr>
                <w:rFonts w:ascii="Times New Roman" w:hAnsi="Times New Roman" w:cs="Times New Roman"/>
                <w:color w:val="000000"/>
              </w:rPr>
              <w:t>0.0%</w:t>
            </w:r>
          </w:p>
        </w:tc>
        <w:tc>
          <w:tcPr>
            <w:tcW w:w="1484" w:type="dxa"/>
            <w:hideMark/>
          </w:tcPr>
          <w:p w14:paraId="154AC02D" w14:textId="5F4CBC6C" w:rsidR="002D1CE1" w:rsidRPr="00CE6915" w:rsidRDefault="002D1CE1" w:rsidP="002D1C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CE6915">
              <w:rPr>
                <w:rFonts w:ascii="Times New Roman" w:hAnsi="Times New Roman" w:cs="Times New Roman"/>
                <w:color w:val="000000"/>
              </w:rPr>
              <w:t>0.1693</w:t>
            </w:r>
          </w:p>
        </w:tc>
        <w:tc>
          <w:tcPr>
            <w:tcW w:w="1866" w:type="dxa"/>
            <w:noWrap/>
            <w:hideMark/>
          </w:tcPr>
          <w:p w14:paraId="6FBB4CB8" w14:textId="14C9EBFF" w:rsidR="002D1CE1" w:rsidRPr="00CE6915" w:rsidRDefault="002D1CE1" w:rsidP="002D1C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CE6915">
              <w:rPr>
                <w:rFonts w:ascii="Times New Roman" w:hAnsi="Times New Roman" w:cs="Times New Roman"/>
                <w:color w:val="000000"/>
              </w:rPr>
              <w:t>0.5711</w:t>
            </w:r>
          </w:p>
        </w:tc>
        <w:tc>
          <w:tcPr>
            <w:tcW w:w="1620" w:type="dxa"/>
            <w:noWrap/>
            <w:hideMark/>
          </w:tcPr>
          <w:p w14:paraId="7F7B2EE5" w14:textId="20CACB75" w:rsidR="002D1CE1" w:rsidRPr="00CE6915" w:rsidRDefault="002D1CE1" w:rsidP="002D1C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CE6915">
              <w:rPr>
                <w:rFonts w:ascii="Times New Roman" w:hAnsi="Times New Roman" w:cs="Times New Roman"/>
                <w:color w:val="000000"/>
              </w:rPr>
              <w:t>0.1820</w:t>
            </w:r>
          </w:p>
        </w:tc>
      </w:tr>
      <w:tr w:rsidR="002D1CE1" w:rsidRPr="00CE6915" w14:paraId="6ECC1C73" w14:textId="77777777" w:rsidTr="002D1CE1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5" w:type="dxa"/>
            <w:noWrap/>
            <w:hideMark/>
          </w:tcPr>
          <w:p w14:paraId="58B26575" w14:textId="77777777" w:rsidR="002D1CE1" w:rsidRPr="00CE6915" w:rsidRDefault="002D1CE1" w:rsidP="002D1CE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6915"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1040" w:type="dxa"/>
            <w:hideMark/>
          </w:tcPr>
          <w:p w14:paraId="4EEB3031" w14:textId="77777777" w:rsidR="002D1CE1" w:rsidRPr="00CE6915" w:rsidRDefault="002D1CE1" w:rsidP="002D1C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CE6915">
              <w:rPr>
                <w:rFonts w:ascii="Times New Roman" w:hAnsi="Times New Roman" w:cs="Times New Roman"/>
                <w:color w:val="000000"/>
              </w:rPr>
              <w:t>32</w:t>
            </w:r>
          </w:p>
        </w:tc>
        <w:tc>
          <w:tcPr>
            <w:tcW w:w="895" w:type="dxa"/>
            <w:noWrap/>
            <w:hideMark/>
          </w:tcPr>
          <w:p w14:paraId="2FA496DA" w14:textId="77777777" w:rsidR="002D1CE1" w:rsidRPr="00CE6915" w:rsidRDefault="002D1CE1" w:rsidP="002D1C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CE6915">
              <w:rPr>
                <w:rFonts w:ascii="Times New Roman" w:hAnsi="Times New Roman" w:cs="Times New Roman"/>
                <w:color w:val="000000"/>
              </w:rPr>
              <w:t>0.1%</w:t>
            </w:r>
          </w:p>
        </w:tc>
        <w:tc>
          <w:tcPr>
            <w:tcW w:w="1484" w:type="dxa"/>
            <w:hideMark/>
          </w:tcPr>
          <w:p w14:paraId="583BF4DF" w14:textId="06D753B6" w:rsidR="002D1CE1" w:rsidRPr="00CE6915" w:rsidRDefault="002D1CE1" w:rsidP="002D1C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CE6915">
              <w:rPr>
                <w:rFonts w:ascii="Times New Roman" w:hAnsi="Times New Roman" w:cs="Times New Roman"/>
                <w:color w:val="000000"/>
              </w:rPr>
              <w:t>0.1921</w:t>
            </w:r>
          </w:p>
        </w:tc>
        <w:tc>
          <w:tcPr>
            <w:tcW w:w="1866" w:type="dxa"/>
            <w:noWrap/>
            <w:hideMark/>
          </w:tcPr>
          <w:p w14:paraId="0F2DFA63" w14:textId="4568CE4D" w:rsidR="002D1CE1" w:rsidRPr="00CE6915" w:rsidRDefault="002D1CE1" w:rsidP="002D1C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CE6915">
              <w:rPr>
                <w:rFonts w:ascii="Times New Roman" w:hAnsi="Times New Roman" w:cs="Times New Roman"/>
                <w:color w:val="000000"/>
              </w:rPr>
              <w:t>0.5907</w:t>
            </w:r>
          </w:p>
        </w:tc>
        <w:tc>
          <w:tcPr>
            <w:tcW w:w="1620" w:type="dxa"/>
            <w:noWrap/>
            <w:hideMark/>
          </w:tcPr>
          <w:p w14:paraId="71EB669A" w14:textId="5F75506E" w:rsidR="002D1CE1" w:rsidRPr="00CE6915" w:rsidRDefault="002D1CE1" w:rsidP="002D1C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CE6915">
              <w:rPr>
                <w:rFonts w:ascii="Times New Roman" w:hAnsi="Times New Roman" w:cs="Times New Roman"/>
                <w:color w:val="000000"/>
              </w:rPr>
              <w:t>0.0258</w:t>
            </w:r>
          </w:p>
        </w:tc>
      </w:tr>
      <w:tr w:rsidR="002D1CE1" w:rsidRPr="00CE6915" w14:paraId="130C616E" w14:textId="77777777" w:rsidTr="002D1CE1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5" w:type="dxa"/>
            <w:noWrap/>
            <w:hideMark/>
          </w:tcPr>
          <w:p w14:paraId="276C6762" w14:textId="77777777" w:rsidR="002D1CE1" w:rsidRPr="00CE6915" w:rsidRDefault="002D1CE1" w:rsidP="002D1CE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6915"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1040" w:type="dxa"/>
            <w:hideMark/>
          </w:tcPr>
          <w:p w14:paraId="04C6DAF8" w14:textId="77777777" w:rsidR="002D1CE1" w:rsidRPr="00CE6915" w:rsidRDefault="002D1CE1" w:rsidP="002D1C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CE6915">
              <w:rPr>
                <w:rFonts w:ascii="Times New Roman" w:hAnsi="Times New Roman" w:cs="Times New Roman"/>
                <w:color w:val="000000"/>
              </w:rPr>
              <w:t>63</w:t>
            </w:r>
          </w:p>
        </w:tc>
        <w:tc>
          <w:tcPr>
            <w:tcW w:w="895" w:type="dxa"/>
            <w:noWrap/>
            <w:hideMark/>
          </w:tcPr>
          <w:p w14:paraId="5BCB10B1" w14:textId="77777777" w:rsidR="002D1CE1" w:rsidRPr="00CE6915" w:rsidRDefault="002D1CE1" w:rsidP="002D1C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CE6915">
              <w:rPr>
                <w:rFonts w:ascii="Times New Roman" w:hAnsi="Times New Roman" w:cs="Times New Roman"/>
                <w:color w:val="000000"/>
              </w:rPr>
              <w:t>0.1%</w:t>
            </w:r>
          </w:p>
        </w:tc>
        <w:tc>
          <w:tcPr>
            <w:tcW w:w="1484" w:type="dxa"/>
            <w:hideMark/>
          </w:tcPr>
          <w:p w14:paraId="184C43C6" w14:textId="298F1491" w:rsidR="002D1CE1" w:rsidRPr="00CE6915" w:rsidRDefault="002D1CE1" w:rsidP="002D1C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CE6915">
              <w:rPr>
                <w:rFonts w:ascii="Times New Roman" w:hAnsi="Times New Roman" w:cs="Times New Roman"/>
                <w:color w:val="000000"/>
              </w:rPr>
              <w:t>0.2179</w:t>
            </w:r>
          </w:p>
        </w:tc>
        <w:tc>
          <w:tcPr>
            <w:tcW w:w="1866" w:type="dxa"/>
            <w:noWrap/>
            <w:hideMark/>
          </w:tcPr>
          <w:p w14:paraId="40D0C4DE" w14:textId="24758297" w:rsidR="002D1CE1" w:rsidRPr="00CE6915" w:rsidRDefault="002D1CE1" w:rsidP="002D1C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CE6915">
              <w:rPr>
                <w:rFonts w:ascii="Times New Roman" w:hAnsi="Times New Roman" w:cs="Times New Roman"/>
                <w:color w:val="000000"/>
              </w:rPr>
              <w:t>0.6109</w:t>
            </w:r>
          </w:p>
        </w:tc>
        <w:tc>
          <w:tcPr>
            <w:tcW w:w="1620" w:type="dxa"/>
            <w:noWrap/>
            <w:hideMark/>
          </w:tcPr>
          <w:p w14:paraId="241D4C7F" w14:textId="109A0442" w:rsidR="002D1CE1" w:rsidRPr="00CE6915" w:rsidRDefault="002D1CE1" w:rsidP="002D1C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CE6915">
              <w:rPr>
                <w:rFonts w:ascii="Times New Roman" w:hAnsi="Times New Roman" w:cs="Times New Roman"/>
                <w:color w:val="000000"/>
              </w:rPr>
              <w:t>0.0360</w:t>
            </w:r>
          </w:p>
        </w:tc>
      </w:tr>
      <w:tr w:rsidR="002D1CE1" w:rsidRPr="00CE6915" w14:paraId="15826435" w14:textId="77777777" w:rsidTr="002D1CE1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5" w:type="dxa"/>
            <w:noWrap/>
            <w:hideMark/>
          </w:tcPr>
          <w:p w14:paraId="5D0282C4" w14:textId="77777777" w:rsidR="002D1CE1" w:rsidRPr="00CE6915" w:rsidRDefault="002D1CE1" w:rsidP="002D1CE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6915"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1040" w:type="dxa"/>
            <w:hideMark/>
          </w:tcPr>
          <w:p w14:paraId="445F6FD2" w14:textId="77777777" w:rsidR="002D1CE1" w:rsidRPr="00CE6915" w:rsidRDefault="002D1CE1" w:rsidP="002D1C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CE6915">
              <w:rPr>
                <w:rFonts w:ascii="Times New Roman" w:hAnsi="Times New Roman" w:cs="Times New Roman"/>
                <w:color w:val="000000"/>
              </w:rPr>
              <w:t>65</w:t>
            </w:r>
          </w:p>
        </w:tc>
        <w:tc>
          <w:tcPr>
            <w:tcW w:w="895" w:type="dxa"/>
            <w:noWrap/>
            <w:hideMark/>
          </w:tcPr>
          <w:p w14:paraId="1C51A43B" w14:textId="77777777" w:rsidR="002D1CE1" w:rsidRPr="00CE6915" w:rsidRDefault="002D1CE1" w:rsidP="002D1C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CE6915">
              <w:rPr>
                <w:rFonts w:ascii="Times New Roman" w:hAnsi="Times New Roman" w:cs="Times New Roman"/>
                <w:color w:val="000000"/>
              </w:rPr>
              <w:t>0.1%</w:t>
            </w:r>
          </w:p>
        </w:tc>
        <w:tc>
          <w:tcPr>
            <w:tcW w:w="1484" w:type="dxa"/>
            <w:hideMark/>
          </w:tcPr>
          <w:p w14:paraId="03163637" w14:textId="47A0932D" w:rsidR="002D1CE1" w:rsidRPr="00CE6915" w:rsidRDefault="002D1CE1" w:rsidP="002D1C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CE6915">
              <w:rPr>
                <w:rFonts w:ascii="Times New Roman" w:hAnsi="Times New Roman" w:cs="Times New Roman"/>
                <w:color w:val="000000"/>
              </w:rPr>
              <w:t>0.2473</w:t>
            </w:r>
          </w:p>
        </w:tc>
        <w:tc>
          <w:tcPr>
            <w:tcW w:w="1866" w:type="dxa"/>
            <w:noWrap/>
            <w:hideMark/>
          </w:tcPr>
          <w:p w14:paraId="062A9A1A" w14:textId="1495C533" w:rsidR="002D1CE1" w:rsidRPr="00CE6915" w:rsidRDefault="002D1CE1" w:rsidP="002D1C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CE6915">
              <w:rPr>
                <w:rFonts w:ascii="Times New Roman" w:hAnsi="Times New Roman" w:cs="Times New Roman"/>
                <w:color w:val="000000"/>
              </w:rPr>
              <w:t>0.6319</w:t>
            </w:r>
          </w:p>
        </w:tc>
        <w:tc>
          <w:tcPr>
            <w:tcW w:w="1620" w:type="dxa"/>
            <w:noWrap/>
            <w:hideMark/>
          </w:tcPr>
          <w:p w14:paraId="2B667AD1" w14:textId="0678D47F" w:rsidR="002D1CE1" w:rsidRPr="00CE6915" w:rsidRDefault="002D1CE1" w:rsidP="002D1C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CE6915">
              <w:rPr>
                <w:rFonts w:ascii="Times New Roman" w:hAnsi="Times New Roman" w:cs="Times New Roman"/>
                <w:color w:val="000000"/>
              </w:rPr>
              <w:t>0.0497</w:t>
            </w:r>
          </w:p>
        </w:tc>
      </w:tr>
      <w:tr w:rsidR="002D1CE1" w:rsidRPr="00CE6915" w14:paraId="05E3B1CC" w14:textId="77777777" w:rsidTr="002D1CE1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5" w:type="dxa"/>
            <w:noWrap/>
            <w:hideMark/>
          </w:tcPr>
          <w:p w14:paraId="464B0A00" w14:textId="77777777" w:rsidR="002D1CE1" w:rsidRPr="00CE6915" w:rsidRDefault="002D1CE1" w:rsidP="002D1CE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6915">
              <w:rPr>
                <w:rFonts w:ascii="Times New Roman" w:hAnsi="Times New Roman" w:cs="Times New Roman"/>
                <w:color w:val="000000"/>
              </w:rPr>
              <w:t>29</w:t>
            </w:r>
          </w:p>
        </w:tc>
        <w:tc>
          <w:tcPr>
            <w:tcW w:w="1040" w:type="dxa"/>
            <w:hideMark/>
          </w:tcPr>
          <w:p w14:paraId="47CB81CC" w14:textId="77777777" w:rsidR="002D1CE1" w:rsidRPr="00CE6915" w:rsidRDefault="002D1CE1" w:rsidP="002D1C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CE6915">
              <w:rPr>
                <w:rFonts w:ascii="Times New Roman" w:hAnsi="Times New Roman" w:cs="Times New Roman"/>
                <w:color w:val="000000"/>
              </w:rPr>
              <w:t>75</w:t>
            </w:r>
          </w:p>
        </w:tc>
        <w:tc>
          <w:tcPr>
            <w:tcW w:w="895" w:type="dxa"/>
            <w:noWrap/>
            <w:hideMark/>
          </w:tcPr>
          <w:p w14:paraId="653F3E88" w14:textId="77777777" w:rsidR="002D1CE1" w:rsidRPr="00CE6915" w:rsidRDefault="002D1CE1" w:rsidP="002D1C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CE6915">
              <w:rPr>
                <w:rFonts w:ascii="Times New Roman" w:hAnsi="Times New Roman" w:cs="Times New Roman"/>
                <w:color w:val="000000"/>
              </w:rPr>
              <w:t>0.1%</w:t>
            </w:r>
          </w:p>
        </w:tc>
        <w:tc>
          <w:tcPr>
            <w:tcW w:w="1484" w:type="dxa"/>
            <w:hideMark/>
          </w:tcPr>
          <w:p w14:paraId="464ED5ED" w14:textId="51FA937C" w:rsidR="002D1CE1" w:rsidRPr="00CE6915" w:rsidRDefault="002D1CE1" w:rsidP="002D1C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CE6915">
              <w:rPr>
                <w:rFonts w:ascii="Times New Roman" w:hAnsi="Times New Roman" w:cs="Times New Roman"/>
                <w:color w:val="000000"/>
              </w:rPr>
              <w:t>0.2806</w:t>
            </w:r>
          </w:p>
        </w:tc>
        <w:tc>
          <w:tcPr>
            <w:tcW w:w="1866" w:type="dxa"/>
            <w:noWrap/>
            <w:hideMark/>
          </w:tcPr>
          <w:p w14:paraId="5971BBDD" w14:textId="308EDA3F" w:rsidR="002D1CE1" w:rsidRPr="00CE6915" w:rsidRDefault="002D1CE1" w:rsidP="002D1C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CE6915">
              <w:rPr>
                <w:rFonts w:ascii="Times New Roman" w:hAnsi="Times New Roman" w:cs="Times New Roman"/>
                <w:color w:val="000000"/>
              </w:rPr>
              <w:t>0.6536</w:t>
            </w:r>
          </w:p>
        </w:tc>
        <w:tc>
          <w:tcPr>
            <w:tcW w:w="1620" w:type="dxa"/>
            <w:noWrap/>
            <w:hideMark/>
          </w:tcPr>
          <w:p w14:paraId="7B40F429" w14:textId="2308E21A" w:rsidR="002D1CE1" w:rsidRPr="00CE6915" w:rsidRDefault="002D1CE1" w:rsidP="002D1C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CE6915">
              <w:rPr>
                <w:rFonts w:ascii="Times New Roman" w:hAnsi="Times New Roman" w:cs="Times New Roman"/>
                <w:color w:val="000000"/>
              </w:rPr>
              <w:t>0.0679</w:t>
            </w:r>
          </w:p>
        </w:tc>
      </w:tr>
      <w:tr w:rsidR="002D1CE1" w:rsidRPr="00CE6915" w14:paraId="7E23505E" w14:textId="77777777" w:rsidTr="002D1CE1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5" w:type="dxa"/>
            <w:noWrap/>
            <w:hideMark/>
          </w:tcPr>
          <w:p w14:paraId="0B289DFA" w14:textId="77777777" w:rsidR="002D1CE1" w:rsidRPr="00CE6915" w:rsidRDefault="002D1CE1" w:rsidP="002D1CE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6915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1040" w:type="dxa"/>
            <w:hideMark/>
          </w:tcPr>
          <w:p w14:paraId="30414282" w14:textId="77777777" w:rsidR="002D1CE1" w:rsidRPr="00CE6915" w:rsidRDefault="002D1CE1" w:rsidP="002D1C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CE6915">
              <w:rPr>
                <w:rFonts w:ascii="Times New Roman" w:hAnsi="Times New Roman" w:cs="Times New Roman"/>
                <w:color w:val="000000"/>
              </w:rPr>
              <w:t>104</w:t>
            </w:r>
          </w:p>
        </w:tc>
        <w:tc>
          <w:tcPr>
            <w:tcW w:w="895" w:type="dxa"/>
            <w:noWrap/>
            <w:hideMark/>
          </w:tcPr>
          <w:p w14:paraId="52A14207" w14:textId="77777777" w:rsidR="002D1CE1" w:rsidRPr="00CE6915" w:rsidRDefault="002D1CE1" w:rsidP="002D1C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CE6915">
              <w:rPr>
                <w:rFonts w:ascii="Times New Roman" w:hAnsi="Times New Roman" w:cs="Times New Roman"/>
                <w:color w:val="000000"/>
              </w:rPr>
              <w:t>0.2%</w:t>
            </w:r>
          </w:p>
        </w:tc>
        <w:tc>
          <w:tcPr>
            <w:tcW w:w="1484" w:type="dxa"/>
            <w:hideMark/>
          </w:tcPr>
          <w:p w14:paraId="0F6EE75B" w14:textId="2C34947B" w:rsidR="002D1CE1" w:rsidRPr="00CE6915" w:rsidRDefault="002D1CE1" w:rsidP="002D1C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CE6915">
              <w:rPr>
                <w:rFonts w:ascii="Times New Roman" w:hAnsi="Times New Roman" w:cs="Times New Roman"/>
                <w:color w:val="000000"/>
              </w:rPr>
              <w:t>0.3183</w:t>
            </w:r>
          </w:p>
        </w:tc>
        <w:tc>
          <w:tcPr>
            <w:tcW w:w="1866" w:type="dxa"/>
            <w:noWrap/>
            <w:hideMark/>
          </w:tcPr>
          <w:p w14:paraId="2CAE353F" w14:textId="7EDFD729" w:rsidR="002D1CE1" w:rsidRPr="00CE6915" w:rsidRDefault="002D1CE1" w:rsidP="002D1C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CE6915">
              <w:rPr>
                <w:rFonts w:ascii="Times New Roman" w:hAnsi="Times New Roman" w:cs="Times New Roman"/>
                <w:color w:val="000000"/>
              </w:rPr>
              <w:t>0.6760</w:t>
            </w:r>
          </w:p>
        </w:tc>
        <w:tc>
          <w:tcPr>
            <w:tcW w:w="1620" w:type="dxa"/>
            <w:noWrap/>
            <w:hideMark/>
          </w:tcPr>
          <w:p w14:paraId="323D8BA7" w14:textId="19BCA9D1" w:rsidR="002D1CE1" w:rsidRPr="00CE6915" w:rsidRDefault="002D1CE1" w:rsidP="002D1C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CE6915">
              <w:rPr>
                <w:rFonts w:ascii="Times New Roman" w:hAnsi="Times New Roman" w:cs="Times New Roman"/>
                <w:color w:val="000000"/>
              </w:rPr>
              <w:t>0.0971</w:t>
            </w:r>
          </w:p>
        </w:tc>
      </w:tr>
      <w:tr w:rsidR="002D1CE1" w:rsidRPr="00CE6915" w14:paraId="75F1AE9A" w14:textId="77777777" w:rsidTr="002D1CE1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5" w:type="dxa"/>
            <w:noWrap/>
            <w:hideMark/>
          </w:tcPr>
          <w:p w14:paraId="2BCF2A06" w14:textId="77777777" w:rsidR="002D1CE1" w:rsidRPr="00CE6915" w:rsidRDefault="002D1CE1" w:rsidP="002D1CE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6915">
              <w:rPr>
                <w:rFonts w:ascii="Times New Roman" w:hAnsi="Times New Roman" w:cs="Times New Roman"/>
                <w:color w:val="000000"/>
              </w:rPr>
              <w:lastRenderedPageBreak/>
              <w:t>31</w:t>
            </w:r>
          </w:p>
        </w:tc>
        <w:tc>
          <w:tcPr>
            <w:tcW w:w="1040" w:type="dxa"/>
            <w:hideMark/>
          </w:tcPr>
          <w:p w14:paraId="458BF608" w14:textId="77777777" w:rsidR="002D1CE1" w:rsidRPr="00CE6915" w:rsidRDefault="002D1CE1" w:rsidP="002D1C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CE6915">
              <w:rPr>
                <w:rFonts w:ascii="Times New Roman" w:hAnsi="Times New Roman" w:cs="Times New Roman"/>
                <w:color w:val="000000"/>
              </w:rPr>
              <w:t>115</w:t>
            </w:r>
          </w:p>
        </w:tc>
        <w:tc>
          <w:tcPr>
            <w:tcW w:w="895" w:type="dxa"/>
            <w:noWrap/>
            <w:hideMark/>
          </w:tcPr>
          <w:p w14:paraId="256A602F" w14:textId="77777777" w:rsidR="002D1CE1" w:rsidRPr="00CE6915" w:rsidRDefault="002D1CE1" w:rsidP="002D1C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CE6915">
              <w:rPr>
                <w:rFonts w:ascii="Times New Roman" w:hAnsi="Times New Roman" w:cs="Times New Roman"/>
                <w:color w:val="000000"/>
              </w:rPr>
              <w:t>0.2%</w:t>
            </w:r>
          </w:p>
        </w:tc>
        <w:tc>
          <w:tcPr>
            <w:tcW w:w="1484" w:type="dxa"/>
            <w:hideMark/>
          </w:tcPr>
          <w:p w14:paraId="7CF8A54A" w14:textId="081FB761" w:rsidR="002D1CE1" w:rsidRPr="00CE6915" w:rsidRDefault="002D1CE1" w:rsidP="002D1C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CE6915">
              <w:rPr>
                <w:rFonts w:ascii="Times New Roman" w:hAnsi="Times New Roman" w:cs="Times New Roman"/>
                <w:color w:val="000000"/>
              </w:rPr>
              <w:t>0.3612</w:t>
            </w:r>
          </w:p>
        </w:tc>
        <w:tc>
          <w:tcPr>
            <w:tcW w:w="1866" w:type="dxa"/>
            <w:noWrap/>
            <w:hideMark/>
          </w:tcPr>
          <w:p w14:paraId="69EA0D41" w14:textId="10A794B6" w:rsidR="002D1CE1" w:rsidRPr="00CE6915" w:rsidRDefault="002D1CE1" w:rsidP="002D1C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CE6915">
              <w:rPr>
                <w:rFonts w:ascii="Times New Roman" w:hAnsi="Times New Roman" w:cs="Times New Roman"/>
                <w:color w:val="000000"/>
              </w:rPr>
              <w:t>0.6993</w:t>
            </w:r>
          </w:p>
        </w:tc>
        <w:tc>
          <w:tcPr>
            <w:tcW w:w="1620" w:type="dxa"/>
            <w:noWrap/>
            <w:hideMark/>
          </w:tcPr>
          <w:p w14:paraId="530B5CBD" w14:textId="1A5E64D5" w:rsidR="002D1CE1" w:rsidRPr="00CE6915" w:rsidRDefault="002D1CE1" w:rsidP="002D1C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CE6915">
              <w:rPr>
                <w:rFonts w:ascii="Times New Roman" w:hAnsi="Times New Roman" w:cs="Times New Roman"/>
                <w:color w:val="000000"/>
              </w:rPr>
              <w:t>0.1227</w:t>
            </w:r>
          </w:p>
        </w:tc>
      </w:tr>
      <w:tr w:rsidR="002D1CE1" w:rsidRPr="00CE6915" w14:paraId="1C47C2A2" w14:textId="77777777" w:rsidTr="002D1CE1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5" w:type="dxa"/>
            <w:noWrap/>
            <w:hideMark/>
          </w:tcPr>
          <w:p w14:paraId="53C43205" w14:textId="77777777" w:rsidR="002D1CE1" w:rsidRPr="00CE6915" w:rsidRDefault="002D1CE1" w:rsidP="002D1CE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6915">
              <w:rPr>
                <w:rFonts w:ascii="Times New Roman" w:hAnsi="Times New Roman" w:cs="Times New Roman"/>
                <w:color w:val="000000"/>
              </w:rPr>
              <w:t>32</w:t>
            </w:r>
          </w:p>
        </w:tc>
        <w:tc>
          <w:tcPr>
            <w:tcW w:w="1040" w:type="dxa"/>
            <w:hideMark/>
          </w:tcPr>
          <w:p w14:paraId="28BFCF32" w14:textId="77777777" w:rsidR="002D1CE1" w:rsidRPr="00CE6915" w:rsidRDefault="002D1CE1" w:rsidP="002D1C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CE6915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895" w:type="dxa"/>
            <w:noWrap/>
            <w:hideMark/>
          </w:tcPr>
          <w:p w14:paraId="617C81C9" w14:textId="77777777" w:rsidR="002D1CE1" w:rsidRPr="00CE6915" w:rsidRDefault="002D1CE1" w:rsidP="002D1C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CE6915">
              <w:rPr>
                <w:rFonts w:ascii="Times New Roman" w:hAnsi="Times New Roman" w:cs="Times New Roman"/>
                <w:color w:val="000000"/>
              </w:rPr>
              <w:t>0.3%</w:t>
            </w:r>
          </w:p>
        </w:tc>
        <w:tc>
          <w:tcPr>
            <w:tcW w:w="1484" w:type="dxa"/>
            <w:hideMark/>
          </w:tcPr>
          <w:p w14:paraId="008BE6F2" w14:textId="5324B715" w:rsidR="002D1CE1" w:rsidRPr="00CE6915" w:rsidRDefault="002D1CE1" w:rsidP="002D1C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CE6915">
              <w:rPr>
                <w:rFonts w:ascii="Times New Roman" w:hAnsi="Times New Roman" w:cs="Times New Roman"/>
                <w:color w:val="000000"/>
              </w:rPr>
              <w:t>0.4098</w:t>
            </w:r>
          </w:p>
        </w:tc>
        <w:tc>
          <w:tcPr>
            <w:tcW w:w="1866" w:type="dxa"/>
            <w:noWrap/>
            <w:hideMark/>
          </w:tcPr>
          <w:p w14:paraId="12278D1C" w14:textId="21BAE7C5" w:rsidR="002D1CE1" w:rsidRPr="00CE6915" w:rsidRDefault="002D1CE1" w:rsidP="002D1C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CE6915">
              <w:rPr>
                <w:rFonts w:ascii="Times New Roman" w:hAnsi="Times New Roman" w:cs="Times New Roman"/>
                <w:color w:val="000000"/>
              </w:rPr>
              <w:t>0.7233</w:t>
            </w:r>
          </w:p>
        </w:tc>
        <w:tc>
          <w:tcPr>
            <w:tcW w:w="1620" w:type="dxa"/>
            <w:noWrap/>
            <w:hideMark/>
          </w:tcPr>
          <w:p w14:paraId="125D31AF" w14:textId="18ED1710" w:rsidR="002D1CE1" w:rsidRPr="00CE6915" w:rsidRDefault="002D1CE1" w:rsidP="002D1C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CE6915">
              <w:rPr>
                <w:rFonts w:ascii="Times New Roman" w:hAnsi="Times New Roman" w:cs="Times New Roman"/>
                <w:color w:val="000000"/>
              </w:rPr>
              <w:t>0.1626</w:t>
            </w:r>
          </w:p>
        </w:tc>
      </w:tr>
      <w:tr w:rsidR="002D1CE1" w:rsidRPr="00CE6915" w14:paraId="7DE57344" w14:textId="77777777" w:rsidTr="002D1CE1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5" w:type="dxa"/>
            <w:noWrap/>
            <w:hideMark/>
          </w:tcPr>
          <w:p w14:paraId="08027797" w14:textId="77777777" w:rsidR="002D1CE1" w:rsidRPr="00CE6915" w:rsidRDefault="002D1CE1" w:rsidP="002D1CE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6915">
              <w:rPr>
                <w:rFonts w:ascii="Times New Roman" w:hAnsi="Times New Roman" w:cs="Times New Roman"/>
                <w:color w:val="000000"/>
              </w:rPr>
              <w:t>33</w:t>
            </w:r>
          </w:p>
        </w:tc>
        <w:tc>
          <w:tcPr>
            <w:tcW w:w="1040" w:type="dxa"/>
            <w:hideMark/>
          </w:tcPr>
          <w:p w14:paraId="61B2968F" w14:textId="77777777" w:rsidR="002D1CE1" w:rsidRPr="00CE6915" w:rsidRDefault="002D1CE1" w:rsidP="002D1C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CE6915">
              <w:rPr>
                <w:rFonts w:ascii="Times New Roman" w:hAnsi="Times New Roman" w:cs="Times New Roman"/>
                <w:color w:val="000000"/>
              </w:rPr>
              <w:t>299</w:t>
            </w:r>
          </w:p>
        </w:tc>
        <w:tc>
          <w:tcPr>
            <w:tcW w:w="895" w:type="dxa"/>
            <w:noWrap/>
            <w:hideMark/>
          </w:tcPr>
          <w:p w14:paraId="1B46E513" w14:textId="77777777" w:rsidR="002D1CE1" w:rsidRPr="00CE6915" w:rsidRDefault="002D1CE1" w:rsidP="002D1C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CE6915">
              <w:rPr>
                <w:rFonts w:ascii="Times New Roman" w:hAnsi="Times New Roman" w:cs="Times New Roman"/>
                <w:color w:val="000000"/>
              </w:rPr>
              <w:t>0.5%</w:t>
            </w:r>
          </w:p>
        </w:tc>
        <w:tc>
          <w:tcPr>
            <w:tcW w:w="1484" w:type="dxa"/>
            <w:hideMark/>
          </w:tcPr>
          <w:p w14:paraId="09CEC21A" w14:textId="3D43CD6B" w:rsidR="002D1CE1" w:rsidRPr="00CE6915" w:rsidRDefault="002D1CE1" w:rsidP="002D1C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CE6915">
              <w:rPr>
                <w:rFonts w:ascii="Times New Roman" w:hAnsi="Times New Roman" w:cs="Times New Roman"/>
                <w:color w:val="000000"/>
              </w:rPr>
              <w:t>0.4649</w:t>
            </w:r>
          </w:p>
        </w:tc>
        <w:tc>
          <w:tcPr>
            <w:tcW w:w="1866" w:type="dxa"/>
            <w:noWrap/>
            <w:hideMark/>
          </w:tcPr>
          <w:p w14:paraId="5BF91BC3" w14:textId="10CEF888" w:rsidR="002D1CE1" w:rsidRPr="00CE6915" w:rsidRDefault="002D1CE1" w:rsidP="002D1C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CE6915">
              <w:rPr>
                <w:rFonts w:ascii="Times New Roman" w:hAnsi="Times New Roman" w:cs="Times New Roman"/>
                <w:color w:val="000000"/>
              </w:rPr>
              <w:t>0.7481</w:t>
            </w:r>
          </w:p>
        </w:tc>
        <w:tc>
          <w:tcPr>
            <w:tcW w:w="1620" w:type="dxa"/>
            <w:noWrap/>
            <w:hideMark/>
          </w:tcPr>
          <w:p w14:paraId="7EAAEA24" w14:textId="734C4277" w:rsidR="002D1CE1" w:rsidRPr="00CE6915" w:rsidRDefault="002D1CE1" w:rsidP="002D1C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CE6915">
              <w:rPr>
                <w:rFonts w:ascii="Times New Roman" w:hAnsi="Times New Roman" w:cs="Times New Roman"/>
                <w:color w:val="000000"/>
              </w:rPr>
              <w:t>0.2136</w:t>
            </w:r>
          </w:p>
        </w:tc>
      </w:tr>
      <w:tr w:rsidR="002D1CE1" w:rsidRPr="00CE6915" w14:paraId="5BF30DC5" w14:textId="77777777" w:rsidTr="002D1CE1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5" w:type="dxa"/>
            <w:noWrap/>
            <w:hideMark/>
          </w:tcPr>
          <w:p w14:paraId="6683F235" w14:textId="77777777" w:rsidR="002D1CE1" w:rsidRPr="00CE6915" w:rsidRDefault="002D1CE1" w:rsidP="002D1CE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6915">
              <w:rPr>
                <w:rFonts w:ascii="Times New Roman" w:hAnsi="Times New Roman" w:cs="Times New Roman"/>
                <w:color w:val="000000"/>
              </w:rPr>
              <w:t>34</w:t>
            </w:r>
          </w:p>
        </w:tc>
        <w:tc>
          <w:tcPr>
            <w:tcW w:w="1040" w:type="dxa"/>
            <w:hideMark/>
          </w:tcPr>
          <w:p w14:paraId="6EEFDADB" w14:textId="77777777" w:rsidR="002D1CE1" w:rsidRPr="00CE6915" w:rsidRDefault="002D1CE1" w:rsidP="002D1C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CE6915">
              <w:rPr>
                <w:rFonts w:ascii="Times New Roman" w:hAnsi="Times New Roman" w:cs="Times New Roman"/>
                <w:color w:val="000000"/>
              </w:rPr>
              <w:t>674</w:t>
            </w:r>
          </w:p>
        </w:tc>
        <w:tc>
          <w:tcPr>
            <w:tcW w:w="895" w:type="dxa"/>
            <w:noWrap/>
            <w:hideMark/>
          </w:tcPr>
          <w:p w14:paraId="02ABEA37" w14:textId="77777777" w:rsidR="002D1CE1" w:rsidRPr="00CE6915" w:rsidRDefault="002D1CE1" w:rsidP="002D1C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CE6915">
              <w:rPr>
                <w:rFonts w:ascii="Times New Roman" w:hAnsi="Times New Roman" w:cs="Times New Roman"/>
                <w:color w:val="000000"/>
              </w:rPr>
              <w:t>1.1%</w:t>
            </w:r>
          </w:p>
        </w:tc>
        <w:tc>
          <w:tcPr>
            <w:tcW w:w="1484" w:type="dxa"/>
            <w:hideMark/>
          </w:tcPr>
          <w:p w14:paraId="1844EDC4" w14:textId="5AB89BED" w:rsidR="002D1CE1" w:rsidRPr="00CE6915" w:rsidRDefault="002D1CE1" w:rsidP="002D1C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CE6915">
              <w:rPr>
                <w:rFonts w:ascii="Times New Roman" w:hAnsi="Times New Roman" w:cs="Times New Roman"/>
                <w:color w:val="000000"/>
              </w:rPr>
              <w:t>0.5275</w:t>
            </w:r>
          </w:p>
        </w:tc>
        <w:tc>
          <w:tcPr>
            <w:tcW w:w="1866" w:type="dxa"/>
            <w:noWrap/>
            <w:hideMark/>
          </w:tcPr>
          <w:p w14:paraId="27622B02" w14:textId="6747E5D3" w:rsidR="002D1CE1" w:rsidRPr="00CE6915" w:rsidRDefault="002D1CE1" w:rsidP="002D1C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CE6915">
              <w:rPr>
                <w:rFonts w:ascii="Times New Roman" w:hAnsi="Times New Roman" w:cs="Times New Roman"/>
                <w:color w:val="000000"/>
              </w:rPr>
              <w:t>0.7738</w:t>
            </w:r>
          </w:p>
        </w:tc>
        <w:tc>
          <w:tcPr>
            <w:tcW w:w="1620" w:type="dxa"/>
            <w:noWrap/>
            <w:hideMark/>
          </w:tcPr>
          <w:p w14:paraId="7C18BC0C" w14:textId="1849C0F0" w:rsidR="002D1CE1" w:rsidRPr="00CE6915" w:rsidRDefault="002D1CE1" w:rsidP="002D1C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CE6915">
              <w:rPr>
                <w:rFonts w:ascii="Times New Roman" w:hAnsi="Times New Roman" w:cs="Times New Roman"/>
                <w:color w:val="000000"/>
              </w:rPr>
              <w:t>0.2783</w:t>
            </w:r>
          </w:p>
        </w:tc>
      </w:tr>
      <w:tr w:rsidR="002D1CE1" w:rsidRPr="00CE6915" w14:paraId="03B91C73" w14:textId="77777777" w:rsidTr="002D1CE1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5" w:type="dxa"/>
            <w:noWrap/>
            <w:hideMark/>
          </w:tcPr>
          <w:p w14:paraId="166430AF" w14:textId="77777777" w:rsidR="002D1CE1" w:rsidRPr="00CE6915" w:rsidRDefault="002D1CE1" w:rsidP="002D1CE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6915">
              <w:rPr>
                <w:rFonts w:ascii="Times New Roman" w:hAnsi="Times New Roman" w:cs="Times New Roman"/>
                <w:color w:val="000000"/>
              </w:rPr>
              <w:t>35</w:t>
            </w:r>
          </w:p>
        </w:tc>
        <w:tc>
          <w:tcPr>
            <w:tcW w:w="1040" w:type="dxa"/>
            <w:hideMark/>
          </w:tcPr>
          <w:p w14:paraId="1CAC758E" w14:textId="77777777" w:rsidR="002D1CE1" w:rsidRPr="00CE6915" w:rsidRDefault="002D1CE1" w:rsidP="002D1C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CE6915">
              <w:rPr>
                <w:rFonts w:ascii="Times New Roman" w:hAnsi="Times New Roman" w:cs="Times New Roman"/>
                <w:color w:val="000000"/>
              </w:rPr>
              <w:t>820</w:t>
            </w:r>
          </w:p>
        </w:tc>
        <w:tc>
          <w:tcPr>
            <w:tcW w:w="895" w:type="dxa"/>
            <w:noWrap/>
            <w:hideMark/>
          </w:tcPr>
          <w:p w14:paraId="1F26831B" w14:textId="77777777" w:rsidR="002D1CE1" w:rsidRPr="00CE6915" w:rsidRDefault="002D1CE1" w:rsidP="002D1C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CE6915">
              <w:rPr>
                <w:rFonts w:ascii="Times New Roman" w:hAnsi="Times New Roman" w:cs="Times New Roman"/>
                <w:color w:val="000000"/>
              </w:rPr>
              <w:t>1.3%</w:t>
            </w:r>
          </w:p>
        </w:tc>
        <w:tc>
          <w:tcPr>
            <w:tcW w:w="1484" w:type="dxa"/>
            <w:hideMark/>
          </w:tcPr>
          <w:p w14:paraId="23807754" w14:textId="53C346ED" w:rsidR="002D1CE1" w:rsidRPr="00CE6915" w:rsidRDefault="002D1CE1" w:rsidP="002D1C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CE6915">
              <w:rPr>
                <w:rFonts w:ascii="Times New Roman" w:hAnsi="Times New Roman" w:cs="Times New Roman"/>
                <w:color w:val="000000"/>
              </w:rPr>
              <w:t>0.5985</w:t>
            </w:r>
          </w:p>
        </w:tc>
        <w:tc>
          <w:tcPr>
            <w:tcW w:w="1866" w:type="dxa"/>
            <w:noWrap/>
            <w:hideMark/>
          </w:tcPr>
          <w:p w14:paraId="126EA729" w14:textId="1AE01558" w:rsidR="002D1CE1" w:rsidRPr="00CE6915" w:rsidRDefault="002D1CE1" w:rsidP="002D1C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CE6915">
              <w:rPr>
                <w:rFonts w:ascii="Times New Roman" w:hAnsi="Times New Roman" w:cs="Times New Roman"/>
                <w:color w:val="000000"/>
              </w:rPr>
              <w:t>0.8003</w:t>
            </w:r>
          </w:p>
        </w:tc>
        <w:tc>
          <w:tcPr>
            <w:tcW w:w="1620" w:type="dxa"/>
            <w:noWrap/>
            <w:hideMark/>
          </w:tcPr>
          <w:p w14:paraId="3A0F9AF9" w14:textId="7D7AC21A" w:rsidR="002D1CE1" w:rsidRPr="00CE6915" w:rsidRDefault="002D1CE1" w:rsidP="002D1C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CE6915">
              <w:rPr>
                <w:rFonts w:ascii="Times New Roman" w:hAnsi="Times New Roman" w:cs="Times New Roman"/>
                <w:color w:val="000000"/>
              </w:rPr>
              <w:t>0.3599</w:t>
            </w:r>
          </w:p>
        </w:tc>
      </w:tr>
      <w:tr w:rsidR="002D1CE1" w:rsidRPr="00CE6915" w14:paraId="1328041B" w14:textId="77777777" w:rsidTr="002D1CE1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5" w:type="dxa"/>
            <w:noWrap/>
            <w:hideMark/>
          </w:tcPr>
          <w:p w14:paraId="6F852105" w14:textId="77777777" w:rsidR="002D1CE1" w:rsidRPr="00CE6915" w:rsidRDefault="002D1CE1" w:rsidP="002D1CE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6915">
              <w:rPr>
                <w:rFonts w:ascii="Times New Roman" w:hAnsi="Times New Roman" w:cs="Times New Roman"/>
                <w:color w:val="000000"/>
              </w:rPr>
              <w:t>36</w:t>
            </w:r>
          </w:p>
        </w:tc>
        <w:tc>
          <w:tcPr>
            <w:tcW w:w="1040" w:type="dxa"/>
            <w:hideMark/>
          </w:tcPr>
          <w:p w14:paraId="6150B453" w14:textId="77777777" w:rsidR="002D1CE1" w:rsidRPr="00CE6915" w:rsidRDefault="002D1CE1" w:rsidP="002D1C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CE6915">
              <w:rPr>
                <w:rFonts w:ascii="Times New Roman" w:hAnsi="Times New Roman" w:cs="Times New Roman"/>
                <w:color w:val="000000"/>
              </w:rPr>
              <w:t>1,842</w:t>
            </w:r>
          </w:p>
        </w:tc>
        <w:tc>
          <w:tcPr>
            <w:tcW w:w="895" w:type="dxa"/>
            <w:noWrap/>
            <w:hideMark/>
          </w:tcPr>
          <w:p w14:paraId="7022C990" w14:textId="77777777" w:rsidR="002D1CE1" w:rsidRPr="00CE6915" w:rsidRDefault="002D1CE1" w:rsidP="002D1C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CE6915">
              <w:rPr>
                <w:rFonts w:ascii="Times New Roman" w:hAnsi="Times New Roman" w:cs="Times New Roman"/>
                <w:color w:val="000000"/>
              </w:rPr>
              <w:t>3.0%</w:t>
            </w:r>
          </w:p>
        </w:tc>
        <w:tc>
          <w:tcPr>
            <w:tcW w:w="1484" w:type="dxa"/>
            <w:hideMark/>
          </w:tcPr>
          <w:p w14:paraId="019B8B5C" w14:textId="56A6D8C9" w:rsidR="002D1CE1" w:rsidRPr="00CE6915" w:rsidRDefault="002D1CE1" w:rsidP="002D1C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CE6915">
              <w:rPr>
                <w:rFonts w:ascii="Times New Roman" w:hAnsi="Times New Roman" w:cs="Times New Roman"/>
                <w:color w:val="000000"/>
              </w:rPr>
              <w:t>0.6791</w:t>
            </w:r>
          </w:p>
        </w:tc>
        <w:tc>
          <w:tcPr>
            <w:tcW w:w="1866" w:type="dxa"/>
            <w:noWrap/>
            <w:hideMark/>
          </w:tcPr>
          <w:p w14:paraId="473DE738" w14:textId="02047FEE" w:rsidR="002D1CE1" w:rsidRPr="00CE6915" w:rsidRDefault="002D1CE1" w:rsidP="002D1C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CE6915">
              <w:rPr>
                <w:rFonts w:ascii="Times New Roman" w:hAnsi="Times New Roman" w:cs="Times New Roman"/>
                <w:color w:val="000000"/>
              </w:rPr>
              <w:t>0.8278</w:t>
            </w:r>
          </w:p>
        </w:tc>
        <w:tc>
          <w:tcPr>
            <w:tcW w:w="1620" w:type="dxa"/>
            <w:noWrap/>
            <w:hideMark/>
          </w:tcPr>
          <w:p w14:paraId="2CDC1BEC" w14:textId="56E614D9" w:rsidR="002D1CE1" w:rsidRPr="00CE6915" w:rsidRDefault="002D1CE1" w:rsidP="002D1C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CE6915">
              <w:rPr>
                <w:rFonts w:ascii="Times New Roman" w:hAnsi="Times New Roman" w:cs="Times New Roman"/>
                <w:color w:val="000000"/>
              </w:rPr>
              <w:t>0.4620</w:t>
            </w:r>
          </w:p>
        </w:tc>
      </w:tr>
      <w:tr w:rsidR="00C47F0C" w:rsidRPr="00CE6915" w14:paraId="6CEF5981" w14:textId="77777777" w:rsidTr="002D1CE1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5" w:type="dxa"/>
            <w:noWrap/>
            <w:hideMark/>
          </w:tcPr>
          <w:p w14:paraId="01322B59" w14:textId="77777777" w:rsidR="00C47F0C" w:rsidRPr="00CE6915" w:rsidRDefault="00C47F0C" w:rsidP="002D1CE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6915">
              <w:rPr>
                <w:rFonts w:ascii="Times New Roman" w:hAnsi="Times New Roman" w:cs="Times New Roman"/>
                <w:color w:val="000000"/>
              </w:rPr>
              <w:t>≥37</w:t>
            </w:r>
          </w:p>
        </w:tc>
        <w:tc>
          <w:tcPr>
            <w:tcW w:w="1040" w:type="dxa"/>
            <w:hideMark/>
          </w:tcPr>
          <w:p w14:paraId="7CB596E6" w14:textId="77777777" w:rsidR="00C47F0C" w:rsidRPr="00CE6915" w:rsidRDefault="00C47F0C" w:rsidP="002D1C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CE6915">
              <w:rPr>
                <w:rFonts w:ascii="Times New Roman" w:hAnsi="Times New Roman" w:cs="Times New Roman"/>
                <w:color w:val="000000"/>
              </w:rPr>
              <w:t>57,733</w:t>
            </w:r>
          </w:p>
        </w:tc>
        <w:tc>
          <w:tcPr>
            <w:tcW w:w="895" w:type="dxa"/>
            <w:noWrap/>
            <w:hideMark/>
          </w:tcPr>
          <w:p w14:paraId="5D6ADDC8" w14:textId="77777777" w:rsidR="00C47F0C" w:rsidRPr="00CE6915" w:rsidRDefault="00C47F0C" w:rsidP="002D1C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CE6915">
              <w:rPr>
                <w:rFonts w:ascii="Times New Roman" w:hAnsi="Times New Roman" w:cs="Times New Roman"/>
                <w:color w:val="000000"/>
              </w:rPr>
              <w:t>93.0%</w:t>
            </w:r>
          </w:p>
        </w:tc>
        <w:tc>
          <w:tcPr>
            <w:tcW w:w="1484" w:type="dxa"/>
            <w:hideMark/>
          </w:tcPr>
          <w:p w14:paraId="67CB1A25" w14:textId="77777777" w:rsidR="00C47F0C" w:rsidRPr="00CE6915" w:rsidRDefault="00C47F0C" w:rsidP="002D1C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CE6915">
              <w:rPr>
                <w:rFonts w:ascii="Times New Roman" w:hAnsi="Times New Roman" w:cs="Times New Roman"/>
                <w:color w:val="000000"/>
              </w:rPr>
              <w:t>NA</w:t>
            </w:r>
          </w:p>
        </w:tc>
        <w:tc>
          <w:tcPr>
            <w:tcW w:w="1866" w:type="dxa"/>
            <w:noWrap/>
            <w:hideMark/>
          </w:tcPr>
          <w:p w14:paraId="75B6EB22" w14:textId="77777777" w:rsidR="00C47F0C" w:rsidRPr="00CE6915" w:rsidRDefault="00C47F0C" w:rsidP="002D1C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CE6915">
              <w:rPr>
                <w:rFonts w:ascii="Times New Roman" w:hAnsi="Times New Roman" w:cs="Times New Roman"/>
                <w:color w:val="000000"/>
              </w:rPr>
              <w:t>NA</w:t>
            </w:r>
          </w:p>
        </w:tc>
        <w:tc>
          <w:tcPr>
            <w:tcW w:w="1620" w:type="dxa"/>
            <w:noWrap/>
            <w:hideMark/>
          </w:tcPr>
          <w:p w14:paraId="05677490" w14:textId="77777777" w:rsidR="00C47F0C" w:rsidRPr="00CE6915" w:rsidRDefault="00C47F0C" w:rsidP="002D1C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CE6915">
              <w:rPr>
                <w:rFonts w:ascii="Times New Roman" w:hAnsi="Times New Roman" w:cs="Times New Roman"/>
                <w:color w:val="000000"/>
              </w:rPr>
              <w:t>NA</w:t>
            </w:r>
          </w:p>
        </w:tc>
      </w:tr>
      <w:tr w:rsidR="00C47F0C" w:rsidRPr="00CE6915" w14:paraId="70B30F8D" w14:textId="77777777" w:rsidTr="002D1CE1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5" w:type="dxa"/>
            <w:noWrap/>
            <w:hideMark/>
          </w:tcPr>
          <w:p w14:paraId="3549959C" w14:textId="77777777" w:rsidR="00C47F0C" w:rsidRPr="00CE6915" w:rsidRDefault="00C47F0C" w:rsidP="002D1CE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6915">
              <w:rPr>
                <w:rFonts w:ascii="Times New Roman" w:hAnsi="Times New Roman" w:cs="Times New Roman"/>
                <w:color w:val="000000"/>
              </w:rPr>
              <w:t>TOTAL</w:t>
            </w:r>
          </w:p>
        </w:tc>
        <w:tc>
          <w:tcPr>
            <w:tcW w:w="1040" w:type="dxa"/>
            <w:hideMark/>
          </w:tcPr>
          <w:p w14:paraId="62FD634D" w14:textId="77777777" w:rsidR="00C47F0C" w:rsidRPr="00CE6915" w:rsidRDefault="00C47F0C" w:rsidP="002D1C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E6915">
              <w:rPr>
                <w:rFonts w:ascii="Times New Roman" w:hAnsi="Times New Roman" w:cs="Times New Roman"/>
                <w:b/>
                <w:bCs/>
                <w:color w:val="000000"/>
              </w:rPr>
              <w:t>62,093</w:t>
            </w:r>
          </w:p>
        </w:tc>
        <w:tc>
          <w:tcPr>
            <w:tcW w:w="895" w:type="dxa"/>
            <w:noWrap/>
            <w:hideMark/>
          </w:tcPr>
          <w:p w14:paraId="2DD774D0" w14:textId="77777777" w:rsidR="00C47F0C" w:rsidRPr="00CE6915" w:rsidRDefault="00C47F0C" w:rsidP="002D1C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E6915">
              <w:rPr>
                <w:rFonts w:ascii="Times New Roman" w:hAnsi="Times New Roman" w:cs="Times New Roman"/>
                <w:b/>
                <w:bCs/>
                <w:color w:val="000000"/>
              </w:rPr>
              <w:t>100.0%</w:t>
            </w:r>
          </w:p>
        </w:tc>
        <w:tc>
          <w:tcPr>
            <w:tcW w:w="1484" w:type="dxa"/>
            <w:noWrap/>
            <w:hideMark/>
          </w:tcPr>
          <w:p w14:paraId="3DA9225C" w14:textId="77777777" w:rsidR="00C47F0C" w:rsidRPr="00CE6915" w:rsidRDefault="00C47F0C" w:rsidP="002D1C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E6915">
              <w:rPr>
                <w:rFonts w:ascii="Times New Roman" w:hAnsi="Times New Roman" w:cs="Times New Roman"/>
                <w:b/>
                <w:bCs/>
                <w:color w:val="000000"/>
              </w:rPr>
              <w:t>-</w:t>
            </w:r>
          </w:p>
        </w:tc>
        <w:tc>
          <w:tcPr>
            <w:tcW w:w="1866" w:type="dxa"/>
            <w:noWrap/>
            <w:hideMark/>
          </w:tcPr>
          <w:p w14:paraId="1C97F240" w14:textId="77777777" w:rsidR="00C47F0C" w:rsidRPr="00CE6915" w:rsidRDefault="00C47F0C" w:rsidP="002D1C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E6915">
              <w:rPr>
                <w:rFonts w:ascii="Times New Roman" w:hAnsi="Times New Roman" w:cs="Times New Roman"/>
                <w:b/>
                <w:bCs/>
                <w:color w:val="000000"/>
              </w:rPr>
              <w:t>-</w:t>
            </w:r>
          </w:p>
        </w:tc>
        <w:tc>
          <w:tcPr>
            <w:tcW w:w="1620" w:type="dxa"/>
            <w:noWrap/>
            <w:hideMark/>
          </w:tcPr>
          <w:p w14:paraId="0C353807" w14:textId="77777777" w:rsidR="00C47F0C" w:rsidRPr="00CE6915" w:rsidRDefault="00C47F0C" w:rsidP="002D1C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E6915">
              <w:rPr>
                <w:rFonts w:ascii="Times New Roman" w:hAnsi="Times New Roman" w:cs="Times New Roman"/>
                <w:b/>
                <w:bCs/>
                <w:color w:val="000000"/>
              </w:rPr>
              <w:t>-</w:t>
            </w:r>
          </w:p>
        </w:tc>
      </w:tr>
      <w:tr w:rsidR="00C47F0C" w:rsidRPr="00CE6915" w14:paraId="53059F69" w14:textId="77777777" w:rsidTr="002D1CE1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5" w:type="dxa"/>
            <w:noWrap/>
          </w:tcPr>
          <w:p w14:paraId="2068781B" w14:textId="77777777" w:rsidR="00C47F0C" w:rsidRPr="00CE6915" w:rsidRDefault="00C47F0C" w:rsidP="002D1CE1">
            <w:pPr>
              <w:jc w:val="center"/>
              <w:rPr>
                <w:rFonts w:ascii="Times New Roman" w:hAnsi="Times New Roman" w:cs="Times New Roman"/>
                <w:bCs w:val="0"/>
                <w:i/>
                <w:color w:val="000000"/>
              </w:rPr>
            </w:pPr>
            <w:r w:rsidRPr="00CE6915">
              <w:rPr>
                <w:rFonts w:ascii="Times New Roman" w:hAnsi="Times New Roman" w:cs="Times New Roman"/>
                <w:bCs w:val="0"/>
                <w:i/>
                <w:color w:val="000000"/>
              </w:rPr>
              <w:t>Total preterm</w:t>
            </w:r>
          </w:p>
        </w:tc>
        <w:tc>
          <w:tcPr>
            <w:tcW w:w="1040" w:type="dxa"/>
          </w:tcPr>
          <w:p w14:paraId="62D45C3A" w14:textId="77777777" w:rsidR="00C47F0C" w:rsidRPr="00CE6915" w:rsidRDefault="00C47F0C" w:rsidP="002D1C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/>
                <w:color w:val="000000"/>
              </w:rPr>
            </w:pPr>
            <w:r w:rsidRPr="00CE6915">
              <w:rPr>
                <w:rFonts w:ascii="Times New Roman" w:hAnsi="Times New Roman" w:cs="Times New Roman"/>
                <w:bCs/>
                <w:i/>
                <w:color w:val="000000"/>
              </w:rPr>
              <w:t>4,360</w:t>
            </w:r>
          </w:p>
        </w:tc>
        <w:tc>
          <w:tcPr>
            <w:tcW w:w="895" w:type="dxa"/>
            <w:noWrap/>
          </w:tcPr>
          <w:p w14:paraId="07E314A9" w14:textId="77777777" w:rsidR="00C47F0C" w:rsidRPr="00CE6915" w:rsidRDefault="00C47F0C" w:rsidP="002D1C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/>
                <w:color w:val="000000"/>
              </w:rPr>
            </w:pPr>
            <w:r w:rsidRPr="00CE6915">
              <w:rPr>
                <w:rFonts w:ascii="Times New Roman" w:hAnsi="Times New Roman" w:cs="Times New Roman"/>
                <w:bCs/>
                <w:i/>
                <w:color w:val="000000"/>
              </w:rPr>
              <w:t>7.0%</w:t>
            </w:r>
          </w:p>
        </w:tc>
        <w:tc>
          <w:tcPr>
            <w:tcW w:w="1484" w:type="dxa"/>
            <w:noWrap/>
          </w:tcPr>
          <w:p w14:paraId="2D9C46FA" w14:textId="77777777" w:rsidR="00C47F0C" w:rsidRPr="00CE6915" w:rsidRDefault="00C47F0C" w:rsidP="002D1C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E6915">
              <w:rPr>
                <w:rFonts w:ascii="Times New Roman" w:hAnsi="Times New Roman" w:cs="Times New Roman"/>
                <w:b/>
                <w:bCs/>
                <w:color w:val="000000"/>
              </w:rPr>
              <w:t>-</w:t>
            </w:r>
          </w:p>
        </w:tc>
        <w:tc>
          <w:tcPr>
            <w:tcW w:w="1866" w:type="dxa"/>
            <w:noWrap/>
          </w:tcPr>
          <w:p w14:paraId="5F5BA568" w14:textId="77777777" w:rsidR="00C47F0C" w:rsidRPr="00CE6915" w:rsidRDefault="00C47F0C" w:rsidP="002D1C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E6915">
              <w:rPr>
                <w:rFonts w:ascii="Times New Roman" w:hAnsi="Times New Roman" w:cs="Times New Roman"/>
                <w:b/>
                <w:bCs/>
                <w:color w:val="000000"/>
              </w:rPr>
              <w:t>-</w:t>
            </w:r>
          </w:p>
        </w:tc>
        <w:tc>
          <w:tcPr>
            <w:tcW w:w="1620" w:type="dxa"/>
            <w:noWrap/>
          </w:tcPr>
          <w:p w14:paraId="59E576A6" w14:textId="77777777" w:rsidR="00C47F0C" w:rsidRPr="00CE6915" w:rsidRDefault="00C47F0C" w:rsidP="002D1C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E6915">
              <w:rPr>
                <w:rFonts w:ascii="Times New Roman" w:hAnsi="Times New Roman" w:cs="Times New Roman"/>
                <w:b/>
                <w:bCs/>
                <w:color w:val="000000"/>
              </w:rPr>
              <w:t>-</w:t>
            </w:r>
          </w:p>
        </w:tc>
      </w:tr>
    </w:tbl>
    <w:p w14:paraId="19C16892" w14:textId="77777777" w:rsidR="00C47F0C" w:rsidRPr="00CE6915" w:rsidRDefault="00C47F0C" w:rsidP="00C47F0C">
      <w:pPr>
        <w:spacing w:line="276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2BD57252" w14:textId="6DE6F01D" w:rsidR="00C47F0C" w:rsidRPr="00CE6915" w:rsidRDefault="00C47F0C" w:rsidP="00C47F0C">
      <w:pPr>
        <w:spacing w:line="276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CE6915">
        <w:rPr>
          <w:rFonts w:ascii="Times New Roman" w:hAnsi="Times New Roman" w:cs="Times New Roman"/>
          <w:color w:val="000000"/>
          <w:sz w:val="18"/>
          <w:szCs w:val="18"/>
        </w:rPr>
        <w:t xml:space="preserve">*Based on observed frequencies in the HIRD, </w:t>
      </w:r>
      <w:r w:rsidR="00341E11" w:rsidRPr="00CE6915">
        <w:rPr>
          <w:rFonts w:ascii="Times New Roman" w:hAnsi="Times New Roman" w:cs="Times New Roman"/>
          <w:color w:val="000000"/>
          <w:sz w:val="18"/>
          <w:szCs w:val="18"/>
        </w:rPr>
        <w:t>0</w:t>
      </w:r>
      <w:r w:rsidRPr="00CE6915">
        <w:rPr>
          <w:rFonts w:ascii="Times New Roman" w:hAnsi="Times New Roman" w:cs="Times New Roman"/>
          <w:color w:val="000000"/>
          <w:sz w:val="18"/>
          <w:szCs w:val="18"/>
        </w:rPr>
        <w:t>1 Jan 2016 to 31 Dec 2016</w:t>
      </w:r>
    </w:p>
    <w:p w14:paraId="368F7FFE" w14:textId="2EEEB84C" w:rsidR="00C47F0C" w:rsidRPr="00CE6915" w:rsidRDefault="00C47F0C" w:rsidP="00C47F0C">
      <w:pPr>
        <w:spacing w:line="276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CE6915">
        <w:rPr>
          <w:rFonts w:ascii="Times New Roman" w:hAnsi="Times New Roman" w:cs="Times New Roman"/>
          <w:color w:val="000000"/>
          <w:sz w:val="18"/>
          <w:szCs w:val="18"/>
        </w:rPr>
        <w:t xml:space="preserve">**Numbers represent risk ratios. For example, </w:t>
      </w:r>
      <w:r w:rsidR="000510D0" w:rsidRPr="00CE6915">
        <w:rPr>
          <w:rFonts w:ascii="Times New Roman" w:hAnsi="Times New Roman" w:cs="Times New Roman"/>
          <w:color w:val="000000"/>
          <w:sz w:val="18"/>
          <w:szCs w:val="18"/>
        </w:rPr>
        <w:t xml:space="preserve">in the base case, </w:t>
      </w:r>
      <w:r w:rsidRPr="00CE6915">
        <w:rPr>
          <w:rFonts w:ascii="Times New Roman" w:hAnsi="Times New Roman" w:cs="Times New Roman"/>
          <w:color w:val="000000"/>
          <w:sz w:val="18"/>
          <w:szCs w:val="18"/>
        </w:rPr>
        <w:t>the risk of a preterm birth at week 23</w:t>
      </w:r>
      <w:r w:rsidR="000510D0" w:rsidRPr="00CE6915">
        <w:rPr>
          <w:rFonts w:ascii="Times New Roman" w:hAnsi="Times New Roman" w:cs="Times New Roman"/>
          <w:color w:val="000000"/>
          <w:sz w:val="18"/>
          <w:szCs w:val="18"/>
        </w:rPr>
        <w:t xml:space="preserve"> with the </w:t>
      </w:r>
      <w:r w:rsidR="00E67E07" w:rsidRPr="00CE6915">
        <w:rPr>
          <w:rFonts w:ascii="Times New Roman" w:hAnsi="Times New Roman" w:cs="Times New Roman"/>
          <w:color w:val="000000"/>
          <w:sz w:val="18"/>
          <w:szCs w:val="18"/>
        </w:rPr>
        <w:t>treatment</w:t>
      </w:r>
      <w:r w:rsidRPr="00CE6915">
        <w:rPr>
          <w:rFonts w:ascii="Times New Roman" w:hAnsi="Times New Roman" w:cs="Times New Roman"/>
          <w:color w:val="000000"/>
          <w:sz w:val="18"/>
          <w:szCs w:val="18"/>
        </w:rPr>
        <w:t xml:space="preserve"> is 0.</w:t>
      </w:r>
      <w:r w:rsidR="000510D0" w:rsidRPr="00CE6915">
        <w:rPr>
          <w:rFonts w:ascii="Times New Roman" w:hAnsi="Times New Roman" w:cs="Times New Roman"/>
          <w:color w:val="000000"/>
          <w:sz w:val="18"/>
          <w:szCs w:val="18"/>
        </w:rPr>
        <w:t>1315</w:t>
      </w:r>
      <w:r w:rsidRPr="00CE6915">
        <w:rPr>
          <w:rFonts w:ascii="Times New Roman" w:hAnsi="Times New Roman" w:cs="Times New Roman"/>
          <w:color w:val="000000"/>
          <w:sz w:val="18"/>
          <w:szCs w:val="18"/>
        </w:rPr>
        <w:t xml:space="preserve"> (</w:t>
      </w:r>
      <w:r w:rsidR="000510D0" w:rsidRPr="00CE6915">
        <w:rPr>
          <w:rFonts w:ascii="Times New Roman" w:hAnsi="Times New Roman" w:cs="Times New Roman"/>
          <w:color w:val="000000"/>
          <w:sz w:val="18"/>
          <w:szCs w:val="18"/>
        </w:rPr>
        <w:t>87</w:t>
      </w:r>
      <w:r w:rsidRPr="00CE6915">
        <w:rPr>
          <w:rFonts w:ascii="Times New Roman" w:hAnsi="Times New Roman" w:cs="Times New Roman"/>
          <w:color w:val="000000"/>
          <w:sz w:val="18"/>
          <w:szCs w:val="18"/>
        </w:rPr>
        <w:t xml:space="preserve">% lower) compared to without the </w:t>
      </w:r>
      <w:r w:rsidR="00E67E07" w:rsidRPr="00CE6915">
        <w:rPr>
          <w:rFonts w:ascii="Times New Roman" w:hAnsi="Times New Roman" w:cs="Times New Roman"/>
          <w:color w:val="000000"/>
          <w:sz w:val="18"/>
          <w:szCs w:val="18"/>
        </w:rPr>
        <w:t>treatment</w:t>
      </w:r>
      <w:r w:rsidRPr="00CE6915">
        <w:rPr>
          <w:rFonts w:ascii="Times New Roman" w:hAnsi="Times New Roman" w:cs="Times New Roman"/>
          <w:color w:val="000000"/>
          <w:sz w:val="18"/>
          <w:szCs w:val="18"/>
        </w:rPr>
        <w:t>.</w:t>
      </w:r>
    </w:p>
    <w:p w14:paraId="3A2E02B3" w14:textId="77777777" w:rsidR="00C47F0C" w:rsidRPr="00CE6915" w:rsidRDefault="00C47F0C" w:rsidP="00C47F0C">
      <w:pPr>
        <w:rPr>
          <w:rFonts w:asciiTheme="majorBidi" w:hAnsiTheme="majorBidi" w:cstheme="majorBidi"/>
          <w:bCs/>
          <w:color w:val="000000"/>
          <w:sz w:val="24"/>
          <w:szCs w:val="24"/>
        </w:rPr>
      </w:pPr>
    </w:p>
    <w:p w14:paraId="122A5530" w14:textId="77777777" w:rsidR="00C47F0C" w:rsidRPr="00CE6915" w:rsidRDefault="00C47F0C" w:rsidP="00C47F0C">
      <w:pPr>
        <w:rPr>
          <w:rFonts w:asciiTheme="majorBidi" w:hAnsiTheme="majorBidi" w:cstheme="majorBidi"/>
          <w:bCs/>
          <w:color w:val="000000"/>
          <w:sz w:val="24"/>
          <w:szCs w:val="24"/>
        </w:rPr>
      </w:pPr>
    </w:p>
    <w:p w14:paraId="7D12C2D6" w14:textId="77777777" w:rsidR="00C47F0C" w:rsidRPr="00CE6915" w:rsidRDefault="00C47F0C" w:rsidP="00C47F0C">
      <w:pPr>
        <w:rPr>
          <w:rFonts w:asciiTheme="majorBidi" w:hAnsiTheme="majorBidi" w:cstheme="majorBidi"/>
          <w:bCs/>
          <w:color w:val="000000"/>
          <w:sz w:val="24"/>
          <w:szCs w:val="24"/>
        </w:rPr>
      </w:pPr>
    </w:p>
    <w:p w14:paraId="11E14A3C" w14:textId="77777777" w:rsidR="003F65EC" w:rsidRPr="00CE6915" w:rsidRDefault="003F65EC" w:rsidP="00C47F0C">
      <w:pPr>
        <w:spacing w:line="276" w:lineRule="auto"/>
        <w:rPr>
          <w:rFonts w:ascii="Times New Roman" w:hAnsi="Times New Roman" w:cs="Times New Roman"/>
          <w:b/>
          <w:color w:val="000000"/>
          <w:sz w:val="24"/>
          <w:szCs w:val="24"/>
        </w:rPr>
        <w:sectPr w:rsidR="003F65EC" w:rsidRPr="00CE6915" w:rsidSect="00EE1005">
          <w:headerReference w:type="default" r:id="rId8"/>
          <w:footerReference w:type="default" r:id="rId9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53C998FB" w14:textId="3A2E00CB" w:rsidR="00C47F0C" w:rsidRPr="00CE6915" w:rsidRDefault="00C47F0C" w:rsidP="00C47F0C">
      <w:pPr>
        <w:spacing w:line="276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E6915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Table A3. </w:t>
      </w:r>
      <w:r w:rsidRPr="00CE6915">
        <w:rPr>
          <w:rFonts w:ascii="Times New Roman" w:hAnsi="Times New Roman" w:cs="Times New Roman"/>
          <w:bCs/>
          <w:color w:val="000000"/>
          <w:sz w:val="24"/>
          <w:szCs w:val="24"/>
        </w:rPr>
        <w:t>Model assumptions on maternal and infant costs</w:t>
      </w:r>
    </w:p>
    <w:p w14:paraId="77FEBE28" w14:textId="77777777" w:rsidR="00C47F0C" w:rsidRPr="00CE6915" w:rsidRDefault="00C47F0C" w:rsidP="00C47F0C">
      <w:pPr>
        <w:spacing w:line="276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tbl>
      <w:tblPr>
        <w:tblStyle w:val="GridTable1Light"/>
        <w:tblW w:w="12145" w:type="dxa"/>
        <w:tblLayout w:type="fixed"/>
        <w:tblLook w:val="04A0" w:firstRow="1" w:lastRow="0" w:firstColumn="1" w:lastColumn="0" w:noHBand="0" w:noVBand="1"/>
      </w:tblPr>
      <w:tblGrid>
        <w:gridCol w:w="1105"/>
        <w:gridCol w:w="1235"/>
        <w:gridCol w:w="1260"/>
        <w:gridCol w:w="1260"/>
        <w:gridCol w:w="1170"/>
        <w:gridCol w:w="1260"/>
        <w:gridCol w:w="1260"/>
        <w:gridCol w:w="1170"/>
        <w:gridCol w:w="1255"/>
        <w:gridCol w:w="1170"/>
      </w:tblGrid>
      <w:tr w:rsidR="00C47F0C" w:rsidRPr="00CE6915" w14:paraId="1CE3A8F6" w14:textId="77777777" w:rsidTr="00B868C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5" w:type="dxa"/>
            <w:hideMark/>
          </w:tcPr>
          <w:p w14:paraId="02D1F0BB" w14:textId="77777777" w:rsidR="00C47F0C" w:rsidRPr="00CE6915" w:rsidRDefault="00C47F0C" w:rsidP="002D1CE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6915">
              <w:rPr>
                <w:rFonts w:ascii="Times New Roman" w:hAnsi="Times New Roman" w:cs="Times New Roman"/>
                <w:color w:val="000000"/>
              </w:rPr>
              <w:t>Weeks of gestation</w:t>
            </w:r>
          </w:p>
        </w:tc>
        <w:tc>
          <w:tcPr>
            <w:tcW w:w="3755" w:type="dxa"/>
            <w:gridSpan w:val="3"/>
            <w:hideMark/>
          </w:tcPr>
          <w:p w14:paraId="4B0CF480" w14:textId="77777777" w:rsidR="00C47F0C" w:rsidRPr="00CE6915" w:rsidRDefault="00C47F0C" w:rsidP="002D1CE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CE6915">
              <w:rPr>
                <w:rFonts w:ascii="Times New Roman" w:hAnsi="Times New Roman" w:cs="Times New Roman"/>
                <w:color w:val="000000"/>
              </w:rPr>
              <w:t>Maternal care costs ($)</w:t>
            </w:r>
            <w:r w:rsidRPr="00CE6915">
              <w:rPr>
                <w:rFonts w:ascii="Times New Roman" w:hAnsi="Times New Roman" w:cs="Times New Roman"/>
                <w:color w:val="000000"/>
              </w:rPr>
              <w:br/>
              <w:t>(total, conception to 12m post-birth)</w:t>
            </w:r>
          </w:p>
        </w:tc>
        <w:tc>
          <w:tcPr>
            <w:tcW w:w="3690" w:type="dxa"/>
            <w:gridSpan w:val="3"/>
            <w:hideMark/>
          </w:tcPr>
          <w:p w14:paraId="4B0C9FAE" w14:textId="4884566C" w:rsidR="00C47F0C" w:rsidRPr="00CE6915" w:rsidRDefault="00C47F0C" w:rsidP="002D1CE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CE6915">
              <w:rPr>
                <w:rFonts w:ascii="Times New Roman" w:hAnsi="Times New Roman" w:cs="Times New Roman"/>
                <w:color w:val="000000"/>
              </w:rPr>
              <w:t>Infant care costs ($)</w:t>
            </w:r>
            <w:r w:rsidRPr="00CE6915">
              <w:rPr>
                <w:rFonts w:ascii="Times New Roman" w:hAnsi="Times New Roman" w:cs="Times New Roman"/>
                <w:color w:val="000000"/>
              </w:rPr>
              <w:br/>
              <w:t>(birth to 12m post-birth)</w:t>
            </w:r>
          </w:p>
        </w:tc>
        <w:tc>
          <w:tcPr>
            <w:tcW w:w="3595" w:type="dxa"/>
            <w:gridSpan w:val="3"/>
            <w:hideMark/>
          </w:tcPr>
          <w:p w14:paraId="3E56A423" w14:textId="1293A75A" w:rsidR="00C47F0C" w:rsidRPr="00CE6915" w:rsidRDefault="00C47F0C" w:rsidP="002D1CE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CE6915">
              <w:rPr>
                <w:rFonts w:ascii="Times New Roman" w:hAnsi="Times New Roman" w:cs="Times New Roman"/>
                <w:color w:val="000000"/>
              </w:rPr>
              <w:t>Infant care costs ($)</w:t>
            </w:r>
            <w:r w:rsidRPr="00CE6915">
              <w:rPr>
                <w:rFonts w:ascii="Times New Roman" w:hAnsi="Times New Roman" w:cs="Times New Roman"/>
                <w:color w:val="000000"/>
              </w:rPr>
              <w:br/>
              <w:t>(13</w:t>
            </w:r>
            <w:r w:rsidR="00B83AA8" w:rsidRPr="00CE6915">
              <w:rPr>
                <w:rFonts w:ascii="Times New Roman" w:hAnsi="Times New Roman" w:cs="Times New Roman"/>
                <w:color w:val="000000"/>
              </w:rPr>
              <w:t>m</w:t>
            </w:r>
            <w:r w:rsidRPr="00CE6915">
              <w:rPr>
                <w:rFonts w:ascii="Times New Roman" w:hAnsi="Times New Roman" w:cs="Times New Roman"/>
                <w:color w:val="000000"/>
              </w:rPr>
              <w:t xml:space="preserve"> to 30m post-birth)</w:t>
            </w:r>
          </w:p>
        </w:tc>
      </w:tr>
      <w:tr w:rsidR="00C47F0C" w:rsidRPr="00CE6915" w14:paraId="6ADF9889" w14:textId="77777777" w:rsidTr="00B868C5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5" w:type="dxa"/>
            <w:hideMark/>
          </w:tcPr>
          <w:p w14:paraId="64D59B77" w14:textId="77777777" w:rsidR="00C47F0C" w:rsidRPr="00CE6915" w:rsidRDefault="00C47F0C" w:rsidP="002D1CE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35" w:type="dxa"/>
            <w:hideMark/>
          </w:tcPr>
          <w:p w14:paraId="71BA039D" w14:textId="77777777" w:rsidR="00C47F0C" w:rsidRPr="00CE6915" w:rsidRDefault="00C47F0C" w:rsidP="002D1C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color w:val="000000"/>
              </w:rPr>
            </w:pPr>
            <w:r w:rsidRPr="00CE6915">
              <w:rPr>
                <w:rFonts w:ascii="Times New Roman" w:hAnsi="Times New Roman" w:cs="Times New Roman"/>
                <w:i/>
                <w:color w:val="000000"/>
              </w:rPr>
              <w:t>Base case</w:t>
            </w:r>
          </w:p>
        </w:tc>
        <w:tc>
          <w:tcPr>
            <w:tcW w:w="1260" w:type="dxa"/>
            <w:hideMark/>
          </w:tcPr>
          <w:p w14:paraId="082980A5" w14:textId="77777777" w:rsidR="00C47F0C" w:rsidRPr="00CE6915" w:rsidRDefault="00C47F0C" w:rsidP="002D1C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color w:val="000000"/>
              </w:rPr>
            </w:pPr>
            <w:r w:rsidRPr="00CE6915">
              <w:rPr>
                <w:rFonts w:ascii="Times New Roman" w:hAnsi="Times New Roman" w:cs="Times New Roman"/>
                <w:i/>
                <w:color w:val="000000"/>
              </w:rPr>
              <w:t>Lower limit</w:t>
            </w:r>
          </w:p>
        </w:tc>
        <w:tc>
          <w:tcPr>
            <w:tcW w:w="1260" w:type="dxa"/>
            <w:hideMark/>
          </w:tcPr>
          <w:p w14:paraId="3B38EEEB" w14:textId="77777777" w:rsidR="00C47F0C" w:rsidRPr="00CE6915" w:rsidRDefault="00C47F0C" w:rsidP="002D1C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color w:val="000000"/>
              </w:rPr>
            </w:pPr>
            <w:r w:rsidRPr="00CE6915">
              <w:rPr>
                <w:rFonts w:ascii="Times New Roman" w:hAnsi="Times New Roman" w:cs="Times New Roman"/>
                <w:i/>
                <w:color w:val="000000"/>
              </w:rPr>
              <w:t>Upper limit</w:t>
            </w:r>
          </w:p>
        </w:tc>
        <w:tc>
          <w:tcPr>
            <w:tcW w:w="1170" w:type="dxa"/>
            <w:hideMark/>
          </w:tcPr>
          <w:p w14:paraId="123270F6" w14:textId="77777777" w:rsidR="00C47F0C" w:rsidRPr="00CE6915" w:rsidRDefault="00C47F0C" w:rsidP="002D1C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color w:val="000000"/>
              </w:rPr>
            </w:pPr>
            <w:r w:rsidRPr="00CE6915">
              <w:rPr>
                <w:rFonts w:ascii="Times New Roman" w:hAnsi="Times New Roman" w:cs="Times New Roman"/>
                <w:i/>
                <w:color w:val="000000"/>
              </w:rPr>
              <w:t>Base case</w:t>
            </w:r>
          </w:p>
        </w:tc>
        <w:tc>
          <w:tcPr>
            <w:tcW w:w="1260" w:type="dxa"/>
            <w:hideMark/>
          </w:tcPr>
          <w:p w14:paraId="34243AB3" w14:textId="77777777" w:rsidR="00C47F0C" w:rsidRPr="00CE6915" w:rsidRDefault="00C47F0C" w:rsidP="002D1C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color w:val="000000"/>
              </w:rPr>
            </w:pPr>
            <w:r w:rsidRPr="00CE6915">
              <w:rPr>
                <w:rFonts w:ascii="Times New Roman" w:hAnsi="Times New Roman" w:cs="Times New Roman"/>
                <w:i/>
                <w:color w:val="000000"/>
              </w:rPr>
              <w:t>Lower limit</w:t>
            </w:r>
          </w:p>
        </w:tc>
        <w:tc>
          <w:tcPr>
            <w:tcW w:w="1260" w:type="dxa"/>
            <w:hideMark/>
          </w:tcPr>
          <w:p w14:paraId="6CECBABE" w14:textId="77777777" w:rsidR="00C47F0C" w:rsidRPr="00CE6915" w:rsidRDefault="00C47F0C" w:rsidP="002D1C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color w:val="000000"/>
              </w:rPr>
            </w:pPr>
            <w:r w:rsidRPr="00CE6915">
              <w:rPr>
                <w:rFonts w:ascii="Times New Roman" w:hAnsi="Times New Roman" w:cs="Times New Roman"/>
                <w:i/>
                <w:color w:val="000000"/>
              </w:rPr>
              <w:t>Upper limit</w:t>
            </w:r>
          </w:p>
        </w:tc>
        <w:tc>
          <w:tcPr>
            <w:tcW w:w="1170" w:type="dxa"/>
            <w:hideMark/>
          </w:tcPr>
          <w:p w14:paraId="50C5036F" w14:textId="77777777" w:rsidR="00C47F0C" w:rsidRPr="00CE6915" w:rsidRDefault="00C47F0C" w:rsidP="002D1C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color w:val="000000"/>
              </w:rPr>
            </w:pPr>
            <w:r w:rsidRPr="00CE6915">
              <w:rPr>
                <w:rFonts w:ascii="Times New Roman" w:hAnsi="Times New Roman" w:cs="Times New Roman"/>
                <w:i/>
                <w:color w:val="000000"/>
              </w:rPr>
              <w:t>Base case</w:t>
            </w:r>
          </w:p>
        </w:tc>
        <w:tc>
          <w:tcPr>
            <w:tcW w:w="1255" w:type="dxa"/>
            <w:hideMark/>
          </w:tcPr>
          <w:p w14:paraId="31218F45" w14:textId="77777777" w:rsidR="00C47F0C" w:rsidRPr="00CE6915" w:rsidRDefault="00C47F0C" w:rsidP="002D1C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color w:val="000000"/>
              </w:rPr>
            </w:pPr>
            <w:r w:rsidRPr="00CE6915">
              <w:rPr>
                <w:rFonts w:ascii="Times New Roman" w:hAnsi="Times New Roman" w:cs="Times New Roman"/>
                <w:i/>
                <w:color w:val="000000"/>
              </w:rPr>
              <w:t>Lower limit</w:t>
            </w:r>
          </w:p>
        </w:tc>
        <w:tc>
          <w:tcPr>
            <w:tcW w:w="1170" w:type="dxa"/>
            <w:hideMark/>
          </w:tcPr>
          <w:p w14:paraId="6F820AA7" w14:textId="77777777" w:rsidR="00C47F0C" w:rsidRPr="00CE6915" w:rsidRDefault="00C47F0C" w:rsidP="002D1C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color w:val="000000"/>
              </w:rPr>
            </w:pPr>
            <w:r w:rsidRPr="00CE6915">
              <w:rPr>
                <w:rFonts w:ascii="Times New Roman" w:hAnsi="Times New Roman" w:cs="Times New Roman"/>
                <w:i/>
                <w:color w:val="000000"/>
              </w:rPr>
              <w:t>Upper limit</w:t>
            </w:r>
          </w:p>
        </w:tc>
      </w:tr>
      <w:tr w:rsidR="00B868C5" w:rsidRPr="00CE6915" w14:paraId="29A687ED" w14:textId="77777777" w:rsidTr="00B868C5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5" w:type="dxa"/>
            <w:noWrap/>
            <w:hideMark/>
          </w:tcPr>
          <w:p w14:paraId="2FE181EC" w14:textId="77777777" w:rsidR="00B868C5" w:rsidRPr="00CE6915" w:rsidRDefault="00B868C5" w:rsidP="00B868C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6915"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1235" w:type="dxa"/>
          </w:tcPr>
          <w:p w14:paraId="7941F94C" w14:textId="4BB3B075" w:rsidR="00B868C5" w:rsidRPr="00CE6915" w:rsidRDefault="00B868C5" w:rsidP="00B868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CE6915">
              <w:rPr>
                <w:rFonts w:ascii="Times New Roman" w:hAnsi="Times New Roman" w:cs="Times New Roman"/>
                <w:color w:val="000000"/>
              </w:rPr>
              <w:t>54,806</w:t>
            </w:r>
          </w:p>
        </w:tc>
        <w:tc>
          <w:tcPr>
            <w:tcW w:w="1260" w:type="dxa"/>
            <w:noWrap/>
          </w:tcPr>
          <w:p w14:paraId="7305CC25" w14:textId="7C5E3D0B" w:rsidR="00B868C5" w:rsidRPr="00CE6915" w:rsidRDefault="00B868C5" w:rsidP="00B868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CE6915">
              <w:rPr>
                <w:rFonts w:ascii="Times New Roman" w:hAnsi="Times New Roman" w:cs="Times New Roman"/>
                <w:color w:val="000000"/>
              </w:rPr>
              <w:t>14,296</w:t>
            </w:r>
          </w:p>
        </w:tc>
        <w:tc>
          <w:tcPr>
            <w:tcW w:w="1260" w:type="dxa"/>
          </w:tcPr>
          <w:p w14:paraId="4075AB3E" w14:textId="4658D2F2" w:rsidR="00B868C5" w:rsidRPr="00CE6915" w:rsidRDefault="00B868C5" w:rsidP="00B868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CE6915">
              <w:rPr>
                <w:rFonts w:ascii="Times New Roman" w:hAnsi="Times New Roman" w:cs="Times New Roman"/>
                <w:color w:val="000000"/>
              </w:rPr>
              <w:t>95,315</w:t>
            </w:r>
          </w:p>
        </w:tc>
        <w:tc>
          <w:tcPr>
            <w:tcW w:w="1170" w:type="dxa"/>
            <w:noWrap/>
          </w:tcPr>
          <w:p w14:paraId="7D37307A" w14:textId="76C0D814" w:rsidR="00B868C5" w:rsidRPr="00CE6915" w:rsidRDefault="00B868C5" w:rsidP="00B868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CE6915">
              <w:rPr>
                <w:rFonts w:ascii="Times New Roman" w:hAnsi="Times New Roman" w:cs="Times New Roman"/>
                <w:color w:val="000000"/>
              </w:rPr>
              <w:t>274,114</w:t>
            </w:r>
          </w:p>
        </w:tc>
        <w:tc>
          <w:tcPr>
            <w:tcW w:w="1260" w:type="dxa"/>
            <w:noWrap/>
          </w:tcPr>
          <w:p w14:paraId="494BB90C" w14:textId="6E71ADCE" w:rsidR="00B868C5" w:rsidRPr="00CE6915" w:rsidRDefault="00B868C5" w:rsidP="00B868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CE6915">
              <w:rPr>
                <w:rFonts w:ascii="Times New Roman" w:hAnsi="Times New Roman" w:cs="Times New Roman"/>
                <w:color w:val="000000"/>
              </w:rPr>
              <w:t>22,267</w:t>
            </w:r>
          </w:p>
        </w:tc>
        <w:tc>
          <w:tcPr>
            <w:tcW w:w="1260" w:type="dxa"/>
            <w:noWrap/>
          </w:tcPr>
          <w:p w14:paraId="7906DD98" w14:textId="1A259A5F" w:rsidR="00B868C5" w:rsidRPr="00CE6915" w:rsidRDefault="00B868C5" w:rsidP="00B868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CE6915">
              <w:rPr>
                <w:rFonts w:ascii="Times New Roman" w:hAnsi="Times New Roman" w:cs="Times New Roman"/>
                <w:color w:val="000000"/>
              </w:rPr>
              <w:t>525,962</w:t>
            </w:r>
          </w:p>
        </w:tc>
        <w:tc>
          <w:tcPr>
            <w:tcW w:w="1170" w:type="dxa"/>
            <w:noWrap/>
          </w:tcPr>
          <w:p w14:paraId="17700110" w14:textId="0D903DDA" w:rsidR="00B868C5" w:rsidRPr="00CE6915" w:rsidRDefault="00B868C5" w:rsidP="00B868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CE6915">
              <w:rPr>
                <w:rFonts w:ascii="Times New Roman" w:hAnsi="Times New Roman" w:cs="Times New Roman"/>
                <w:color w:val="000000"/>
              </w:rPr>
              <w:t>52,410</w:t>
            </w:r>
          </w:p>
        </w:tc>
        <w:tc>
          <w:tcPr>
            <w:tcW w:w="1255" w:type="dxa"/>
          </w:tcPr>
          <w:p w14:paraId="3EE58B91" w14:textId="68AE946D" w:rsidR="00B868C5" w:rsidRPr="00CE6915" w:rsidRDefault="00B868C5" w:rsidP="00B868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CE6915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70" w:type="dxa"/>
            <w:noWrap/>
          </w:tcPr>
          <w:p w14:paraId="072821D4" w14:textId="0C811409" w:rsidR="00B868C5" w:rsidRPr="00CE6915" w:rsidRDefault="00B868C5" w:rsidP="00B868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CE6915">
              <w:rPr>
                <w:rFonts w:ascii="Times New Roman" w:hAnsi="Times New Roman" w:cs="Times New Roman"/>
                <w:color w:val="000000"/>
              </w:rPr>
              <w:t>167,764</w:t>
            </w:r>
          </w:p>
        </w:tc>
      </w:tr>
      <w:tr w:rsidR="00B868C5" w:rsidRPr="00CE6915" w14:paraId="32CCD269" w14:textId="77777777" w:rsidTr="00B868C5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5" w:type="dxa"/>
            <w:noWrap/>
            <w:hideMark/>
          </w:tcPr>
          <w:p w14:paraId="74B954A1" w14:textId="77777777" w:rsidR="00B868C5" w:rsidRPr="00CE6915" w:rsidRDefault="00B868C5" w:rsidP="00B868C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6915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1235" w:type="dxa"/>
          </w:tcPr>
          <w:p w14:paraId="04F093E9" w14:textId="60BA8B61" w:rsidR="00B868C5" w:rsidRPr="00CE6915" w:rsidRDefault="00B868C5" w:rsidP="00B868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CE6915">
              <w:rPr>
                <w:rFonts w:ascii="Times New Roman" w:hAnsi="Times New Roman" w:cs="Times New Roman"/>
                <w:color w:val="000000"/>
              </w:rPr>
              <w:t>40,559</w:t>
            </w:r>
          </w:p>
        </w:tc>
        <w:tc>
          <w:tcPr>
            <w:tcW w:w="1260" w:type="dxa"/>
            <w:noWrap/>
          </w:tcPr>
          <w:p w14:paraId="1C670905" w14:textId="58A162CE" w:rsidR="00B868C5" w:rsidRPr="00CE6915" w:rsidRDefault="00B868C5" w:rsidP="00B868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CE6915">
              <w:rPr>
                <w:rFonts w:ascii="Times New Roman" w:hAnsi="Times New Roman" w:cs="Times New Roman"/>
                <w:color w:val="000000"/>
              </w:rPr>
              <w:t>21,965</w:t>
            </w:r>
          </w:p>
        </w:tc>
        <w:tc>
          <w:tcPr>
            <w:tcW w:w="1260" w:type="dxa"/>
          </w:tcPr>
          <w:p w14:paraId="37D1C136" w14:textId="42587152" w:rsidR="00B868C5" w:rsidRPr="00CE6915" w:rsidRDefault="00B868C5" w:rsidP="00B868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CE6915">
              <w:rPr>
                <w:rFonts w:ascii="Times New Roman" w:hAnsi="Times New Roman" w:cs="Times New Roman"/>
                <w:color w:val="000000"/>
              </w:rPr>
              <w:t>59,152</w:t>
            </w:r>
          </w:p>
        </w:tc>
        <w:tc>
          <w:tcPr>
            <w:tcW w:w="1170" w:type="dxa"/>
            <w:noWrap/>
          </w:tcPr>
          <w:p w14:paraId="04EDF788" w14:textId="5F2E78AA" w:rsidR="00B868C5" w:rsidRPr="00CE6915" w:rsidRDefault="00B868C5" w:rsidP="00B868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CE6915">
              <w:rPr>
                <w:rFonts w:ascii="Times New Roman" w:hAnsi="Times New Roman" w:cs="Times New Roman"/>
                <w:color w:val="000000"/>
              </w:rPr>
              <w:t>671,371</w:t>
            </w:r>
          </w:p>
        </w:tc>
        <w:tc>
          <w:tcPr>
            <w:tcW w:w="1260" w:type="dxa"/>
            <w:noWrap/>
          </w:tcPr>
          <w:p w14:paraId="383DD7C0" w14:textId="2F9FDC98" w:rsidR="00B868C5" w:rsidRPr="00CE6915" w:rsidRDefault="00B868C5" w:rsidP="00B868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CE6915">
              <w:rPr>
                <w:rFonts w:ascii="Times New Roman" w:hAnsi="Times New Roman" w:cs="Times New Roman"/>
                <w:color w:val="000000"/>
              </w:rPr>
              <w:t>440,732</w:t>
            </w:r>
          </w:p>
        </w:tc>
        <w:tc>
          <w:tcPr>
            <w:tcW w:w="1260" w:type="dxa"/>
            <w:noWrap/>
          </w:tcPr>
          <w:p w14:paraId="378AB532" w14:textId="22DE81E5" w:rsidR="00B868C5" w:rsidRPr="00CE6915" w:rsidRDefault="00B868C5" w:rsidP="00B868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CE6915">
              <w:rPr>
                <w:rFonts w:ascii="Times New Roman" w:hAnsi="Times New Roman" w:cs="Times New Roman"/>
                <w:color w:val="000000"/>
              </w:rPr>
              <w:t>902,011</w:t>
            </w:r>
          </w:p>
        </w:tc>
        <w:tc>
          <w:tcPr>
            <w:tcW w:w="1170" w:type="dxa"/>
            <w:noWrap/>
          </w:tcPr>
          <w:p w14:paraId="5F560DD6" w14:textId="71A18D23" w:rsidR="00B868C5" w:rsidRPr="00CE6915" w:rsidRDefault="00B868C5" w:rsidP="00B868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CE6915">
              <w:rPr>
                <w:rFonts w:ascii="Times New Roman" w:hAnsi="Times New Roman" w:cs="Times New Roman"/>
                <w:color w:val="000000"/>
              </w:rPr>
              <w:t>17,753</w:t>
            </w:r>
          </w:p>
        </w:tc>
        <w:tc>
          <w:tcPr>
            <w:tcW w:w="1255" w:type="dxa"/>
          </w:tcPr>
          <w:p w14:paraId="035DC04F" w14:textId="4EEA491A" w:rsidR="00B868C5" w:rsidRPr="00CE6915" w:rsidRDefault="00B868C5" w:rsidP="00B868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CE6915">
              <w:rPr>
                <w:rFonts w:ascii="Times New Roman" w:hAnsi="Times New Roman" w:cs="Times New Roman"/>
                <w:color w:val="000000"/>
              </w:rPr>
              <w:t>4,882</w:t>
            </w:r>
          </w:p>
        </w:tc>
        <w:tc>
          <w:tcPr>
            <w:tcW w:w="1170" w:type="dxa"/>
            <w:noWrap/>
          </w:tcPr>
          <w:p w14:paraId="3EA749F3" w14:textId="0D034E41" w:rsidR="00B868C5" w:rsidRPr="00CE6915" w:rsidRDefault="00B868C5" w:rsidP="00B868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CE6915">
              <w:rPr>
                <w:rFonts w:ascii="Times New Roman" w:hAnsi="Times New Roman" w:cs="Times New Roman"/>
                <w:color w:val="000000"/>
              </w:rPr>
              <w:t>30,624</w:t>
            </w:r>
          </w:p>
        </w:tc>
      </w:tr>
      <w:tr w:rsidR="00B868C5" w:rsidRPr="00CE6915" w14:paraId="5BE93F0B" w14:textId="77777777" w:rsidTr="00B868C5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5" w:type="dxa"/>
            <w:noWrap/>
            <w:hideMark/>
          </w:tcPr>
          <w:p w14:paraId="76B0C588" w14:textId="77777777" w:rsidR="00B868C5" w:rsidRPr="00CE6915" w:rsidRDefault="00B868C5" w:rsidP="00B868C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6915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1235" w:type="dxa"/>
          </w:tcPr>
          <w:p w14:paraId="7696E5DE" w14:textId="693D37B9" w:rsidR="00B868C5" w:rsidRPr="00CE6915" w:rsidRDefault="00B868C5" w:rsidP="00B868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CE6915">
              <w:rPr>
                <w:rFonts w:ascii="Times New Roman" w:hAnsi="Times New Roman" w:cs="Times New Roman"/>
                <w:color w:val="000000"/>
              </w:rPr>
              <w:t>44,678</w:t>
            </w:r>
          </w:p>
        </w:tc>
        <w:tc>
          <w:tcPr>
            <w:tcW w:w="1260" w:type="dxa"/>
            <w:noWrap/>
          </w:tcPr>
          <w:p w14:paraId="15FD7268" w14:textId="560033A0" w:rsidR="00B868C5" w:rsidRPr="00CE6915" w:rsidRDefault="00B868C5" w:rsidP="00B868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CE6915">
              <w:rPr>
                <w:rFonts w:ascii="Times New Roman" w:hAnsi="Times New Roman" w:cs="Times New Roman"/>
                <w:color w:val="000000"/>
              </w:rPr>
              <w:t>31,509</w:t>
            </w:r>
          </w:p>
        </w:tc>
        <w:tc>
          <w:tcPr>
            <w:tcW w:w="1260" w:type="dxa"/>
          </w:tcPr>
          <w:p w14:paraId="371AC3E4" w14:textId="60C95CFC" w:rsidR="00B868C5" w:rsidRPr="00CE6915" w:rsidRDefault="00B868C5" w:rsidP="00B868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CE6915">
              <w:rPr>
                <w:rFonts w:ascii="Times New Roman" w:hAnsi="Times New Roman" w:cs="Times New Roman"/>
                <w:color w:val="000000"/>
              </w:rPr>
              <w:t>57,848</w:t>
            </w:r>
          </w:p>
        </w:tc>
        <w:tc>
          <w:tcPr>
            <w:tcW w:w="1170" w:type="dxa"/>
            <w:noWrap/>
          </w:tcPr>
          <w:p w14:paraId="18D9DFF1" w14:textId="14D80646" w:rsidR="00B868C5" w:rsidRPr="00CE6915" w:rsidRDefault="00B868C5" w:rsidP="00B868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CE6915">
              <w:rPr>
                <w:rFonts w:ascii="Times New Roman" w:hAnsi="Times New Roman" w:cs="Times New Roman"/>
                <w:color w:val="000000"/>
              </w:rPr>
              <w:t>381,852</w:t>
            </w:r>
          </w:p>
        </w:tc>
        <w:tc>
          <w:tcPr>
            <w:tcW w:w="1260" w:type="dxa"/>
            <w:noWrap/>
          </w:tcPr>
          <w:p w14:paraId="7970D96B" w14:textId="4D29FD64" w:rsidR="00B868C5" w:rsidRPr="00CE6915" w:rsidRDefault="00B868C5" w:rsidP="00B868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CE6915">
              <w:rPr>
                <w:rFonts w:ascii="Times New Roman" w:hAnsi="Times New Roman" w:cs="Times New Roman"/>
                <w:color w:val="000000"/>
              </w:rPr>
              <w:t>275,578</w:t>
            </w:r>
          </w:p>
        </w:tc>
        <w:tc>
          <w:tcPr>
            <w:tcW w:w="1260" w:type="dxa"/>
            <w:noWrap/>
          </w:tcPr>
          <w:p w14:paraId="7951D8E6" w14:textId="5EEABEF1" w:rsidR="00B868C5" w:rsidRPr="00CE6915" w:rsidRDefault="00B868C5" w:rsidP="00B868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CE6915">
              <w:rPr>
                <w:rFonts w:ascii="Times New Roman" w:hAnsi="Times New Roman" w:cs="Times New Roman"/>
                <w:color w:val="000000"/>
              </w:rPr>
              <w:t>488,126</w:t>
            </w:r>
          </w:p>
        </w:tc>
        <w:tc>
          <w:tcPr>
            <w:tcW w:w="1170" w:type="dxa"/>
            <w:noWrap/>
          </w:tcPr>
          <w:p w14:paraId="53FAF9A6" w14:textId="5DB079B7" w:rsidR="00B868C5" w:rsidRPr="00CE6915" w:rsidRDefault="00B868C5" w:rsidP="00B868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CE6915">
              <w:rPr>
                <w:rFonts w:ascii="Times New Roman" w:hAnsi="Times New Roman" w:cs="Times New Roman"/>
                <w:color w:val="000000"/>
              </w:rPr>
              <w:t>4,934</w:t>
            </w:r>
          </w:p>
        </w:tc>
        <w:tc>
          <w:tcPr>
            <w:tcW w:w="1255" w:type="dxa"/>
            <w:noWrap/>
          </w:tcPr>
          <w:p w14:paraId="5E482627" w14:textId="52DDC4FD" w:rsidR="00B868C5" w:rsidRPr="00CE6915" w:rsidRDefault="00B868C5" w:rsidP="00B868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CE6915">
              <w:rPr>
                <w:rFonts w:ascii="Times New Roman" w:hAnsi="Times New Roman" w:cs="Times New Roman"/>
                <w:color w:val="000000"/>
              </w:rPr>
              <w:t>414</w:t>
            </w:r>
          </w:p>
        </w:tc>
        <w:tc>
          <w:tcPr>
            <w:tcW w:w="1170" w:type="dxa"/>
            <w:noWrap/>
          </w:tcPr>
          <w:p w14:paraId="10EC7FA3" w14:textId="20DB12A7" w:rsidR="00B868C5" w:rsidRPr="00CE6915" w:rsidRDefault="00B868C5" w:rsidP="00B868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CE6915">
              <w:rPr>
                <w:rFonts w:ascii="Times New Roman" w:hAnsi="Times New Roman" w:cs="Times New Roman"/>
                <w:color w:val="000000"/>
              </w:rPr>
              <w:t>9,454</w:t>
            </w:r>
          </w:p>
        </w:tc>
      </w:tr>
      <w:tr w:rsidR="00B868C5" w:rsidRPr="00CE6915" w14:paraId="3384D71C" w14:textId="77777777" w:rsidTr="00B868C5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5" w:type="dxa"/>
            <w:noWrap/>
            <w:hideMark/>
          </w:tcPr>
          <w:p w14:paraId="1E2476FE" w14:textId="77777777" w:rsidR="00B868C5" w:rsidRPr="00CE6915" w:rsidRDefault="00B868C5" w:rsidP="00B868C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6915"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1235" w:type="dxa"/>
          </w:tcPr>
          <w:p w14:paraId="77F5BA9F" w14:textId="5CE41607" w:rsidR="00B868C5" w:rsidRPr="00CE6915" w:rsidRDefault="00B868C5" w:rsidP="00B868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CE6915">
              <w:rPr>
                <w:rFonts w:ascii="Times New Roman" w:hAnsi="Times New Roman" w:cs="Times New Roman"/>
                <w:color w:val="000000"/>
              </w:rPr>
              <w:t>52,187</w:t>
            </w:r>
          </w:p>
        </w:tc>
        <w:tc>
          <w:tcPr>
            <w:tcW w:w="1260" w:type="dxa"/>
            <w:noWrap/>
          </w:tcPr>
          <w:p w14:paraId="2905697D" w14:textId="280123EA" w:rsidR="00B868C5" w:rsidRPr="00CE6915" w:rsidRDefault="00B868C5" w:rsidP="00B868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CE6915">
              <w:rPr>
                <w:rFonts w:ascii="Times New Roman" w:hAnsi="Times New Roman" w:cs="Times New Roman"/>
                <w:color w:val="000000"/>
              </w:rPr>
              <w:t>21,186</w:t>
            </w:r>
          </w:p>
        </w:tc>
        <w:tc>
          <w:tcPr>
            <w:tcW w:w="1260" w:type="dxa"/>
          </w:tcPr>
          <w:p w14:paraId="4FACA079" w14:textId="4ECB7EDB" w:rsidR="00B868C5" w:rsidRPr="00CE6915" w:rsidRDefault="00B868C5" w:rsidP="00B868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CE6915">
              <w:rPr>
                <w:rFonts w:ascii="Times New Roman" w:hAnsi="Times New Roman" w:cs="Times New Roman"/>
                <w:color w:val="000000"/>
              </w:rPr>
              <w:t>83,188</w:t>
            </w:r>
          </w:p>
        </w:tc>
        <w:tc>
          <w:tcPr>
            <w:tcW w:w="1170" w:type="dxa"/>
            <w:noWrap/>
          </w:tcPr>
          <w:p w14:paraId="2C952769" w14:textId="3E757037" w:rsidR="00B868C5" w:rsidRPr="00CE6915" w:rsidRDefault="00B868C5" w:rsidP="00B868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CE6915">
              <w:rPr>
                <w:rFonts w:ascii="Times New Roman" w:hAnsi="Times New Roman" w:cs="Times New Roman"/>
                <w:color w:val="000000"/>
              </w:rPr>
              <w:t>645,687</w:t>
            </w:r>
          </w:p>
        </w:tc>
        <w:tc>
          <w:tcPr>
            <w:tcW w:w="1260" w:type="dxa"/>
            <w:noWrap/>
          </w:tcPr>
          <w:p w14:paraId="7115BEBC" w14:textId="6EAC06AE" w:rsidR="00B868C5" w:rsidRPr="00CE6915" w:rsidRDefault="00B868C5" w:rsidP="00B868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CE6915">
              <w:rPr>
                <w:rFonts w:ascii="Times New Roman" w:hAnsi="Times New Roman" w:cs="Times New Roman"/>
                <w:color w:val="000000"/>
              </w:rPr>
              <w:t>473,004</w:t>
            </w:r>
          </w:p>
        </w:tc>
        <w:tc>
          <w:tcPr>
            <w:tcW w:w="1260" w:type="dxa"/>
            <w:noWrap/>
          </w:tcPr>
          <w:p w14:paraId="6A431919" w14:textId="588926F6" w:rsidR="00B868C5" w:rsidRPr="00CE6915" w:rsidRDefault="00B868C5" w:rsidP="00B868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CE6915">
              <w:rPr>
                <w:rFonts w:ascii="Times New Roman" w:hAnsi="Times New Roman" w:cs="Times New Roman"/>
                <w:color w:val="000000"/>
              </w:rPr>
              <w:t>818,371</w:t>
            </w:r>
          </w:p>
        </w:tc>
        <w:tc>
          <w:tcPr>
            <w:tcW w:w="1170" w:type="dxa"/>
            <w:noWrap/>
          </w:tcPr>
          <w:p w14:paraId="2B26B604" w14:textId="563A4103" w:rsidR="00B868C5" w:rsidRPr="00CE6915" w:rsidRDefault="00B868C5" w:rsidP="00B868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CE6915">
              <w:rPr>
                <w:rFonts w:ascii="Times New Roman" w:hAnsi="Times New Roman" w:cs="Times New Roman"/>
                <w:color w:val="000000"/>
              </w:rPr>
              <w:t>25,789</w:t>
            </w:r>
          </w:p>
        </w:tc>
        <w:tc>
          <w:tcPr>
            <w:tcW w:w="1255" w:type="dxa"/>
            <w:noWrap/>
          </w:tcPr>
          <w:p w14:paraId="07217A71" w14:textId="0F6743FF" w:rsidR="00B868C5" w:rsidRPr="00CE6915" w:rsidRDefault="00B868C5" w:rsidP="00B868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CE6915">
              <w:rPr>
                <w:rFonts w:ascii="Times New Roman" w:hAnsi="Times New Roman" w:cs="Times New Roman"/>
                <w:color w:val="000000"/>
              </w:rPr>
              <w:t>9,966</w:t>
            </w:r>
          </w:p>
        </w:tc>
        <w:tc>
          <w:tcPr>
            <w:tcW w:w="1170" w:type="dxa"/>
            <w:noWrap/>
          </w:tcPr>
          <w:p w14:paraId="2A63035D" w14:textId="07A85160" w:rsidR="00B868C5" w:rsidRPr="00CE6915" w:rsidRDefault="00B868C5" w:rsidP="00B868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CE6915">
              <w:rPr>
                <w:rFonts w:ascii="Times New Roman" w:hAnsi="Times New Roman" w:cs="Times New Roman"/>
                <w:color w:val="000000"/>
              </w:rPr>
              <w:t>41,612</w:t>
            </w:r>
          </w:p>
        </w:tc>
      </w:tr>
      <w:tr w:rsidR="00B868C5" w:rsidRPr="00CE6915" w14:paraId="5DA6132E" w14:textId="77777777" w:rsidTr="00B868C5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5" w:type="dxa"/>
            <w:noWrap/>
            <w:hideMark/>
          </w:tcPr>
          <w:p w14:paraId="0A3D1C3A" w14:textId="77777777" w:rsidR="00B868C5" w:rsidRPr="00CE6915" w:rsidRDefault="00B868C5" w:rsidP="00B868C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6915"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1235" w:type="dxa"/>
          </w:tcPr>
          <w:p w14:paraId="65708262" w14:textId="3D06D09E" w:rsidR="00B868C5" w:rsidRPr="00CE6915" w:rsidRDefault="00B868C5" w:rsidP="00B868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CE6915">
              <w:rPr>
                <w:rFonts w:ascii="Times New Roman" w:hAnsi="Times New Roman" w:cs="Times New Roman"/>
                <w:color w:val="000000"/>
              </w:rPr>
              <w:t>55,267</w:t>
            </w:r>
          </w:p>
        </w:tc>
        <w:tc>
          <w:tcPr>
            <w:tcW w:w="1260" w:type="dxa"/>
            <w:noWrap/>
          </w:tcPr>
          <w:p w14:paraId="2846D4FA" w14:textId="6FCE6FE5" w:rsidR="00B868C5" w:rsidRPr="00CE6915" w:rsidRDefault="00B868C5" w:rsidP="00B868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CE6915">
              <w:rPr>
                <w:rFonts w:ascii="Times New Roman" w:hAnsi="Times New Roman" w:cs="Times New Roman"/>
                <w:color w:val="000000"/>
              </w:rPr>
              <w:t>36,539</w:t>
            </w:r>
          </w:p>
        </w:tc>
        <w:tc>
          <w:tcPr>
            <w:tcW w:w="1260" w:type="dxa"/>
          </w:tcPr>
          <w:p w14:paraId="40653976" w14:textId="5DA7AA50" w:rsidR="00B868C5" w:rsidRPr="00CE6915" w:rsidRDefault="00B868C5" w:rsidP="00B868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CE6915">
              <w:rPr>
                <w:rFonts w:ascii="Times New Roman" w:hAnsi="Times New Roman" w:cs="Times New Roman"/>
                <w:color w:val="000000"/>
              </w:rPr>
              <w:t>73,996</w:t>
            </w:r>
          </w:p>
        </w:tc>
        <w:tc>
          <w:tcPr>
            <w:tcW w:w="1170" w:type="dxa"/>
            <w:noWrap/>
          </w:tcPr>
          <w:p w14:paraId="065A3804" w14:textId="3A5EBE14" w:rsidR="00B868C5" w:rsidRPr="00CE6915" w:rsidRDefault="00B868C5" w:rsidP="00B868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CE6915">
              <w:rPr>
                <w:rFonts w:ascii="Times New Roman" w:hAnsi="Times New Roman" w:cs="Times New Roman"/>
                <w:color w:val="000000"/>
              </w:rPr>
              <w:t>447,108</w:t>
            </w:r>
          </w:p>
        </w:tc>
        <w:tc>
          <w:tcPr>
            <w:tcW w:w="1260" w:type="dxa"/>
            <w:noWrap/>
          </w:tcPr>
          <w:p w14:paraId="4E23A441" w14:textId="20A89EFC" w:rsidR="00B868C5" w:rsidRPr="00CE6915" w:rsidRDefault="00B868C5" w:rsidP="00B868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CE6915">
              <w:rPr>
                <w:rFonts w:ascii="Times New Roman" w:hAnsi="Times New Roman" w:cs="Times New Roman"/>
                <w:color w:val="000000"/>
              </w:rPr>
              <w:t>300,441</w:t>
            </w:r>
          </w:p>
        </w:tc>
        <w:tc>
          <w:tcPr>
            <w:tcW w:w="1260" w:type="dxa"/>
            <w:noWrap/>
          </w:tcPr>
          <w:p w14:paraId="4861314C" w14:textId="7FE7E76F" w:rsidR="00B868C5" w:rsidRPr="00CE6915" w:rsidRDefault="00B868C5" w:rsidP="00B868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CE6915">
              <w:rPr>
                <w:rFonts w:ascii="Times New Roman" w:hAnsi="Times New Roman" w:cs="Times New Roman"/>
                <w:color w:val="000000"/>
              </w:rPr>
              <w:t>593,776</w:t>
            </w:r>
          </w:p>
        </w:tc>
        <w:tc>
          <w:tcPr>
            <w:tcW w:w="1170" w:type="dxa"/>
            <w:noWrap/>
          </w:tcPr>
          <w:p w14:paraId="53AD08B9" w14:textId="13DD00A3" w:rsidR="00B868C5" w:rsidRPr="00CE6915" w:rsidRDefault="00B868C5" w:rsidP="00B868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CE6915">
              <w:rPr>
                <w:rFonts w:ascii="Times New Roman" w:hAnsi="Times New Roman" w:cs="Times New Roman"/>
                <w:color w:val="000000"/>
              </w:rPr>
              <w:t>10,676</w:t>
            </w:r>
          </w:p>
        </w:tc>
        <w:tc>
          <w:tcPr>
            <w:tcW w:w="1255" w:type="dxa"/>
            <w:noWrap/>
          </w:tcPr>
          <w:p w14:paraId="3034926D" w14:textId="5F468B24" w:rsidR="00B868C5" w:rsidRPr="00CE6915" w:rsidRDefault="00B868C5" w:rsidP="00B868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CE6915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70" w:type="dxa"/>
            <w:noWrap/>
          </w:tcPr>
          <w:p w14:paraId="6BE224AE" w14:textId="3054D7EB" w:rsidR="00B868C5" w:rsidRPr="00CE6915" w:rsidRDefault="00B868C5" w:rsidP="00B868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CE6915">
              <w:rPr>
                <w:rFonts w:ascii="Times New Roman" w:hAnsi="Times New Roman" w:cs="Times New Roman"/>
                <w:color w:val="000000"/>
              </w:rPr>
              <w:t>24,853</w:t>
            </w:r>
          </w:p>
        </w:tc>
      </w:tr>
      <w:tr w:rsidR="00B868C5" w:rsidRPr="00CE6915" w14:paraId="542CD904" w14:textId="77777777" w:rsidTr="00B868C5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5" w:type="dxa"/>
            <w:noWrap/>
            <w:hideMark/>
          </w:tcPr>
          <w:p w14:paraId="473AC22C" w14:textId="77777777" w:rsidR="00B868C5" w:rsidRPr="00CE6915" w:rsidRDefault="00B868C5" w:rsidP="00B868C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6915"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1235" w:type="dxa"/>
          </w:tcPr>
          <w:p w14:paraId="3437F27E" w14:textId="060088D1" w:rsidR="00B868C5" w:rsidRPr="00CE6915" w:rsidRDefault="00B868C5" w:rsidP="00B868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CE6915">
              <w:rPr>
                <w:rFonts w:ascii="Times New Roman" w:hAnsi="Times New Roman" w:cs="Times New Roman"/>
                <w:color w:val="000000"/>
              </w:rPr>
              <w:t>42,709</w:t>
            </w:r>
          </w:p>
        </w:tc>
        <w:tc>
          <w:tcPr>
            <w:tcW w:w="1260" w:type="dxa"/>
            <w:noWrap/>
          </w:tcPr>
          <w:p w14:paraId="615EA3D0" w14:textId="043D9E4D" w:rsidR="00B868C5" w:rsidRPr="00CE6915" w:rsidRDefault="00B868C5" w:rsidP="00B868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CE6915">
              <w:rPr>
                <w:rFonts w:ascii="Times New Roman" w:hAnsi="Times New Roman" w:cs="Times New Roman"/>
                <w:color w:val="000000"/>
              </w:rPr>
              <w:t>30,756</w:t>
            </w:r>
          </w:p>
        </w:tc>
        <w:tc>
          <w:tcPr>
            <w:tcW w:w="1260" w:type="dxa"/>
          </w:tcPr>
          <w:p w14:paraId="06BF4CD1" w14:textId="4AEE9E47" w:rsidR="00B868C5" w:rsidRPr="00CE6915" w:rsidRDefault="00B868C5" w:rsidP="00B868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CE6915">
              <w:rPr>
                <w:rFonts w:ascii="Times New Roman" w:hAnsi="Times New Roman" w:cs="Times New Roman"/>
                <w:color w:val="000000"/>
              </w:rPr>
              <w:t>54,662</w:t>
            </w:r>
          </w:p>
        </w:tc>
        <w:tc>
          <w:tcPr>
            <w:tcW w:w="1170" w:type="dxa"/>
            <w:noWrap/>
          </w:tcPr>
          <w:p w14:paraId="73F290C4" w14:textId="5FAEE5C6" w:rsidR="00B868C5" w:rsidRPr="00CE6915" w:rsidRDefault="00B868C5" w:rsidP="00B868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CE6915">
              <w:rPr>
                <w:rFonts w:ascii="Times New Roman" w:hAnsi="Times New Roman" w:cs="Times New Roman"/>
                <w:color w:val="000000"/>
              </w:rPr>
              <w:t>289,745</w:t>
            </w:r>
          </w:p>
        </w:tc>
        <w:tc>
          <w:tcPr>
            <w:tcW w:w="1260" w:type="dxa"/>
            <w:noWrap/>
          </w:tcPr>
          <w:p w14:paraId="3BA89ACD" w14:textId="7EA68EDF" w:rsidR="00B868C5" w:rsidRPr="00CE6915" w:rsidRDefault="00B868C5" w:rsidP="00B868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CE6915">
              <w:rPr>
                <w:rFonts w:ascii="Times New Roman" w:hAnsi="Times New Roman" w:cs="Times New Roman"/>
                <w:color w:val="000000"/>
              </w:rPr>
              <w:t>222,120</w:t>
            </w:r>
          </w:p>
        </w:tc>
        <w:tc>
          <w:tcPr>
            <w:tcW w:w="1260" w:type="dxa"/>
            <w:noWrap/>
          </w:tcPr>
          <w:p w14:paraId="4E477E04" w14:textId="56C40376" w:rsidR="00B868C5" w:rsidRPr="00CE6915" w:rsidRDefault="00B868C5" w:rsidP="00B868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CE6915">
              <w:rPr>
                <w:rFonts w:ascii="Times New Roman" w:hAnsi="Times New Roman" w:cs="Times New Roman"/>
                <w:color w:val="000000"/>
              </w:rPr>
              <w:t>357,369</w:t>
            </w:r>
          </w:p>
        </w:tc>
        <w:tc>
          <w:tcPr>
            <w:tcW w:w="1170" w:type="dxa"/>
            <w:noWrap/>
          </w:tcPr>
          <w:p w14:paraId="27BA4D99" w14:textId="206E19F3" w:rsidR="00B868C5" w:rsidRPr="00CE6915" w:rsidRDefault="00B868C5" w:rsidP="00B868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CE6915">
              <w:rPr>
                <w:rFonts w:ascii="Times New Roman" w:hAnsi="Times New Roman" w:cs="Times New Roman"/>
                <w:color w:val="000000"/>
              </w:rPr>
              <w:t>7,541</w:t>
            </w:r>
          </w:p>
        </w:tc>
        <w:tc>
          <w:tcPr>
            <w:tcW w:w="1255" w:type="dxa"/>
            <w:noWrap/>
          </w:tcPr>
          <w:p w14:paraId="313FC0DF" w14:textId="41EC252B" w:rsidR="00B868C5" w:rsidRPr="00CE6915" w:rsidRDefault="00B868C5" w:rsidP="00B868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CE6915">
              <w:rPr>
                <w:rFonts w:ascii="Times New Roman" w:hAnsi="Times New Roman" w:cs="Times New Roman"/>
                <w:color w:val="000000"/>
              </w:rPr>
              <w:t>522</w:t>
            </w:r>
          </w:p>
        </w:tc>
        <w:tc>
          <w:tcPr>
            <w:tcW w:w="1170" w:type="dxa"/>
            <w:noWrap/>
          </w:tcPr>
          <w:p w14:paraId="75D70021" w14:textId="1B5AB173" w:rsidR="00B868C5" w:rsidRPr="00CE6915" w:rsidRDefault="00B868C5" w:rsidP="00B868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CE6915">
              <w:rPr>
                <w:rFonts w:ascii="Times New Roman" w:hAnsi="Times New Roman" w:cs="Times New Roman"/>
                <w:color w:val="000000"/>
              </w:rPr>
              <w:t>14,561</w:t>
            </w:r>
          </w:p>
        </w:tc>
      </w:tr>
      <w:tr w:rsidR="00B868C5" w:rsidRPr="00CE6915" w14:paraId="614705FC" w14:textId="77777777" w:rsidTr="00B868C5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5" w:type="dxa"/>
            <w:noWrap/>
            <w:hideMark/>
          </w:tcPr>
          <w:p w14:paraId="578E3F00" w14:textId="77777777" w:rsidR="00B868C5" w:rsidRPr="00CE6915" w:rsidRDefault="00B868C5" w:rsidP="00B868C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6915">
              <w:rPr>
                <w:rFonts w:ascii="Times New Roman" w:hAnsi="Times New Roman" w:cs="Times New Roman"/>
                <w:color w:val="000000"/>
              </w:rPr>
              <w:t>29</w:t>
            </w:r>
          </w:p>
        </w:tc>
        <w:tc>
          <w:tcPr>
            <w:tcW w:w="1235" w:type="dxa"/>
          </w:tcPr>
          <w:p w14:paraId="0713C6F5" w14:textId="178DC45E" w:rsidR="00B868C5" w:rsidRPr="00CE6915" w:rsidRDefault="00B868C5" w:rsidP="00B868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CE6915">
              <w:rPr>
                <w:rFonts w:ascii="Times New Roman" w:hAnsi="Times New Roman" w:cs="Times New Roman"/>
                <w:color w:val="000000"/>
              </w:rPr>
              <w:t>53,862</w:t>
            </w:r>
          </w:p>
        </w:tc>
        <w:tc>
          <w:tcPr>
            <w:tcW w:w="1260" w:type="dxa"/>
            <w:noWrap/>
          </w:tcPr>
          <w:p w14:paraId="1CC46452" w14:textId="3F3AED5F" w:rsidR="00B868C5" w:rsidRPr="00CE6915" w:rsidRDefault="00B868C5" w:rsidP="00B868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CE6915">
              <w:rPr>
                <w:rFonts w:ascii="Times New Roman" w:hAnsi="Times New Roman" w:cs="Times New Roman"/>
                <w:color w:val="000000"/>
              </w:rPr>
              <w:t>34,939</w:t>
            </w:r>
          </w:p>
        </w:tc>
        <w:tc>
          <w:tcPr>
            <w:tcW w:w="1260" w:type="dxa"/>
          </w:tcPr>
          <w:p w14:paraId="354963EC" w14:textId="52B13EB6" w:rsidR="00B868C5" w:rsidRPr="00CE6915" w:rsidRDefault="00B868C5" w:rsidP="00B868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CE6915">
              <w:rPr>
                <w:rFonts w:ascii="Times New Roman" w:hAnsi="Times New Roman" w:cs="Times New Roman"/>
                <w:color w:val="000000"/>
              </w:rPr>
              <w:t>72,785</w:t>
            </w:r>
          </w:p>
        </w:tc>
        <w:tc>
          <w:tcPr>
            <w:tcW w:w="1170" w:type="dxa"/>
            <w:noWrap/>
          </w:tcPr>
          <w:p w14:paraId="5B8B2F2C" w14:textId="53B1B4F8" w:rsidR="00B868C5" w:rsidRPr="00CE6915" w:rsidRDefault="00B868C5" w:rsidP="00B868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CE6915">
              <w:rPr>
                <w:rFonts w:ascii="Times New Roman" w:hAnsi="Times New Roman" w:cs="Times New Roman"/>
                <w:color w:val="000000"/>
              </w:rPr>
              <w:t>299,118</w:t>
            </w:r>
          </w:p>
        </w:tc>
        <w:tc>
          <w:tcPr>
            <w:tcW w:w="1260" w:type="dxa"/>
            <w:noWrap/>
          </w:tcPr>
          <w:p w14:paraId="059D8E0B" w14:textId="38C5A8D9" w:rsidR="00B868C5" w:rsidRPr="00CE6915" w:rsidRDefault="00B868C5" w:rsidP="00B868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CE6915">
              <w:rPr>
                <w:rFonts w:ascii="Times New Roman" w:hAnsi="Times New Roman" w:cs="Times New Roman"/>
                <w:color w:val="000000"/>
              </w:rPr>
              <w:t>233,177</w:t>
            </w:r>
          </w:p>
        </w:tc>
        <w:tc>
          <w:tcPr>
            <w:tcW w:w="1260" w:type="dxa"/>
            <w:noWrap/>
          </w:tcPr>
          <w:p w14:paraId="085EF46C" w14:textId="11EB64A7" w:rsidR="00B868C5" w:rsidRPr="00CE6915" w:rsidRDefault="00B868C5" w:rsidP="00B868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CE6915">
              <w:rPr>
                <w:rFonts w:ascii="Times New Roman" w:hAnsi="Times New Roman" w:cs="Times New Roman"/>
                <w:color w:val="000000"/>
              </w:rPr>
              <w:t>365,058</w:t>
            </w:r>
          </w:p>
        </w:tc>
        <w:tc>
          <w:tcPr>
            <w:tcW w:w="1170" w:type="dxa"/>
            <w:noWrap/>
          </w:tcPr>
          <w:p w14:paraId="3DD37E18" w14:textId="3AE6439D" w:rsidR="00B868C5" w:rsidRPr="00CE6915" w:rsidRDefault="00B868C5" w:rsidP="00B868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CE6915">
              <w:rPr>
                <w:rFonts w:ascii="Times New Roman" w:hAnsi="Times New Roman" w:cs="Times New Roman"/>
                <w:color w:val="000000"/>
              </w:rPr>
              <w:t>4,850</w:t>
            </w:r>
          </w:p>
        </w:tc>
        <w:tc>
          <w:tcPr>
            <w:tcW w:w="1255" w:type="dxa"/>
            <w:noWrap/>
          </w:tcPr>
          <w:p w14:paraId="759934A9" w14:textId="01563F8E" w:rsidR="00B868C5" w:rsidRPr="00CE6915" w:rsidRDefault="00B868C5" w:rsidP="00B868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CE6915">
              <w:rPr>
                <w:rFonts w:ascii="Times New Roman" w:hAnsi="Times New Roman" w:cs="Times New Roman"/>
                <w:color w:val="000000"/>
              </w:rPr>
              <w:t>2,368</w:t>
            </w:r>
          </w:p>
        </w:tc>
        <w:tc>
          <w:tcPr>
            <w:tcW w:w="1170" w:type="dxa"/>
            <w:noWrap/>
          </w:tcPr>
          <w:p w14:paraId="11861E59" w14:textId="64D0D598" w:rsidR="00B868C5" w:rsidRPr="00CE6915" w:rsidRDefault="00B868C5" w:rsidP="00B868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CE6915">
              <w:rPr>
                <w:rFonts w:ascii="Times New Roman" w:hAnsi="Times New Roman" w:cs="Times New Roman"/>
                <w:color w:val="000000"/>
              </w:rPr>
              <w:t>7,333</w:t>
            </w:r>
          </w:p>
        </w:tc>
      </w:tr>
      <w:tr w:rsidR="00B868C5" w:rsidRPr="00CE6915" w14:paraId="1405D521" w14:textId="77777777" w:rsidTr="00B868C5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5" w:type="dxa"/>
            <w:noWrap/>
            <w:hideMark/>
          </w:tcPr>
          <w:p w14:paraId="7CBD8396" w14:textId="77777777" w:rsidR="00B868C5" w:rsidRPr="00CE6915" w:rsidRDefault="00B868C5" w:rsidP="00B868C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6915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1235" w:type="dxa"/>
          </w:tcPr>
          <w:p w14:paraId="0D6E190A" w14:textId="516278AD" w:rsidR="00B868C5" w:rsidRPr="00CE6915" w:rsidRDefault="00B868C5" w:rsidP="00B868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CE6915">
              <w:rPr>
                <w:rFonts w:ascii="Times New Roman" w:hAnsi="Times New Roman" w:cs="Times New Roman"/>
                <w:color w:val="000000"/>
              </w:rPr>
              <w:t>45,541</w:t>
            </w:r>
          </w:p>
        </w:tc>
        <w:tc>
          <w:tcPr>
            <w:tcW w:w="1260" w:type="dxa"/>
            <w:noWrap/>
          </w:tcPr>
          <w:p w14:paraId="53C35EBC" w14:textId="74BFA6DA" w:rsidR="00B868C5" w:rsidRPr="00CE6915" w:rsidRDefault="00B868C5" w:rsidP="00B868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CE6915">
              <w:rPr>
                <w:rFonts w:ascii="Times New Roman" w:hAnsi="Times New Roman" w:cs="Times New Roman"/>
                <w:color w:val="000000"/>
              </w:rPr>
              <w:t>31,379</w:t>
            </w:r>
          </w:p>
        </w:tc>
        <w:tc>
          <w:tcPr>
            <w:tcW w:w="1260" w:type="dxa"/>
          </w:tcPr>
          <w:p w14:paraId="091644CA" w14:textId="7770F81F" w:rsidR="00B868C5" w:rsidRPr="00CE6915" w:rsidRDefault="00B868C5" w:rsidP="00B868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CE6915">
              <w:rPr>
                <w:rFonts w:ascii="Times New Roman" w:hAnsi="Times New Roman" w:cs="Times New Roman"/>
                <w:color w:val="000000"/>
              </w:rPr>
              <w:t>59,703</w:t>
            </w:r>
          </w:p>
        </w:tc>
        <w:tc>
          <w:tcPr>
            <w:tcW w:w="1170" w:type="dxa"/>
            <w:noWrap/>
          </w:tcPr>
          <w:p w14:paraId="3659C1D7" w14:textId="63787857" w:rsidR="00B868C5" w:rsidRPr="00CE6915" w:rsidRDefault="00B868C5" w:rsidP="00B868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CE6915">
              <w:rPr>
                <w:rFonts w:ascii="Times New Roman" w:hAnsi="Times New Roman" w:cs="Times New Roman"/>
                <w:color w:val="000000"/>
              </w:rPr>
              <w:t>251,890</w:t>
            </w:r>
          </w:p>
        </w:tc>
        <w:tc>
          <w:tcPr>
            <w:tcW w:w="1260" w:type="dxa"/>
            <w:noWrap/>
          </w:tcPr>
          <w:p w14:paraId="2C6E2162" w14:textId="0E8109A7" w:rsidR="00B868C5" w:rsidRPr="00CE6915" w:rsidRDefault="00B868C5" w:rsidP="00B868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CE6915">
              <w:rPr>
                <w:rFonts w:ascii="Times New Roman" w:hAnsi="Times New Roman" w:cs="Times New Roman"/>
                <w:color w:val="000000"/>
              </w:rPr>
              <w:t>207,870</w:t>
            </w:r>
          </w:p>
        </w:tc>
        <w:tc>
          <w:tcPr>
            <w:tcW w:w="1260" w:type="dxa"/>
            <w:noWrap/>
          </w:tcPr>
          <w:p w14:paraId="180382FF" w14:textId="075BFAE0" w:rsidR="00B868C5" w:rsidRPr="00CE6915" w:rsidRDefault="00B868C5" w:rsidP="00B868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CE6915">
              <w:rPr>
                <w:rFonts w:ascii="Times New Roman" w:hAnsi="Times New Roman" w:cs="Times New Roman"/>
                <w:color w:val="000000"/>
              </w:rPr>
              <w:t>295,910</w:t>
            </w:r>
          </w:p>
        </w:tc>
        <w:tc>
          <w:tcPr>
            <w:tcW w:w="1170" w:type="dxa"/>
            <w:noWrap/>
          </w:tcPr>
          <w:p w14:paraId="59C534AC" w14:textId="2EBCAAB0" w:rsidR="00B868C5" w:rsidRPr="00CE6915" w:rsidRDefault="00B868C5" w:rsidP="00B868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CE6915">
              <w:rPr>
                <w:rFonts w:ascii="Times New Roman" w:hAnsi="Times New Roman" w:cs="Times New Roman"/>
                <w:color w:val="000000"/>
              </w:rPr>
              <w:t>5,606</w:t>
            </w:r>
          </w:p>
        </w:tc>
        <w:tc>
          <w:tcPr>
            <w:tcW w:w="1255" w:type="dxa"/>
            <w:noWrap/>
          </w:tcPr>
          <w:p w14:paraId="7D82819F" w14:textId="3A9F0C1A" w:rsidR="00B868C5" w:rsidRPr="00CE6915" w:rsidRDefault="00B868C5" w:rsidP="00B868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CE6915">
              <w:rPr>
                <w:rFonts w:ascii="Times New Roman" w:hAnsi="Times New Roman" w:cs="Times New Roman"/>
                <w:color w:val="000000"/>
              </w:rPr>
              <w:t>3,221</w:t>
            </w:r>
          </w:p>
        </w:tc>
        <w:tc>
          <w:tcPr>
            <w:tcW w:w="1170" w:type="dxa"/>
            <w:noWrap/>
          </w:tcPr>
          <w:p w14:paraId="12B3BA7C" w14:textId="02A00542" w:rsidR="00B868C5" w:rsidRPr="00CE6915" w:rsidRDefault="00B868C5" w:rsidP="00B868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CE6915">
              <w:rPr>
                <w:rFonts w:ascii="Times New Roman" w:hAnsi="Times New Roman" w:cs="Times New Roman"/>
                <w:color w:val="000000"/>
              </w:rPr>
              <w:t>7,991</w:t>
            </w:r>
          </w:p>
        </w:tc>
      </w:tr>
      <w:tr w:rsidR="00B868C5" w:rsidRPr="00CE6915" w14:paraId="2CBE1BF3" w14:textId="77777777" w:rsidTr="00B868C5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5" w:type="dxa"/>
            <w:noWrap/>
            <w:hideMark/>
          </w:tcPr>
          <w:p w14:paraId="3ECE21AA" w14:textId="77777777" w:rsidR="00B868C5" w:rsidRPr="00CE6915" w:rsidRDefault="00B868C5" w:rsidP="00B868C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6915">
              <w:rPr>
                <w:rFonts w:ascii="Times New Roman" w:hAnsi="Times New Roman" w:cs="Times New Roman"/>
                <w:color w:val="000000"/>
              </w:rPr>
              <w:t>31</w:t>
            </w:r>
          </w:p>
        </w:tc>
        <w:tc>
          <w:tcPr>
            <w:tcW w:w="1235" w:type="dxa"/>
          </w:tcPr>
          <w:p w14:paraId="04EE45F6" w14:textId="5BBFC9A4" w:rsidR="00B868C5" w:rsidRPr="00CE6915" w:rsidRDefault="00B868C5" w:rsidP="00B868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CE6915">
              <w:rPr>
                <w:rFonts w:ascii="Times New Roman" w:hAnsi="Times New Roman" w:cs="Times New Roman"/>
                <w:color w:val="000000"/>
              </w:rPr>
              <w:t>52,311</w:t>
            </w:r>
          </w:p>
        </w:tc>
        <w:tc>
          <w:tcPr>
            <w:tcW w:w="1260" w:type="dxa"/>
            <w:noWrap/>
          </w:tcPr>
          <w:p w14:paraId="43FEA19E" w14:textId="43EBB213" w:rsidR="00B868C5" w:rsidRPr="00CE6915" w:rsidRDefault="00B868C5" w:rsidP="00B868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CE6915">
              <w:rPr>
                <w:rFonts w:ascii="Times New Roman" w:hAnsi="Times New Roman" w:cs="Times New Roman"/>
                <w:color w:val="000000"/>
              </w:rPr>
              <w:t>35,574</w:t>
            </w:r>
          </w:p>
        </w:tc>
        <w:tc>
          <w:tcPr>
            <w:tcW w:w="1260" w:type="dxa"/>
          </w:tcPr>
          <w:p w14:paraId="1A8B0D88" w14:textId="441B63A3" w:rsidR="00B868C5" w:rsidRPr="00CE6915" w:rsidRDefault="00B868C5" w:rsidP="00B868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CE6915">
              <w:rPr>
                <w:rFonts w:ascii="Times New Roman" w:hAnsi="Times New Roman" w:cs="Times New Roman"/>
                <w:color w:val="000000"/>
              </w:rPr>
              <w:t>69,048</w:t>
            </w:r>
          </w:p>
        </w:tc>
        <w:tc>
          <w:tcPr>
            <w:tcW w:w="1170" w:type="dxa"/>
            <w:noWrap/>
          </w:tcPr>
          <w:p w14:paraId="6392D9CB" w14:textId="1FAD912D" w:rsidR="00B868C5" w:rsidRPr="00CE6915" w:rsidRDefault="00B868C5" w:rsidP="00B868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CE6915">
              <w:rPr>
                <w:rFonts w:ascii="Times New Roman" w:hAnsi="Times New Roman" w:cs="Times New Roman"/>
                <w:color w:val="000000"/>
              </w:rPr>
              <w:t>228,934</w:t>
            </w:r>
          </w:p>
        </w:tc>
        <w:tc>
          <w:tcPr>
            <w:tcW w:w="1260" w:type="dxa"/>
            <w:noWrap/>
          </w:tcPr>
          <w:p w14:paraId="13BA3437" w14:textId="6EB4277B" w:rsidR="00B868C5" w:rsidRPr="00CE6915" w:rsidRDefault="00B868C5" w:rsidP="00B868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CE6915">
              <w:rPr>
                <w:rFonts w:ascii="Times New Roman" w:hAnsi="Times New Roman" w:cs="Times New Roman"/>
                <w:color w:val="000000"/>
              </w:rPr>
              <w:t>169,931</w:t>
            </w:r>
          </w:p>
        </w:tc>
        <w:tc>
          <w:tcPr>
            <w:tcW w:w="1260" w:type="dxa"/>
            <w:noWrap/>
          </w:tcPr>
          <w:p w14:paraId="6971D1EF" w14:textId="105B9E29" w:rsidR="00B868C5" w:rsidRPr="00CE6915" w:rsidRDefault="00B868C5" w:rsidP="00B868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CE6915">
              <w:rPr>
                <w:rFonts w:ascii="Times New Roman" w:hAnsi="Times New Roman" w:cs="Times New Roman"/>
                <w:color w:val="000000"/>
              </w:rPr>
              <w:t>287,937</w:t>
            </w:r>
          </w:p>
        </w:tc>
        <w:tc>
          <w:tcPr>
            <w:tcW w:w="1170" w:type="dxa"/>
            <w:noWrap/>
          </w:tcPr>
          <w:p w14:paraId="4E8FA141" w14:textId="16ECF4D0" w:rsidR="00B868C5" w:rsidRPr="00CE6915" w:rsidRDefault="00B868C5" w:rsidP="00B868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CE6915">
              <w:rPr>
                <w:rFonts w:ascii="Times New Roman" w:hAnsi="Times New Roman" w:cs="Times New Roman"/>
                <w:color w:val="000000"/>
              </w:rPr>
              <w:t>15,638</w:t>
            </w:r>
          </w:p>
        </w:tc>
        <w:tc>
          <w:tcPr>
            <w:tcW w:w="1255" w:type="dxa"/>
            <w:noWrap/>
          </w:tcPr>
          <w:p w14:paraId="772A15DF" w14:textId="4FF67736" w:rsidR="00B868C5" w:rsidRPr="00CE6915" w:rsidRDefault="00B868C5" w:rsidP="00B868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CE6915">
              <w:rPr>
                <w:rFonts w:ascii="Times New Roman" w:hAnsi="Times New Roman" w:cs="Times New Roman"/>
                <w:color w:val="000000"/>
              </w:rPr>
              <w:t>2,817</w:t>
            </w:r>
          </w:p>
        </w:tc>
        <w:tc>
          <w:tcPr>
            <w:tcW w:w="1170" w:type="dxa"/>
            <w:noWrap/>
          </w:tcPr>
          <w:p w14:paraId="2496155B" w14:textId="3D484257" w:rsidR="00B868C5" w:rsidRPr="00CE6915" w:rsidRDefault="00B868C5" w:rsidP="00B868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CE6915">
              <w:rPr>
                <w:rFonts w:ascii="Times New Roman" w:hAnsi="Times New Roman" w:cs="Times New Roman"/>
                <w:color w:val="000000"/>
              </w:rPr>
              <w:t>28,460</w:t>
            </w:r>
          </w:p>
        </w:tc>
      </w:tr>
      <w:tr w:rsidR="00B868C5" w:rsidRPr="00CE6915" w14:paraId="46D96F31" w14:textId="77777777" w:rsidTr="00B868C5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5" w:type="dxa"/>
            <w:noWrap/>
            <w:hideMark/>
          </w:tcPr>
          <w:p w14:paraId="14431598" w14:textId="77777777" w:rsidR="00B868C5" w:rsidRPr="00CE6915" w:rsidRDefault="00B868C5" w:rsidP="00B868C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6915">
              <w:rPr>
                <w:rFonts w:ascii="Times New Roman" w:hAnsi="Times New Roman" w:cs="Times New Roman"/>
                <w:color w:val="000000"/>
              </w:rPr>
              <w:t>32</w:t>
            </w:r>
          </w:p>
        </w:tc>
        <w:tc>
          <w:tcPr>
            <w:tcW w:w="1235" w:type="dxa"/>
          </w:tcPr>
          <w:p w14:paraId="6CA0134D" w14:textId="20166AF0" w:rsidR="00B868C5" w:rsidRPr="00CE6915" w:rsidRDefault="00B868C5" w:rsidP="00B868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CE6915">
              <w:rPr>
                <w:rFonts w:ascii="Times New Roman" w:hAnsi="Times New Roman" w:cs="Times New Roman"/>
                <w:color w:val="000000"/>
              </w:rPr>
              <w:t>37,734</w:t>
            </w:r>
          </w:p>
        </w:tc>
        <w:tc>
          <w:tcPr>
            <w:tcW w:w="1260" w:type="dxa"/>
            <w:noWrap/>
          </w:tcPr>
          <w:p w14:paraId="54115BD2" w14:textId="69CA2ACC" w:rsidR="00B868C5" w:rsidRPr="00CE6915" w:rsidRDefault="00B868C5" w:rsidP="00B868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CE6915">
              <w:rPr>
                <w:rFonts w:ascii="Times New Roman" w:hAnsi="Times New Roman" w:cs="Times New Roman"/>
                <w:color w:val="000000"/>
              </w:rPr>
              <w:t>32,002</w:t>
            </w:r>
          </w:p>
        </w:tc>
        <w:tc>
          <w:tcPr>
            <w:tcW w:w="1260" w:type="dxa"/>
          </w:tcPr>
          <w:p w14:paraId="38FC6207" w14:textId="0BD8B1FF" w:rsidR="00B868C5" w:rsidRPr="00CE6915" w:rsidRDefault="00B868C5" w:rsidP="00B868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CE6915">
              <w:rPr>
                <w:rFonts w:ascii="Times New Roman" w:hAnsi="Times New Roman" w:cs="Times New Roman"/>
                <w:color w:val="000000"/>
              </w:rPr>
              <w:t>43,465</w:t>
            </w:r>
          </w:p>
        </w:tc>
        <w:tc>
          <w:tcPr>
            <w:tcW w:w="1170" w:type="dxa"/>
            <w:noWrap/>
          </w:tcPr>
          <w:p w14:paraId="45497F1C" w14:textId="60A73094" w:rsidR="00B868C5" w:rsidRPr="00CE6915" w:rsidRDefault="00B868C5" w:rsidP="00B868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CE6915">
              <w:rPr>
                <w:rFonts w:ascii="Times New Roman" w:hAnsi="Times New Roman" w:cs="Times New Roman"/>
                <w:color w:val="000000"/>
              </w:rPr>
              <w:t>127,758</w:t>
            </w:r>
          </w:p>
        </w:tc>
        <w:tc>
          <w:tcPr>
            <w:tcW w:w="1260" w:type="dxa"/>
            <w:noWrap/>
          </w:tcPr>
          <w:p w14:paraId="2F9E2379" w14:textId="25CF43C4" w:rsidR="00B868C5" w:rsidRPr="00CE6915" w:rsidRDefault="00B868C5" w:rsidP="00B868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CE6915">
              <w:rPr>
                <w:rFonts w:ascii="Times New Roman" w:hAnsi="Times New Roman" w:cs="Times New Roman"/>
                <w:color w:val="000000"/>
              </w:rPr>
              <w:t>108,944</w:t>
            </w:r>
          </w:p>
        </w:tc>
        <w:tc>
          <w:tcPr>
            <w:tcW w:w="1260" w:type="dxa"/>
            <w:noWrap/>
          </w:tcPr>
          <w:p w14:paraId="60C3ABAD" w14:textId="1B678AE0" w:rsidR="00B868C5" w:rsidRPr="00CE6915" w:rsidRDefault="00B868C5" w:rsidP="00B868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CE6915">
              <w:rPr>
                <w:rFonts w:ascii="Times New Roman" w:hAnsi="Times New Roman" w:cs="Times New Roman"/>
                <w:color w:val="000000"/>
              </w:rPr>
              <w:t>146,572</w:t>
            </w:r>
          </w:p>
        </w:tc>
        <w:tc>
          <w:tcPr>
            <w:tcW w:w="1170" w:type="dxa"/>
            <w:noWrap/>
          </w:tcPr>
          <w:p w14:paraId="4D9DFA11" w14:textId="1B787EFF" w:rsidR="00B868C5" w:rsidRPr="00CE6915" w:rsidRDefault="00B868C5" w:rsidP="00B868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CE6915">
              <w:rPr>
                <w:rFonts w:ascii="Times New Roman" w:hAnsi="Times New Roman" w:cs="Times New Roman"/>
                <w:color w:val="000000"/>
              </w:rPr>
              <w:t>4,740</w:t>
            </w:r>
          </w:p>
        </w:tc>
        <w:tc>
          <w:tcPr>
            <w:tcW w:w="1255" w:type="dxa"/>
            <w:noWrap/>
          </w:tcPr>
          <w:p w14:paraId="408F3F6F" w14:textId="1825C76B" w:rsidR="00B868C5" w:rsidRPr="00CE6915" w:rsidRDefault="00B868C5" w:rsidP="00B868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CE6915">
              <w:rPr>
                <w:rFonts w:ascii="Times New Roman" w:hAnsi="Times New Roman" w:cs="Times New Roman"/>
                <w:color w:val="000000"/>
              </w:rPr>
              <w:t>3,008</w:t>
            </w:r>
          </w:p>
        </w:tc>
        <w:tc>
          <w:tcPr>
            <w:tcW w:w="1170" w:type="dxa"/>
            <w:noWrap/>
          </w:tcPr>
          <w:p w14:paraId="52815652" w14:textId="7C60161B" w:rsidR="00B868C5" w:rsidRPr="00CE6915" w:rsidRDefault="00B868C5" w:rsidP="00B868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CE6915">
              <w:rPr>
                <w:rFonts w:ascii="Times New Roman" w:hAnsi="Times New Roman" w:cs="Times New Roman"/>
                <w:color w:val="000000"/>
              </w:rPr>
              <w:t>6,471</w:t>
            </w:r>
          </w:p>
        </w:tc>
      </w:tr>
      <w:tr w:rsidR="00B868C5" w:rsidRPr="00CE6915" w14:paraId="79A49131" w14:textId="77777777" w:rsidTr="00B868C5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5" w:type="dxa"/>
            <w:noWrap/>
            <w:hideMark/>
          </w:tcPr>
          <w:p w14:paraId="1E8B77C1" w14:textId="77777777" w:rsidR="00B868C5" w:rsidRPr="00CE6915" w:rsidRDefault="00B868C5" w:rsidP="00B868C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6915">
              <w:rPr>
                <w:rFonts w:ascii="Times New Roman" w:hAnsi="Times New Roman" w:cs="Times New Roman"/>
                <w:color w:val="000000"/>
              </w:rPr>
              <w:t>33</w:t>
            </w:r>
          </w:p>
        </w:tc>
        <w:tc>
          <w:tcPr>
            <w:tcW w:w="1235" w:type="dxa"/>
          </w:tcPr>
          <w:p w14:paraId="677DEF7E" w14:textId="0D0D17D7" w:rsidR="00B868C5" w:rsidRPr="00CE6915" w:rsidRDefault="00B868C5" w:rsidP="00B868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CE6915">
              <w:rPr>
                <w:rFonts w:ascii="Times New Roman" w:hAnsi="Times New Roman" w:cs="Times New Roman"/>
                <w:color w:val="000000"/>
              </w:rPr>
              <w:t>42,750</w:t>
            </w:r>
          </w:p>
        </w:tc>
        <w:tc>
          <w:tcPr>
            <w:tcW w:w="1260" w:type="dxa"/>
            <w:noWrap/>
          </w:tcPr>
          <w:p w14:paraId="6559A072" w14:textId="13314DF8" w:rsidR="00B868C5" w:rsidRPr="00CE6915" w:rsidRDefault="00B868C5" w:rsidP="00B868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CE6915">
              <w:rPr>
                <w:rFonts w:ascii="Times New Roman" w:hAnsi="Times New Roman" w:cs="Times New Roman"/>
                <w:color w:val="000000"/>
              </w:rPr>
              <w:t>35,890</w:t>
            </w:r>
          </w:p>
        </w:tc>
        <w:tc>
          <w:tcPr>
            <w:tcW w:w="1260" w:type="dxa"/>
          </w:tcPr>
          <w:p w14:paraId="3A6D0FEE" w14:textId="6588DDC3" w:rsidR="00B868C5" w:rsidRPr="00CE6915" w:rsidRDefault="00B868C5" w:rsidP="00B868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CE6915">
              <w:rPr>
                <w:rFonts w:ascii="Times New Roman" w:hAnsi="Times New Roman" w:cs="Times New Roman"/>
                <w:color w:val="000000"/>
              </w:rPr>
              <w:t>49,610</w:t>
            </w:r>
          </w:p>
        </w:tc>
        <w:tc>
          <w:tcPr>
            <w:tcW w:w="1170" w:type="dxa"/>
            <w:noWrap/>
          </w:tcPr>
          <w:p w14:paraId="0508E120" w14:textId="08FF97AD" w:rsidR="00B868C5" w:rsidRPr="00CE6915" w:rsidRDefault="00B868C5" w:rsidP="00B868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CE6915">
              <w:rPr>
                <w:rFonts w:ascii="Times New Roman" w:hAnsi="Times New Roman" w:cs="Times New Roman"/>
                <w:color w:val="000000"/>
              </w:rPr>
              <w:t>105,837</w:t>
            </w:r>
          </w:p>
        </w:tc>
        <w:tc>
          <w:tcPr>
            <w:tcW w:w="1260" w:type="dxa"/>
            <w:noWrap/>
          </w:tcPr>
          <w:p w14:paraId="40B13CED" w14:textId="6E477097" w:rsidR="00B868C5" w:rsidRPr="00CE6915" w:rsidRDefault="00B868C5" w:rsidP="00B868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CE6915">
              <w:rPr>
                <w:rFonts w:ascii="Times New Roman" w:hAnsi="Times New Roman" w:cs="Times New Roman"/>
                <w:color w:val="000000"/>
              </w:rPr>
              <w:t>85,942</w:t>
            </w:r>
          </w:p>
        </w:tc>
        <w:tc>
          <w:tcPr>
            <w:tcW w:w="1260" w:type="dxa"/>
            <w:noWrap/>
          </w:tcPr>
          <w:p w14:paraId="6A7B21B1" w14:textId="45B73A0E" w:rsidR="00B868C5" w:rsidRPr="00CE6915" w:rsidRDefault="00B868C5" w:rsidP="00B868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CE6915">
              <w:rPr>
                <w:rFonts w:ascii="Times New Roman" w:hAnsi="Times New Roman" w:cs="Times New Roman"/>
                <w:color w:val="000000"/>
              </w:rPr>
              <w:t>125,732</w:t>
            </w:r>
          </w:p>
        </w:tc>
        <w:tc>
          <w:tcPr>
            <w:tcW w:w="1170" w:type="dxa"/>
            <w:noWrap/>
          </w:tcPr>
          <w:p w14:paraId="10C87C17" w14:textId="78ACAF49" w:rsidR="00B868C5" w:rsidRPr="00CE6915" w:rsidRDefault="00B868C5" w:rsidP="00B868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CE6915">
              <w:rPr>
                <w:rFonts w:ascii="Times New Roman" w:hAnsi="Times New Roman" w:cs="Times New Roman"/>
                <w:color w:val="000000"/>
              </w:rPr>
              <w:t>3,881</w:t>
            </w:r>
          </w:p>
        </w:tc>
        <w:tc>
          <w:tcPr>
            <w:tcW w:w="1255" w:type="dxa"/>
            <w:noWrap/>
          </w:tcPr>
          <w:p w14:paraId="764D2A56" w14:textId="0D3CF988" w:rsidR="00B868C5" w:rsidRPr="00CE6915" w:rsidRDefault="00B868C5" w:rsidP="00B868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CE6915">
              <w:rPr>
                <w:rFonts w:ascii="Times New Roman" w:hAnsi="Times New Roman" w:cs="Times New Roman"/>
                <w:color w:val="000000"/>
              </w:rPr>
              <w:t>1,259</w:t>
            </w:r>
          </w:p>
        </w:tc>
        <w:tc>
          <w:tcPr>
            <w:tcW w:w="1170" w:type="dxa"/>
            <w:noWrap/>
          </w:tcPr>
          <w:p w14:paraId="095E16FD" w14:textId="773D8349" w:rsidR="00B868C5" w:rsidRPr="00CE6915" w:rsidRDefault="00B868C5" w:rsidP="00B868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CE6915">
              <w:rPr>
                <w:rFonts w:ascii="Times New Roman" w:hAnsi="Times New Roman" w:cs="Times New Roman"/>
                <w:color w:val="000000"/>
              </w:rPr>
              <w:t>6,503</w:t>
            </w:r>
          </w:p>
        </w:tc>
      </w:tr>
      <w:tr w:rsidR="00B868C5" w:rsidRPr="00CE6915" w14:paraId="70EFD775" w14:textId="77777777" w:rsidTr="00B868C5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5" w:type="dxa"/>
            <w:noWrap/>
            <w:hideMark/>
          </w:tcPr>
          <w:p w14:paraId="3963083A" w14:textId="77777777" w:rsidR="00B868C5" w:rsidRPr="00CE6915" w:rsidRDefault="00B868C5" w:rsidP="00B868C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6915">
              <w:rPr>
                <w:rFonts w:ascii="Times New Roman" w:hAnsi="Times New Roman" w:cs="Times New Roman"/>
                <w:color w:val="000000"/>
              </w:rPr>
              <w:t>34</w:t>
            </w:r>
          </w:p>
        </w:tc>
        <w:tc>
          <w:tcPr>
            <w:tcW w:w="1235" w:type="dxa"/>
          </w:tcPr>
          <w:p w14:paraId="273F63A0" w14:textId="3A39358A" w:rsidR="00B868C5" w:rsidRPr="00CE6915" w:rsidRDefault="00B868C5" w:rsidP="00B868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CE6915">
              <w:rPr>
                <w:rFonts w:ascii="Times New Roman" w:hAnsi="Times New Roman" w:cs="Times New Roman"/>
                <w:color w:val="000000"/>
              </w:rPr>
              <w:t>38,061</w:t>
            </w:r>
          </w:p>
        </w:tc>
        <w:tc>
          <w:tcPr>
            <w:tcW w:w="1260" w:type="dxa"/>
            <w:noWrap/>
          </w:tcPr>
          <w:p w14:paraId="45DDC0B3" w14:textId="4EB0644C" w:rsidR="00B868C5" w:rsidRPr="00CE6915" w:rsidRDefault="00B868C5" w:rsidP="00B868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CE6915">
              <w:rPr>
                <w:rFonts w:ascii="Times New Roman" w:hAnsi="Times New Roman" w:cs="Times New Roman"/>
                <w:color w:val="000000"/>
              </w:rPr>
              <w:t>33,249</w:t>
            </w:r>
          </w:p>
        </w:tc>
        <w:tc>
          <w:tcPr>
            <w:tcW w:w="1260" w:type="dxa"/>
          </w:tcPr>
          <w:p w14:paraId="6736691E" w14:textId="60048502" w:rsidR="00B868C5" w:rsidRPr="00CE6915" w:rsidRDefault="00B868C5" w:rsidP="00B868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CE6915">
              <w:rPr>
                <w:rFonts w:ascii="Times New Roman" w:hAnsi="Times New Roman" w:cs="Times New Roman"/>
                <w:color w:val="000000"/>
              </w:rPr>
              <w:t>42,873</w:t>
            </w:r>
          </w:p>
        </w:tc>
        <w:tc>
          <w:tcPr>
            <w:tcW w:w="1170" w:type="dxa"/>
            <w:noWrap/>
          </w:tcPr>
          <w:p w14:paraId="2D6B98CA" w14:textId="506A8FA1" w:rsidR="00B868C5" w:rsidRPr="00CE6915" w:rsidRDefault="00B868C5" w:rsidP="00B868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CE6915">
              <w:rPr>
                <w:rFonts w:ascii="Times New Roman" w:hAnsi="Times New Roman" w:cs="Times New Roman"/>
                <w:color w:val="000000"/>
              </w:rPr>
              <w:t>76,584</w:t>
            </w:r>
          </w:p>
        </w:tc>
        <w:tc>
          <w:tcPr>
            <w:tcW w:w="1260" w:type="dxa"/>
            <w:noWrap/>
          </w:tcPr>
          <w:p w14:paraId="13D13EA6" w14:textId="213B05D4" w:rsidR="00B868C5" w:rsidRPr="00CE6915" w:rsidRDefault="00B868C5" w:rsidP="00B868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CE6915">
              <w:rPr>
                <w:rFonts w:ascii="Times New Roman" w:hAnsi="Times New Roman" w:cs="Times New Roman"/>
                <w:color w:val="000000"/>
              </w:rPr>
              <w:t>65,832</w:t>
            </w:r>
          </w:p>
        </w:tc>
        <w:tc>
          <w:tcPr>
            <w:tcW w:w="1260" w:type="dxa"/>
            <w:noWrap/>
          </w:tcPr>
          <w:p w14:paraId="5D5D21CC" w14:textId="705B4837" w:rsidR="00B868C5" w:rsidRPr="00CE6915" w:rsidRDefault="00B868C5" w:rsidP="00B868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CE6915">
              <w:rPr>
                <w:rFonts w:ascii="Times New Roman" w:hAnsi="Times New Roman" w:cs="Times New Roman"/>
                <w:color w:val="000000"/>
              </w:rPr>
              <w:t>87,335</w:t>
            </w:r>
          </w:p>
        </w:tc>
        <w:tc>
          <w:tcPr>
            <w:tcW w:w="1170" w:type="dxa"/>
            <w:noWrap/>
          </w:tcPr>
          <w:p w14:paraId="58E6717D" w14:textId="13CD7BA2" w:rsidR="00B868C5" w:rsidRPr="00CE6915" w:rsidRDefault="00B868C5" w:rsidP="00B868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CE6915">
              <w:rPr>
                <w:rFonts w:ascii="Times New Roman" w:hAnsi="Times New Roman" w:cs="Times New Roman"/>
                <w:color w:val="000000"/>
              </w:rPr>
              <w:t>3,603</w:t>
            </w:r>
          </w:p>
        </w:tc>
        <w:tc>
          <w:tcPr>
            <w:tcW w:w="1255" w:type="dxa"/>
            <w:noWrap/>
          </w:tcPr>
          <w:p w14:paraId="1B9CB535" w14:textId="0DE28028" w:rsidR="00B868C5" w:rsidRPr="00CE6915" w:rsidRDefault="00B868C5" w:rsidP="00B868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CE6915">
              <w:rPr>
                <w:rFonts w:ascii="Times New Roman" w:hAnsi="Times New Roman" w:cs="Times New Roman"/>
                <w:color w:val="000000"/>
              </w:rPr>
              <w:t>2,816</w:t>
            </w:r>
          </w:p>
        </w:tc>
        <w:tc>
          <w:tcPr>
            <w:tcW w:w="1170" w:type="dxa"/>
            <w:noWrap/>
          </w:tcPr>
          <w:p w14:paraId="65E08233" w14:textId="455B4317" w:rsidR="00B868C5" w:rsidRPr="00CE6915" w:rsidRDefault="00B868C5" w:rsidP="00B868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CE6915">
              <w:rPr>
                <w:rFonts w:ascii="Times New Roman" w:hAnsi="Times New Roman" w:cs="Times New Roman"/>
                <w:color w:val="000000"/>
              </w:rPr>
              <w:t>4,390</w:t>
            </w:r>
          </w:p>
        </w:tc>
      </w:tr>
      <w:tr w:rsidR="00B868C5" w:rsidRPr="00CE6915" w14:paraId="067C77E5" w14:textId="77777777" w:rsidTr="00B868C5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5" w:type="dxa"/>
            <w:noWrap/>
            <w:hideMark/>
          </w:tcPr>
          <w:p w14:paraId="3C29AA27" w14:textId="77777777" w:rsidR="00B868C5" w:rsidRPr="00CE6915" w:rsidRDefault="00B868C5" w:rsidP="00B868C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6915">
              <w:rPr>
                <w:rFonts w:ascii="Times New Roman" w:hAnsi="Times New Roman" w:cs="Times New Roman"/>
                <w:color w:val="000000"/>
              </w:rPr>
              <w:t>35</w:t>
            </w:r>
          </w:p>
        </w:tc>
        <w:tc>
          <w:tcPr>
            <w:tcW w:w="1235" w:type="dxa"/>
          </w:tcPr>
          <w:p w14:paraId="25715D61" w14:textId="6D9B53F5" w:rsidR="00B868C5" w:rsidRPr="00CE6915" w:rsidRDefault="00B868C5" w:rsidP="00B868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CE6915">
              <w:rPr>
                <w:rFonts w:ascii="Times New Roman" w:hAnsi="Times New Roman" w:cs="Times New Roman"/>
                <w:color w:val="000000"/>
              </w:rPr>
              <w:t>33,842</w:t>
            </w:r>
          </w:p>
        </w:tc>
        <w:tc>
          <w:tcPr>
            <w:tcW w:w="1260" w:type="dxa"/>
            <w:noWrap/>
          </w:tcPr>
          <w:p w14:paraId="09182975" w14:textId="286F8FEB" w:rsidR="00B868C5" w:rsidRPr="00CE6915" w:rsidRDefault="00B868C5" w:rsidP="00B868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CE6915">
              <w:rPr>
                <w:rFonts w:ascii="Times New Roman" w:hAnsi="Times New Roman" w:cs="Times New Roman"/>
                <w:color w:val="000000"/>
              </w:rPr>
              <w:t>30,737</w:t>
            </w:r>
          </w:p>
        </w:tc>
        <w:tc>
          <w:tcPr>
            <w:tcW w:w="1260" w:type="dxa"/>
          </w:tcPr>
          <w:p w14:paraId="7EFB3176" w14:textId="5AF0FD51" w:rsidR="00B868C5" w:rsidRPr="00CE6915" w:rsidRDefault="00B868C5" w:rsidP="00B868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CE6915">
              <w:rPr>
                <w:rFonts w:ascii="Times New Roman" w:hAnsi="Times New Roman" w:cs="Times New Roman"/>
                <w:color w:val="000000"/>
              </w:rPr>
              <w:t>36,946</w:t>
            </w:r>
          </w:p>
        </w:tc>
        <w:tc>
          <w:tcPr>
            <w:tcW w:w="1170" w:type="dxa"/>
            <w:noWrap/>
          </w:tcPr>
          <w:p w14:paraId="05A57268" w14:textId="2314EDC7" w:rsidR="00B868C5" w:rsidRPr="00CE6915" w:rsidRDefault="00B868C5" w:rsidP="00B868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CE6915">
              <w:rPr>
                <w:rFonts w:ascii="Times New Roman" w:hAnsi="Times New Roman" w:cs="Times New Roman"/>
                <w:color w:val="000000"/>
              </w:rPr>
              <w:t>43,289</w:t>
            </w:r>
          </w:p>
        </w:tc>
        <w:tc>
          <w:tcPr>
            <w:tcW w:w="1260" w:type="dxa"/>
            <w:noWrap/>
          </w:tcPr>
          <w:p w14:paraId="3722C10B" w14:textId="78EE5AA4" w:rsidR="00B868C5" w:rsidRPr="00CE6915" w:rsidRDefault="00B868C5" w:rsidP="00B868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CE6915">
              <w:rPr>
                <w:rFonts w:ascii="Times New Roman" w:hAnsi="Times New Roman" w:cs="Times New Roman"/>
                <w:color w:val="000000"/>
              </w:rPr>
              <w:t>36,244</w:t>
            </w:r>
          </w:p>
        </w:tc>
        <w:tc>
          <w:tcPr>
            <w:tcW w:w="1260" w:type="dxa"/>
            <w:noWrap/>
          </w:tcPr>
          <w:p w14:paraId="4B54A4DA" w14:textId="6B183EBC" w:rsidR="00B868C5" w:rsidRPr="00CE6915" w:rsidRDefault="00B868C5" w:rsidP="00B868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CE6915">
              <w:rPr>
                <w:rFonts w:ascii="Times New Roman" w:hAnsi="Times New Roman" w:cs="Times New Roman"/>
                <w:color w:val="000000"/>
              </w:rPr>
              <w:t>50,333</w:t>
            </w:r>
          </w:p>
        </w:tc>
        <w:tc>
          <w:tcPr>
            <w:tcW w:w="1170" w:type="dxa"/>
            <w:noWrap/>
          </w:tcPr>
          <w:p w14:paraId="09452194" w14:textId="4D0CAFEC" w:rsidR="00B868C5" w:rsidRPr="00CE6915" w:rsidRDefault="00B868C5" w:rsidP="00B868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CE6915">
              <w:rPr>
                <w:rFonts w:ascii="Times New Roman" w:hAnsi="Times New Roman" w:cs="Times New Roman"/>
                <w:color w:val="000000"/>
              </w:rPr>
              <w:t>3,978</w:t>
            </w:r>
          </w:p>
        </w:tc>
        <w:tc>
          <w:tcPr>
            <w:tcW w:w="1255" w:type="dxa"/>
            <w:noWrap/>
          </w:tcPr>
          <w:p w14:paraId="3C25F133" w14:textId="5929AAE9" w:rsidR="00B868C5" w:rsidRPr="00CE6915" w:rsidRDefault="00B868C5" w:rsidP="00B868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CE6915">
              <w:rPr>
                <w:rFonts w:ascii="Times New Roman" w:hAnsi="Times New Roman" w:cs="Times New Roman"/>
                <w:color w:val="000000"/>
              </w:rPr>
              <w:t>2,939</w:t>
            </w:r>
          </w:p>
        </w:tc>
        <w:tc>
          <w:tcPr>
            <w:tcW w:w="1170" w:type="dxa"/>
            <w:noWrap/>
          </w:tcPr>
          <w:p w14:paraId="16A3017B" w14:textId="2E8E9984" w:rsidR="00B868C5" w:rsidRPr="00CE6915" w:rsidRDefault="00B868C5" w:rsidP="00B868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CE6915">
              <w:rPr>
                <w:rFonts w:ascii="Times New Roman" w:hAnsi="Times New Roman" w:cs="Times New Roman"/>
                <w:color w:val="000000"/>
              </w:rPr>
              <w:t>5,018</w:t>
            </w:r>
          </w:p>
        </w:tc>
      </w:tr>
      <w:tr w:rsidR="00B868C5" w:rsidRPr="00CE6915" w14:paraId="78F717CC" w14:textId="77777777" w:rsidTr="00B868C5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5" w:type="dxa"/>
            <w:noWrap/>
            <w:hideMark/>
          </w:tcPr>
          <w:p w14:paraId="7010461C" w14:textId="77777777" w:rsidR="00B868C5" w:rsidRPr="00CE6915" w:rsidRDefault="00B868C5" w:rsidP="00B868C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6915">
              <w:rPr>
                <w:rFonts w:ascii="Times New Roman" w:hAnsi="Times New Roman" w:cs="Times New Roman"/>
                <w:color w:val="000000"/>
              </w:rPr>
              <w:t>36</w:t>
            </w:r>
          </w:p>
        </w:tc>
        <w:tc>
          <w:tcPr>
            <w:tcW w:w="1235" w:type="dxa"/>
          </w:tcPr>
          <w:p w14:paraId="3B5E89AC" w14:textId="00A9E122" w:rsidR="00B868C5" w:rsidRPr="00CE6915" w:rsidRDefault="00B868C5" w:rsidP="00B868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CE6915">
              <w:rPr>
                <w:rFonts w:ascii="Times New Roman" w:hAnsi="Times New Roman" w:cs="Times New Roman"/>
                <w:color w:val="000000"/>
              </w:rPr>
              <w:t>31,744</w:t>
            </w:r>
          </w:p>
        </w:tc>
        <w:tc>
          <w:tcPr>
            <w:tcW w:w="1260" w:type="dxa"/>
            <w:noWrap/>
          </w:tcPr>
          <w:p w14:paraId="34D45BBC" w14:textId="6A32E92F" w:rsidR="00B868C5" w:rsidRPr="00CE6915" w:rsidRDefault="00B868C5" w:rsidP="00B868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CE6915">
              <w:rPr>
                <w:rFonts w:ascii="Times New Roman" w:hAnsi="Times New Roman" w:cs="Times New Roman"/>
                <w:color w:val="000000"/>
              </w:rPr>
              <w:t>29,580</w:t>
            </w:r>
          </w:p>
        </w:tc>
        <w:tc>
          <w:tcPr>
            <w:tcW w:w="1260" w:type="dxa"/>
          </w:tcPr>
          <w:p w14:paraId="51D00361" w14:textId="3E28AB55" w:rsidR="00B868C5" w:rsidRPr="00CE6915" w:rsidRDefault="00B868C5" w:rsidP="00B868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CE6915">
              <w:rPr>
                <w:rFonts w:ascii="Times New Roman" w:hAnsi="Times New Roman" w:cs="Times New Roman"/>
                <w:color w:val="000000"/>
              </w:rPr>
              <w:t>33,908</w:t>
            </w:r>
          </w:p>
        </w:tc>
        <w:tc>
          <w:tcPr>
            <w:tcW w:w="1170" w:type="dxa"/>
            <w:noWrap/>
          </w:tcPr>
          <w:p w14:paraId="341E700A" w14:textId="74F2C069" w:rsidR="00B868C5" w:rsidRPr="00CE6915" w:rsidRDefault="00B868C5" w:rsidP="00B868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CE6915">
              <w:rPr>
                <w:rFonts w:ascii="Times New Roman" w:hAnsi="Times New Roman" w:cs="Times New Roman"/>
                <w:color w:val="000000"/>
              </w:rPr>
              <w:t>37,123</w:t>
            </w:r>
          </w:p>
        </w:tc>
        <w:tc>
          <w:tcPr>
            <w:tcW w:w="1260" w:type="dxa"/>
            <w:noWrap/>
          </w:tcPr>
          <w:p w14:paraId="0EBCF445" w14:textId="1C2BA790" w:rsidR="00B868C5" w:rsidRPr="00CE6915" w:rsidRDefault="00B868C5" w:rsidP="00B868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CE6915">
              <w:rPr>
                <w:rFonts w:ascii="Times New Roman" w:hAnsi="Times New Roman" w:cs="Times New Roman"/>
                <w:color w:val="000000"/>
              </w:rPr>
              <w:t>30,441</w:t>
            </w:r>
          </w:p>
        </w:tc>
        <w:tc>
          <w:tcPr>
            <w:tcW w:w="1260" w:type="dxa"/>
            <w:noWrap/>
          </w:tcPr>
          <w:p w14:paraId="01F3BD3B" w14:textId="51C7FD21" w:rsidR="00B868C5" w:rsidRPr="00CE6915" w:rsidRDefault="00B868C5" w:rsidP="00B868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CE6915">
              <w:rPr>
                <w:rFonts w:ascii="Times New Roman" w:hAnsi="Times New Roman" w:cs="Times New Roman"/>
                <w:color w:val="000000"/>
              </w:rPr>
              <w:t>43,805</w:t>
            </w:r>
          </w:p>
        </w:tc>
        <w:tc>
          <w:tcPr>
            <w:tcW w:w="1170" w:type="dxa"/>
            <w:noWrap/>
          </w:tcPr>
          <w:p w14:paraId="7EAF42D1" w14:textId="7AC5C1CE" w:rsidR="00B868C5" w:rsidRPr="00CE6915" w:rsidRDefault="00B868C5" w:rsidP="00B868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CE6915">
              <w:rPr>
                <w:rFonts w:ascii="Times New Roman" w:hAnsi="Times New Roman" w:cs="Times New Roman"/>
                <w:color w:val="000000"/>
              </w:rPr>
              <w:t>3,831</w:t>
            </w:r>
          </w:p>
        </w:tc>
        <w:tc>
          <w:tcPr>
            <w:tcW w:w="1255" w:type="dxa"/>
            <w:noWrap/>
          </w:tcPr>
          <w:p w14:paraId="24A34996" w14:textId="2FA433DF" w:rsidR="00B868C5" w:rsidRPr="00CE6915" w:rsidRDefault="00B868C5" w:rsidP="00B868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CE6915">
              <w:rPr>
                <w:rFonts w:ascii="Times New Roman" w:hAnsi="Times New Roman" w:cs="Times New Roman"/>
                <w:color w:val="000000"/>
              </w:rPr>
              <w:t>3,072</w:t>
            </w:r>
          </w:p>
        </w:tc>
        <w:tc>
          <w:tcPr>
            <w:tcW w:w="1170" w:type="dxa"/>
            <w:noWrap/>
          </w:tcPr>
          <w:p w14:paraId="274ABB10" w14:textId="4966C076" w:rsidR="00B868C5" w:rsidRPr="00CE6915" w:rsidRDefault="00B868C5" w:rsidP="00B868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CE6915">
              <w:rPr>
                <w:rFonts w:ascii="Times New Roman" w:hAnsi="Times New Roman" w:cs="Times New Roman"/>
                <w:color w:val="000000"/>
              </w:rPr>
              <w:t>4,590</w:t>
            </w:r>
          </w:p>
        </w:tc>
      </w:tr>
      <w:tr w:rsidR="00B868C5" w:rsidRPr="00CE6915" w14:paraId="49097AF5" w14:textId="77777777" w:rsidTr="00B868C5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5" w:type="dxa"/>
            <w:noWrap/>
            <w:hideMark/>
          </w:tcPr>
          <w:p w14:paraId="3A58D5C9" w14:textId="481B9C4B" w:rsidR="00B868C5" w:rsidRPr="00CE6915" w:rsidRDefault="00B868C5" w:rsidP="00B868C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6915">
              <w:rPr>
                <w:rFonts w:ascii="Times New Roman" w:hAnsi="Times New Roman" w:cs="Times New Roman"/>
                <w:color w:val="000000"/>
              </w:rPr>
              <w:t>37+</w:t>
            </w:r>
          </w:p>
        </w:tc>
        <w:tc>
          <w:tcPr>
            <w:tcW w:w="1235" w:type="dxa"/>
          </w:tcPr>
          <w:p w14:paraId="7D0E506A" w14:textId="63134C65" w:rsidR="00B868C5" w:rsidRPr="00CE6915" w:rsidRDefault="00B868C5" w:rsidP="00B868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CE6915">
              <w:rPr>
                <w:rFonts w:ascii="Times New Roman" w:hAnsi="Times New Roman" w:cs="Times New Roman"/>
                <w:color w:val="000000"/>
              </w:rPr>
              <w:t>24,143</w:t>
            </w:r>
          </w:p>
        </w:tc>
        <w:tc>
          <w:tcPr>
            <w:tcW w:w="1260" w:type="dxa"/>
            <w:noWrap/>
          </w:tcPr>
          <w:p w14:paraId="292FEEE4" w14:textId="3941AE00" w:rsidR="00B868C5" w:rsidRPr="00CE6915" w:rsidRDefault="00B868C5" w:rsidP="00B868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CE6915">
              <w:rPr>
                <w:rFonts w:ascii="Times New Roman" w:hAnsi="Times New Roman" w:cs="Times New Roman"/>
                <w:color w:val="000000"/>
              </w:rPr>
              <w:t>23,960</w:t>
            </w:r>
          </w:p>
        </w:tc>
        <w:tc>
          <w:tcPr>
            <w:tcW w:w="1260" w:type="dxa"/>
          </w:tcPr>
          <w:p w14:paraId="2EEC6863" w14:textId="27BD12D7" w:rsidR="00B868C5" w:rsidRPr="00CE6915" w:rsidRDefault="00B868C5" w:rsidP="00B868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CE6915">
              <w:rPr>
                <w:rFonts w:ascii="Times New Roman" w:hAnsi="Times New Roman" w:cs="Times New Roman"/>
                <w:color w:val="000000"/>
              </w:rPr>
              <w:t>24,327</w:t>
            </w:r>
          </w:p>
        </w:tc>
        <w:tc>
          <w:tcPr>
            <w:tcW w:w="1170" w:type="dxa"/>
            <w:noWrap/>
          </w:tcPr>
          <w:p w14:paraId="3E6D6359" w14:textId="1FCC632C" w:rsidR="00B868C5" w:rsidRPr="00CE6915" w:rsidRDefault="00B868C5" w:rsidP="00B868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CE6915">
              <w:rPr>
                <w:rFonts w:ascii="Times New Roman" w:hAnsi="Times New Roman" w:cs="Times New Roman"/>
                <w:color w:val="000000"/>
              </w:rPr>
              <w:t>8,642</w:t>
            </w:r>
          </w:p>
        </w:tc>
        <w:tc>
          <w:tcPr>
            <w:tcW w:w="1260" w:type="dxa"/>
            <w:noWrap/>
          </w:tcPr>
          <w:p w14:paraId="05892ED1" w14:textId="0046AF36" w:rsidR="00B868C5" w:rsidRPr="00CE6915" w:rsidRDefault="00B868C5" w:rsidP="00B868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CE6915">
              <w:rPr>
                <w:rFonts w:ascii="Times New Roman" w:hAnsi="Times New Roman" w:cs="Times New Roman"/>
                <w:color w:val="000000"/>
              </w:rPr>
              <w:t>8,348</w:t>
            </w:r>
          </w:p>
        </w:tc>
        <w:tc>
          <w:tcPr>
            <w:tcW w:w="1260" w:type="dxa"/>
            <w:noWrap/>
          </w:tcPr>
          <w:p w14:paraId="7AD5C776" w14:textId="32BC6463" w:rsidR="00B868C5" w:rsidRPr="00CE6915" w:rsidRDefault="00B868C5" w:rsidP="00B868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CE6915">
              <w:rPr>
                <w:rFonts w:ascii="Times New Roman" w:hAnsi="Times New Roman" w:cs="Times New Roman"/>
                <w:color w:val="000000"/>
              </w:rPr>
              <w:t>8,936</w:t>
            </w:r>
          </w:p>
        </w:tc>
        <w:tc>
          <w:tcPr>
            <w:tcW w:w="1170" w:type="dxa"/>
            <w:noWrap/>
          </w:tcPr>
          <w:p w14:paraId="7651FB44" w14:textId="0FA8EA35" w:rsidR="00B868C5" w:rsidRPr="00CE6915" w:rsidRDefault="00B868C5" w:rsidP="00B868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CE6915">
              <w:rPr>
                <w:rFonts w:ascii="Times New Roman" w:hAnsi="Times New Roman" w:cs="Times New Roman"/>
                <w:color w:val="000000"/>
              </w:rPr>
              <w:t>2,642</w:t>
            </w:r>
          </w:p>
        </w:tc>
        <w:tc>
          <w:tcPr>
            <w:tcW w:w="1255" w:type="dxa"/>
            <w:noWrap/>
          </w:tcPr>
          <w:p w14:paraId="42215438" w14:textId="05F24F87" w:rsidR="00B868C5" w:rsidRPr="00CE6915" w:rsidRDefault="00B868C5" w:rsidP="00B868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CE6915">
              <w:rPr>
                <w:rFonts w:ascii="Times New Roman" w:hAnsi="Times New Roman" w:cs="Times New Roman"/>
                <w:color w:val="000000"/>
              </w:rPr>
              <w:t>2,510</w:t>
            </w:r>
          </w:p>
        </w:tc>
        <w:tc>
          <w:tcPr>
            <w:tcW w:w="1170" w:type="dxa"/>
            <w:noWrap/>
          </w:tcPr>
          <w:p w14:paraId="13A8AD35" w14:textId="3BE1ADA8" w:rsidR="00B868C5" w:rsidRPr="00CE6915" w:rsidRDefault="00B868C5" w:rsidP="00B868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CE6915">
              <w:rPr>
                <w:rFonts w:ascii="Times New Roman" w:hAnsi="Times New Roman" w:cs="Times New Roman"/>
                <w:color w:val="000000"/>
              </w:rPr>
              <w:t>2,775</w:t>
            </w:r>
          </w:p>
        </w:tc>
      </w:tr>
    </w:tbl>
    <w:p w14:paraId="0BBEE565" w14:textId="77777777" w:rsidR="00C47F0C" w:rsidRPr="00CE6915" w:rsidRDefault="00C47F0C" w:rsidP="00C47F0C">
      <w:pPr>
        <w:spacing w:line="276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3A4B10B7" w14:textId="0C1F67CE" w:rsidR="00C47F0C" w:rsidRPr="00CE6915" w:rsidRDefault="00C47F0C" w:rsidP="00C47F0C">
      <w:pPr>
        <w:spacing w:line="276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CE6915">
        <w:rPr>
          <w:rFonts w:ascii="Times New Roman" w:hAnsi="Times New Roman" w:cs="Times New Roman"/>
          <w:color w:val="000000"/>
          <w:sz w:val="18"/>
          <w:szCs w:val="18"/>
        </w:rPr>
        <w:t xml:space="preserve">All values are reported in 2018 USD. Costs were sourced from the HIRD. </w:t>
      </w:r>
      <w:r w:rsidR="006444E6" w:rsidRPr="00CE6915">
        <w:rPr>
          <w:rFonts w:ascii="Times New Roman" w:hAnsi="Times New Roman" w:cs="Times New Roman"/>
          <w:color w:val="000000"/>
          <w:sz w:val="18"/>
          <w:szCs w:val="18"/>
        </w:rPr>
        <w:t xml:space="preserve">Maternal care costs were derived from a cohort with complete enrollment during pregnancy and ≥12 months enrollment after delivery. Infant care costs were derived from a cohort with no minimum required enrollment and without further adjustment. </w:t>
      </w:r>
      <w:r w:rsidRPr="00CE6915">
        <w:rPr>
          <w:rFonts w:ascii="Times New Roman" w:hAnsi="Times New Roman" w:cs="Times New Roman"/>
          <w:color w:val="000000"/>
          <w:sz w:val="18"/>
          <w:szCs w:val="18"/>
        </w:rPr>
        <w:t>Lower and upper limits refer to 95% confidence</w:t>
      </w:r>
      <w:r w:rsidR="00B83AA8" w:rsidRPr="00CE6915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CE6915">
        <w:rPr>
          <w:rFonts w:ascii="Times New Roman" w:hAnsi="Times New Roman" w:cs="Times New Roman"/>
          <w:color w:val="000000"/>
          <w:sz w:val="18"/>
          <w:szCs w:val="18"/>
        </w:rPr>
        <w:t>intervals. For PSA, all costs were modelled via gamma distributions.</w:t>
      </w:r>
    </w:p>
    <w:p w14:paraId="3E0B92DE" w14:textId="77777777" w:rsidR="003F65EC" w:rsidRPr="00CE6915" w:rsidRDefault="003F65EC" w:rsidP="00C47F0C">
      <w:pPr>
        <w:rPr>
          <w:rFonts w:asciiTheme="majorBidi" w:hAnsiTheme="majorBidi" w:cstheme="majorBidi"/>
          <w:bCs/>
          <w:color w:val="000000"/>
          <w:sz w:val="24"/>
          <w:szCs w:val="24"/>
        </w:rPr>
        <w:sectPr w:rsidR="003F65EC" w:rsidRPr="00CE6915" w:rsidSect="003F65EC"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p w14:paraId="6FAD04AB" w14:textId="2E521D53" w:rsidR="00B868C5" w:rsidRPr="00CE6915" w:rsidRDefault="00B868C5" w:rsidP="00B868C5">
      <w:pPr>
        <w:spacing w:line="276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bookmarkStart w:id="4" w:name="_Hlk64393782"/>
      <w:r w:rsidRPr="00CE6915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Table A4. </w:t>
      </w:r>
      <w:r w:rsidRPr="00CE691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Model assumptions on infant costs for </w:t>
      </w:r>
      <w:r w:rsidR="000F75F9" w:rsidRPr="00CE6915">
        <w:rPr>
          <w:rFonts w:ascii="Times New Roman" w:hAnsi="Times New Roman" w:cs="Times New Roman"/>
          <w:bCs/>
          <w:color w:val="000000"/>
          <w:sz w:val="24"/>
          <w:szCs w:val="24"/>
        </w:rPr>
        <w:t>S</w:t>
      </w:r>
      <w:r w:rsidRPr="00CE6915">
        <w:rPr>
          <w:rFonts w:ascii="Times New Roman" w:hAnsi="Times New Roman" w:cs="Times New Roman"/>
          <w:bCs/>
          <w:color w:val="000000"/>
          <w:sz w:val="24"/>
          <w:szCs w:val="24"/>
        </w:rPr>
        <w:t>cenario 3 (costs of continuously enrolled</w:t>
      </w:r>
      <w:r w:rsidR="00491690" w:rsidRPr="00CE691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CE6915">
        <w:rPr>
          <w:rFonts w:ascii="Times New Roman" w:hAnsi="Times New Roman" w:cs="Times New Roman"/>
          <w:bCs/>
          <w:color w:val="000000"/>
          <w:sz w:val="24"/>
          <w:szCs w:val="24"/>
        </w:rPr>
        <w:t>infants only)</w:t>
      </w:r>
    </w:p>
    <w:bookmarkEnd w:id="4"/>
    <w:p w14:paraId="5B99021D" w14:textId="77777777" w:rsidR="00B868C5" w:rsidRPr="00CE6915" w:rsidRDefault="00B868C5" w:rsidP="00B868C5">
      <w:pPr>
        <w:spacing w:line="276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tbl>
      <w:tblPr>
        <w:tblStyle w:val="GridTable1Light"/>
        <w:tblW w:w="6295" w:type="dxa"/>
        <w:tblLayout w:type="fixed"/>
        <w:tblLook w:val="04A0" w:firstRow="1" w:lastRow="0" w:firstColumn="1" w:lastColumn="0" w:noHBand="0" w:noVBand="1"/>
      </w:tblPr>
      <w:tblGrid>
        <w:gridCol w:w="1105"/>
        <w:gridCol w:w="2490"/>
        <w:gridCol w:w="2700"/>
      </w:tblGrid>
      <w:tr w:rsidR="00B868C5" w:rsidRPr="00CE6915" w14:paraId="3F593794" w14:textId="6EF2EFCB" w:rsidTr="006225A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5" w:type="dxa"/>
            <w:hideMark/>
          </w:tcPr>
          <w:p w14:paraId="17F30541" w14:textId="77777777" w:rsidR="00B868C5" w:rsidRPr="00CE6915" w:rsidRDefault="00B868C5" w:rsidP="00F375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6915">
              <w:rPr>
                <w:rFonts w:ascii="Times New Roman" w:hAnsi="Times New Roman" w:cs="Times New Roman"/>
                <w:color w:val="000000"/>
              </w:rPr>
              <w:t>Weeks of gestation</w:t>
            </w:r>
          </w:p>
        </w:tc>
        <w:tc>
          <w:tcPr>
            <w:tcW w:w="2490" w:type="dxa"/>
            <w:tcBorders>
              <w:right w:val="single" w:sz="4" w:space="0" w:color="999999" w:themeColor="text1" w:themeTint="66"/>
            </w:tcBorders>
            <w:hideMark/>
          </w:tcPr>
          <w:p w14:paraId="7C163AD7" w14:textId="77777777" w:rsidR="00B868C5" w:rsidRPr="00CE6915" w:rsidRDefault="00B868C5" w:rsidP="00F3751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000000"/>
              </w:rPr>
            </w:pPr>
            <w:r w:rsidRPr="00CE6915">
              <w:rPr>
                <w:rFonts w:ascii="Times New Roman" w:hAnsi="Times New Roman" w:cs="Times New Roman"/>
                <w:color w:val="000000"/>
              </w:rPr>
              <w:t>Infant care costs ($)</w:t>
            </w:r>
            <w:r w:rsidRPr="00CE6915">
              <w:rPr>
                <w:rFonts w:ascii="Times New Roman" w:hAnsi="Times New Roman" w:cs="Times New Roman"/>
                <w:color w:val="000000"/>
              </w:rPr>
              <w:br/>
              <w:t>(birth to 12m post-birth)</w:t>
            </w:r>
          </w:p>
          <w:p w14:paraId="3B0457F3" w14:textId="05B6E060" w:rsidR="00B868C5" w:rsidRPr="00CE6915" w:rsidRDefault="00B868C5" w:rsidP="00F3751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CE6915">
              <w:rPr>
                <w:rFonts w:ascii="Times New Roman" w:hAnsi="Times New Roman" w:cs="Times New Roman"/>
                <w:color w:val="000000"/>
              </w:rPr>
              <w:t>N=</w:t>
            </w:r>
            <w:r w:rsidR="00491690" w:rsidRPr="00CE6915">
              <w:rPr>
                <w:rFonts w:ascii="Times New Roman" w:hAnsi="Times New Roman" w:cs="Times New Roman"/>
                <w:color w:val="000000"/>
              </w:rPr>
              <w:t>40,116</w:t>
            </w:r>
          </w:p>
        </w:tc>
        <w:tc>
          <w:tcPr>
            <w:tcW w:w="2700" w:type="dxa"/>
            <w:tcBorders>
              <w:left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7BEE4F1B" w14:textId="77777777" w:rsidR="00B868C5" w:rsidRPr="00CE6915" w:rsidRDefault="00B868C5" w:rsidP="00B868C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000000"/>
              </w:rPr>
            </w:pPr>
            <w:r w:rsidRPr="00CE6915">
              <w:rPr>
                <w:rFonts w:ascii="Times New Roman" w:hAnsi="Times New Roman" w:cs="Times New Roman"/>
                <w:color w:val="000000"/>
              </w:rPr>
              <w:t>Infant care costs ($)</w:t>
            </w:r>
            <w:r w:rsidRPr="00CE6915">
              <w:rPr>
                <w:rFonts w:ascii="Times New Roman" w:hAnsi="Times New Roman" w:cs="Times New Roman"/>
                <w:color w:val="000000"/>
              </w:rPr>
              <w:br/>
              <w:t>(13m to 30m post-birth)</w:t>
            </w:r>
          </w:p>
          <w:p w14:paraId="30AEDCCB" w14:textId="6DA90DC0" w:rsidR="00B868C5" w:rsidRPr="00CE6915" w:rsidRDefault="00491690" w:rsidP="00B868C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CE6915">
              <w:rPr>
                <w:rFonts w:ascii="Times New Roman" w:hAnsi="Times New Roman" w:cs="Times New Roman"/>
                <w:color w:val="000000"/>
              </w:rPr>
              <w:t>N=22,212</w:t>
            </w:r>
          </w:p>
        </w:tc>
      </w:tr>
      <w:tr w:rsidR="00491690" w:rsidRPr="00CE6915" w14:paraId="774EB618" w14:textId="77777777" w:rsidTr="006225AF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5" w:type="dxa"/>
            <w:noWrap/>
            <w:hideMark/>
          </w:tcPr>
          <w:p w14:paraId="03168E32" w14:textId="77777777" w:rsidR="00491690" w:rsidRPr="00CE6915" w:rsidRDefault="00491690" w:rsidP="0049169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6915"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2490" w:type="dxa"/>
            <w:tcBorders>
              <w:right w:val="single" w:sz="4" w:space="0" w:color="999999" w:themeColor="text1" w:themeTint="66"/>
            </w:tcBorders>
            <w:noWrap/>
          </w:tcPr>
          <w:p w14:paraId="0EBF21C6" w14:textId="77A41E5D" w:rsidR="00491690" w:rsidRPr="00CE6915" w:rsidRDefault="00491690" w:rsidP="004916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CE6915">
              <w:rPr>
                <w:rFonts w:ascii="Times New Roman" w:hAnsi="Times New Roman" w:cs="Times New Roman"/>
                <w:color w:val="000000"/>
              </w:rPr>
              <w:t>632,808</w:t>
            </w:r>
          </w:p>
        </w:tc>
        <w:tc>
          <w:tcPr>
            <w:tcW w:w="2700" w:type="dxa"/>
            <w:tcBorders>
              <w:left w:val="single" w:sz="4" w:space="0" w:color="999999" w:themeColor="text1" w:themeTint="66"/>
              <w:right w:val="single" w:sz="4" w:space="0" w:color="999999" w:themeColor="text1" w:themeTint="66"/>
            </w:tcBorders>
            <w:noWrap/>
          </w:tcPr>
          <w:p w14:paraId="2B28FB02" w14:textId="4EC4D152" w:rsidR="00491690" w:rsidRPr="00CE6915" w:rsidRDefault="00491690" w:rsidP="004916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CE6915">
              <w:rPr>
                <w:rFonts w:ascii="Times New Roman" w:hAnsi="Times New Roman" w:cs="Times New Roman"/>
                <w:color w:val="000000"/>
              </w:rPr>
              <w:t>49,948</w:t>
            </w:r>
          </w:p>
        </w:tc>
      </w:tr>
      <w:tr w:rsidR="00491690" w:rsidRPr="00CE6915" w14:paraId="285C4402" w14:textId="77777777" w:rsidTr="00B868C5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5" w:type="dxa"/>
            <w:noWrap/>
            <w:hideMark/>
          </w:tcPr>
          <w:p w14:paraId="21ACB44D" w14:textId="77777777" w:rsidR="00491690" w:rsidRPr="00CE6915" w:rsidRDefault="00491690" w:rsidP="0049169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6915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2490" w:type="dxa"/>
            <w:noWrap/>
          </w:tcPr>
          <w:p w14:paraId="2776E733" w14:textId="6E2DCE31" w:rsidR="00491690" w:rsidRPr="00CE6915" w:rsidRDefault="00491690" w:rsidP="004916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CE6915">
              <w:rPr>
                <w:rFonts w:ascii="Times New Roman" w:hAnsi="Times New Roman" w:cs="Times New Roman"/>
                <w:color w:val="000000"/>
              </w:rPr>
              <w:t>875,166</w:t>
            </w:r>
          </w:p>
        </w:tc>
        <w:tc>
          <w:tcPr>
            <w:tcW w:w="2700" w:type="dxa"/>
            <w:noWrap/>
          </w:tcPr>
          <w:p w14:paraId="75AB0D31" w14:textId="6F9F1AAA" w:rsidR="00491690" w:rsidRPr="00CE6915" w:rsidRDefault="00491690" w:rsidP="004916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CE6915">
              <w:rPr>
                <w:rFonts w:ascii="Times New Roman" w:hAnsi="Times New Roman" w:cs="Times New Roman"/>
                <w:color w:val="000000"/>
              </w:rPr>
              <w:t>49,948</w:t>
            </w:r>
          </w:p>
        </w:tc>
      </w:tr>
      <w:tr w:rsidR="00491690" w:rsidRPr="00CE6915" w14:paraId="1AADA7A2" w14:textId="77777777" w:rsidTr="00B868C5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5" w:type="dxa"/>
            <w:noWrap/>
            <w:hideMark/>
          </w:tcPr>
          <w:p w14:paraId="76A9C8BB" w14:textId="77777777" w:rsidR="00491690" w:rsidRPr="00CE6915" w:rsidRDefault="00491690" w:rsidP="0049169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6915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2490" w:type="dxa"/>
            <w:noWrap/>
          </w:tcPr>
          <w:p w14:paraId="6107DC41" w14:textId="6E4C2A1B" w:rsidR="00491690" w:rsidRPr="00CE6915" w:rsidRDefault="00491690" w:rsidP="004916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CE6915">
              <w:rPr>
                <w:rFonts w:ascii="Times New Roman" w:hAnsi="Times New Roman" w:cs="Times New Roman"/>
                <w:color w:val="000000"/>
              </w:rPr>
              <w:t>546,558</w:t>
            </w:r>
          </w:p>
        </w:tc>
        <w:tc>
          <w:tcPr>
            <w:tcW w:w="2700" w:type="dxa"/>
            <w:noWrap/>
          </w:tcPr>
          <w:p w14:paraId="393F169A" w14:textId="45CEF0D5" w:rsidR="00491690" w:rsidRPr="00CE6915" w:rsidRDefault="00491690" w:rsidP="004916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CE6915">
              <w:rPr>
                <w:rFonts w:ascii="Times New Roman" w:hAnsi="Times New Roman" w:cs="Times New Roman"/>
                <w:color w:val="000000"/>
              </w:rPr>
              <w:t>17,802</w:t>
            </w:r>
          </w:p>
        </w:tc>
      </w:tr>
      <w:tr w:rsidR="00491690" w:rsidRPr="00CE6915" w14:paraId="6A9E0916" w14:textId="77777777" w:rsidTr="00B868C5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5" w:type="dxa"/>
            <w:noWrap/>
            <w:hideMark/>
          </w:tcPr>
          <w:p w14:paraId="1304A435" w14:textId="77777777" w:rsidR="00491690" w:rsidRPr="00CE6915" w:rsidRDefault="00491690" w:rsidP="0049169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6915"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2490" w:type="dxa"/>
            <w:noWrap/>
          </w:tcPr>
          <w:p w14:paraId="56B775BD" w14:textId="7AF834D5" w:rsidR="00491690" w:rsidRPr="00CE6915" w:rsidRDefault="00491690" w:rsidP="004916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CE6915">
              <w:rPr>
                <w:rFonts w:ascii="Times New Roman" w:hAnsi="Times New Roman" w:cs="Times New Roman"/>
                <w:color w:val="000000"/>
              </w:rPr>
              <w:t>648,327</w:t>
            </w:r>
          </w:p>
        </w:tc>
        <w:tc>
          <w:tcPr>
            <w:tcW w:w="2700" w:type="dxa"/>
            <w:noWrap/>
          </w:tcPr>
          <w:p w14:paraId="106B8774" w14:textId="2EF9E5A2" w:rsidR="00491690" w:rsidRPr="00CE6915" w:rsidRDefault="00491690" w:rsidP="004916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CE6915">
              <w:rPr>
                <w:rFonts w:ascii="Times New Roman" w:hAnsi="Times New Roman" w:cs="Times New Roman"/>
                <w:color w:val="000000"/>
              </w:rPr>
              <w:t>56,047</w:t>
            </w:r>
          </w:p>
        </w:tc>
      </w:tr>
      <w:tr w:rsidR="00491690" w:rsidRPr="00CE6915" w14:paraId="2704E1F2" w14:textId="77777777" w:rsidTr="00B868C5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5" w:type="dxa"/>
            <w:noWrap/>
            <w:hideMark/>
          </w:tcPr>
          <w:p w14:paraId="4BCF8102" w14:textId="77777777" w:rsidR="00491690" w:rsidRPr="00CE6915" w:rsidRDefault="00491690" w:rsidP="0049169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6915"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2490" w:type="dxa"/>
            <w:noWrap/>
          </w:tcPr>
          <w:p w14:paraId="5FC21EAF" w14:textId="1F0FC64B" w:rsidR="00491690" w:rsidRPr="00CE6915" w:rsidRDefault="00491690" w:rsidP="004916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CE6915">
              <w:rPr>
                <w:rFonts w:ascii="Times New Roman" w:hAnsi="Times New Roman" w:cs="Times New Roman"/>
                <w:color w:val="000000"/>
              </w:rPr>
              <w:t>549,492</w:t>
            </w:r>
          </w:p>
        </w:tc>
        <w:tc>
          <w:tcPr>
            <w:tcW w:w="2700" w:type="dxa"/>
            <w:noWrap/>
          </w:tcPr>
          <w:p w14:paraId="6C2C747C" w14:textId="43EB51EA" w:rsidR="00491690" w:rsidRPr="00CE6915" w:rsidRDefault="00491690" w:rsidP="004916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CE6915">
              <w:rPr>
                <w:rFonts w:ascii="Times New Roman" w:hAnsi="Times New Roman" w:cs="Times New Roman"/>
                <w:color w:val="000000"/>
              </w:rPr>
              <w:t>44,765</w:t>
            </w:r>
          </w:p>
        </w:tc>
      </w:tr>
      <w:tr w:rsidR="00491690" w:rsidRPr="00CE6915" w14:paraId="0CF4C779" w14:textId="77777777" w:rsidTr="00B868C5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5" w:type="dxa"/>
            <w:noWrap/>
            <w:hideMark/>
          </w:tcPr>
          <w:p w14:paraId="015CBA63" w14:textId="77777777" w:rsidR="00491690" w:rsidRPr="00CE6915" w:rsidRDefault="00491690" w:rsidP="0049169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6915"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2490" w:type="dxa"/>
            <w:noWrap/>
          </w:tcPr>
          <w:p w14:paraId="3C12EA12" w14:textId="3B36E8EA" w:rsidR="00491690" w:rsidRPr="00CE6915" w:rsidRDefault="00491690" w:rsidP="004916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CE6915">
              <w:rPr>
                <w:rFonts w:ascii="Times New Roman" w:hAnsi="Times New Roman" w:cs="Times New Roman"/>
                <w:color w:val="000000"/>
              </w:rPr>
              <w:t>396,711</w:t>
            </w:r>
          </w:p>
        </w:tc>
        <w:tc>
          <w:tcPr>
            <w:tcW w:w="2700" w:type="dxa"/>
            <w:noWrap/>
          </w:tcPr>
          <w:p w14:paraId="333C96EA" w14:textId="35B26496" w:rsidR="00491690" w:rsidRPr="00CE6915" w:rsidRDefault="00491690" w:rsidP="004916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CE6915">
              <w:rPr>
                <w:rFonts w:ascii="Times New Roman" w:hAnsi="Times New Roman" w:cs="Times New Roman"/>
                <w:color w:val="000000"/>
              </w:rPr>
              <w:t>12,177</w:t>
            </w:r>
          </w:p>
        </w:tc>
      </w:tr>
      <w:tr w:rsidR="00491690" w:rsidRPr="00CE6915" w14:paraId="391CB189" w14:textId="77777777" w:rsidTr="00B868C5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5" w:type="dxa"/>
            <w:noWrap/>
            <w:hideMark/>
          </w:tcPr>
          <w:p w14:paraId="25952288" w14:textId="77777777" w:rsidR="00491690" w:rsidRPr="00CE6915" w:rsidRDefault="00491690" w:rsidP="0049169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6915">
              <w:rPr>
                <w:rFonts w:ascii="Times New Roman" w:hAnsi="Times New Roman" w:cs="Times New Roman"/>
                <w:color w:val="000000"/>
              </w:rPr>
              <w:t>29</w:t>
            </w:r>
          </w:p>
        </w:tc>
        <w:tc>
          <w:tcPr>
            <w:tcW w:w="2490" w:type="dxa"/>
            <w:noWrap/>
          </w:tcPr>
          <w:p w14:paraId="361800A7" w14:textId="44921F4A" w:rsidR="00491690" w:rsidRPr="00CE6915" w:rsidRDefault="00491690" w:rsidP="004916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CE6915">
              <w:rPr>
                <w:rFonts w:ascii="Times New Roman" w:hAnsi="Times New Roman" w:cs="Times New Roman"/>
                <w:color w:val="000000"/>
              </w:rPr>
              <w:t>319,118</w:t>
            </w:r>
          </w:p>
        </w:tc>
        <w:tc>
          <w:tcPr>
            <w:tcW w:w="2700" w:type="dxa"/>
            <w:noWrap/>
          </w:tcPr>
          <w:p w14:paraId="2865015C" w14:textId="17C99B85" w:rsidR="00491690" w:rsidRPr="00CE6915" w:rsidRDefault="00491690" w:rsidP="004916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CE6915">
              <w:rPr>
                <w:rFonts w:ascii="Times New Roman" w:hAnsi="Times New Roman" w:cs="Times New Roman"/>
                <w:color w:val="000000"/>
              </w:rPr>
              <w:t>11,959</w:t>
            </w:r>
          </w:p>
        </w:tc>
      </w:tr>
      <w:tr w:rsidR="00491690" w:rsidRPr="00CE6915" w14:paraId="26481F02" w14:textId="77777777" w:rsidTr="00B868C5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5" w:type="dxa"/>
            <w:noWrap/>
            <w:hideMark/>
          </w:tcPr>
          <w:p w14:paraId="1CD3B55B" w14:textId="77777777" w:rsidR="00491690" w:rsidRPr="00CE6915" w:rsidRDefault="00491690" w:rsidP="0049169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6915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2490" w:type="dxa"/>
            <w:noWrap/>
          </w:tcPr>
          <w:p w14:paraId="6A7262BB" w14:textId="34C74242" w:rsidR="00491690" w:rsidRPr="00CE6915" w:rsidRDefault="00491690" w:rsidP="004916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CE6915">
              <w:rPr>
                <w:rFonts w:ascii="Times New Roman" w:hAnsi="Times New Roman" w:cs="Times New Roman"/>
                <w:color w:val="000000"/>
              </w:rPr>
              <w:t>257,987</w:t>
            </w:r>
          </w:p>
        </w:tc>
        <w:tc>
          <w:tcPr>
            <w:tcW w:w="2700" w:type="dxa"/>
            <w:noWrap/>
          </w:tcPr>
          <w:p w14:paraId="304E5E4E" w14:textId="2C600CAB" w:rsidR="00491690" w:rsidRPr="00CE6915" w:rsidRDefault="00491690" w:rsidP="004916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CE6915">
              <w:rPr>
                <w:rFonts w:ascii="Times New Roman" w:hAnsi="Times New Roman" w:cs="Times New Roman"/>
                <w:color w:val="000000"/>
              </w:rPr>
              <w:t>12,044</w:t>
            </w:r>
          </w:p>
        </w:tc>
      </w:tr>
      <w:tr w:rsidR="00491690" w:rsidRPr="00CE6915" w14:paraId="3689EA78" w14:textId="77777777" w:rsidTr="00B868C5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5" w:type="dxa"/>
            <w:noWrap/>
            <w:hideMark/>
          </w:tcPr>
          <w:p w14:paraId="37DA53B1" w14:textId="77777777" w:rsidR="00491690" w:rsidRPr="00CE6915" w:rsidRDefault="00491690" w:rsidP="0049169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6915">
              <w:rPr>
                <w:rFonts w:ascii="Times New Roman" w:hAnsi="Times New Roman" w:cs="Times New Roman"/>
                <w:color w:val="000000"/>
              </w:rPr>
              <w:t>31</w:t>
            </w:r>
          </w:p>
        </w:tc>
        <w:tc>
          <w:tcPr>
            <w:tcW w:w="2490" w:type="dxa"/>
            <w:noWrap/>
          </w:tcPr>
          <w:p w14:paraId="11CC5B95" w14:textId="5B45B8CA" w:rsidR="00491690" w:rsidRPr="00CE6915" w:rsidRDefault="00491690" w:rsidP="004916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CE6915">
              <w:rPr>
                <w:rFonts w:ascii="Times New Roman" w:hAnsi="Times New Roman" w:cs="Times New Roman"/>
                <w:color w:val="000000"/>
              </w:rPr>
              <w:t>292,950</w:t>
            </w:r>
          </w:p>
        </w:tc>
        <w:tc>
          <w:tcPr>
            <w:tcW w:w="2700" w:type="dxa"/>
            <w:noWrap/>
          </w:tcPr>
          <w:p w14:paraId="52EFC72C" w14:textId="7BD2BD4E" w:rsidR="00491690" w:rsidRPr="00CE6915" w:rsidRDefault="00491690" w:rsidP="004916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CE6915">
              <w:rPr>
                <w:rFonts w:ascii="Times New Roman" w:hAnsi="Times New Roman" w:cs="Times New Roman"/>
                <w:color w:val="000000"/>
              </w:rPr>
              <w:t>26,853</w:t>
            </w:r>
          </w:p>
        </w:tc>
      </w:tr>
      <w:tr w:rsidR="00491690" w:rsidRPr="00CE6915" w14:paraId="70EA66D0" w14:textId="77777777" w:rsidTr="00B868C5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5" w:type="dxa"/>
            <w:noWrap/>
            <w:hideMark/>
          </w:tcPr>
          <w:p w14:paraId="63F4C48D" w14:textId="77777777" w:rsidR="00491690" w:rsidRPr="00CE6915" w:rsidRDefault="00491690" w:rsidP="0049169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6915">
              <w:rPr>
                <w:rFonts w:ascii="Times New Roman" w:hAnsi="Times New Roman" w:cs="Times New Roman"/>
                <w:color w:val="000000"/>
              </w:rPr>
              <w:t>32</w:t>
            </w:r>
          </w:p>
        </w:tc>
        <w:tc>
          <w:tcPr>
            <w:tcW w:w="2490" w:type="dxa"/>
            <w:noWrap/>
          </w:tcPr>
          <w:p w14:paraId="44F1D855" w14:textId="1CCEFCEB" w:rsidR="00491690" w:rsidRPr="00CE6915" w:rsidRDefault="00491690" w:rsidP="004916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CE6915">
              <w:rPr>
                <w:rFonts w:ascii="Times New Roman" w:hAnsi="Times New Roman" w:cs="Times New Roman"/>
                <w:color w:val="000000"/>
              </w:rPr>
              <w:t>141,001</w:t>
            </w:r>
          </w:p>
        </w:tc>
        <w:tc>
          <w:tcPr>
            <w:tcW w:w="2700" w:type="dxa"/>
            <w:noWrap/>
          </w:tcPr>
          <w:p w14:paraId="3692E1E4" w14:textId="5EB55A96" w:rsidR="00491690" w:rsidRPr="00CE6915" w:rsidRDefault="00491690" w:rsidP="004916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CE6915">
              <w:rPr>
                <w:rFonts w:ascii="Times New Roman" w:hAnsi="Times New Roman" w:cs="Times New Roman"/>
                <w:color w:val="000000"/>
              </w:rPr>
              <w:t>7,787</w:t>
            </w:r>
          </w:p>
        </w:tc>
      </w:tr>
      <w:tr w:rsidR="00491690" w:rsidRPr="00CE6915" w14:paraId="2CEB411D" w14:textId="77777777" w:rsidTr="00B868C5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5" w:type="dxa"/>
            <w:noWrap/>
            <w:hideMark/>
          </w:tcPr>
          <w:p w14:paraId="6B773771" w14:textId="77777777" w:rsidR="00491690" w:rsidRPr="00CE6915" w:rsidRDefault="00491690" w:rsidP="0049169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6915">
              <w:rPr>
                <w:rFonts w:ascii="Times New Roman" w:hAnsi="Times New Roman" w:cs="Times New Roman"/>
                <w:color w:val="000000"/>
              </w:rPr>
              <w:t>33</w:t>
            </w:r>
          </w:p>
        </w:tc>
        <w:tc>
          <w:tcPr>
            <w:tcW w:w="2490" w:type="dxa"/>
            <w:noWrap/>
          </w:tcPr>
          <w:p w14:paraId="7034A92A" w14:textId="4BC98D8D" w:rsidR="00491690" w:rsidRPr="00CE6915" w:rsidRDefault="00491690" w:rsidP="004916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CE6915">
              <w:rPr>
                <w:rFonts w:ascii="Times New Roman" w:hAnsi="Times New Roman" w:cs="Times New Roman"/>
                <w:color w:val="000000"/>
              </w:rPr>
              <w:t>119,681</w:t>
            </w:r>
          </w:p>
        </w:tc>
        <w:tc>
          <w:tcPr>
            <w:tcW w:w="2700" w:type="dxa"/>
            <w:noWrap/>
          </w:tcPr>
          <w:p w14:paraId="5B550289" w14:textId="6E611311" w:rsidR="00491690" w:rsidRPr="00CE6915" w:rsidRDefault="00491690" w:rsidP="004916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CE6915">
              <w:rPr>
                <w:rFonts w:ascii="Times New Roman" w:hAnsi="Times New Roman" w:cs="Times New Roman"/>
                <w:color w:val="000000"/>
              </w:rPr>
              <w:t>10,729</w:t>
            </w:r>
          </w:p>
        </w:tc>
      </w:tr>
      <w:tr w:rsidR="00491690" w:rsidRPr="00CE6915" w14:paraId="6605C753" w14:textId="77777777" w:rsidTr="00B868C5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5" w:type="dxa"/>
            <w:noWrap/>
            <w:hideMark/>
          </w:tcPr>
          <w:p w14:paraId="582DAF61" w14:textId="77777777" w:rsidR="00491690" w:rsidRPr="00CE6915" w:rsidRDefault="00491690" w:rsidP="0049169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6915">
              <w:rPr>
                <w:rFonts w:ascii="Times New Roman" w:hAnsi="Times New Roman" w:cs="Times New Roman"/>
                <w:color w:val="000000"/>
              </w:rPr>
              <w:t>34</w:t>
            </w:r>
          </w:p>
        </w:tc>
        <w:tc>
          <w:tcPr>
            <w:tcW w:w="2490" w:type="dxa"/>
            <w:noWrap/>
          </w:tcPr>
          <w:p w14:paraId="19E8C141" w14:textId="0E482D52" w:rsidR="00491690" w:rsidRPr="00CE6915" w:rsidRDefault="00491690" w:rsidP="004916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CE6915">
              <w:rPr>
                <w:rFonts w:ascii="Times New Roman" w:hAnsi="Times New Roman" w:cs="Times New Roman"/>
                <w:color w:val="000000"/>
              </w:rPr>
              <w:t>86,980</w:t>
            </w:r>
          </w:p>
        </w:tc>
        <w:tc>
          <w:tcPr>
            <w:tcW w:w="2700" w:type="dxa"/>
            <w:noWrap/>
          </w:tcPr>
          <w:p w14:paraId="22CD10DB" w14:textId="1D256691" w:rsidR="00491690" w:rsidRPr="00CE6915" w:rsidRDefault="00491690" w:rsidP="004916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CE6915">
              <w:rPr>
                <w:rFonts w:ascii="Times New Roman" w:hAnsi="Times New Roman" w:cs="Times New Roman"/>
                <w:color w:val="000000"/>
              </w:rPr>
              <w:t>6,369</w:t>
            </w:r>
          </w:p>
        </w:tc>
      </w:tr>
      <w:tr w:rsidR="00491690" w:rsidRPr="00CE6915" w14:paraId="018D5761" w14:textId="77777777" w:rsidTr="00B868C5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5" w:type="dxa"/>
            <w:noWrap/>
            <w:hideMark/>
          </w:tcPr>
          <w:p w14:paraId="06BCA58E" w14:textId="77777777" w:rsidR="00491690" w:rsidRPr="00CE6915" w:rsidRDefault="00491690" w:rsidP="0049169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6915">
              <w:rPr>
                <w:rFonts w:ascii="Times New Roman" w:hAnsi="Times New Roman" w:cs="Times New Roman"/>
                <w:color w:val="000000"/>
              </w:rPr>
              <w:t>35</w:t>
            </w:r>
          </w:p>
        </w:tc>
        <w:tc>
          <w:tcPr>
            <w:tcW w:w="2490" w:type="dxa"/>
            <w:noWrap/>
          </w:tcPr>
          <w:p w14:paraId="27D6109D" w14:textId="01FF6721" w:rsidR="00491690" w:rsidRPr="00CE6915" w:rsidRDefault="00491690" w:rsidP="004916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CE6915">
              <w:rPr>
                <w:rFonts w:ascii="Times New Roman" w:hAnsi="Times New Roman" w:cs="Times New Roman"/>
                <w:color w:val="000000"/>
              </w:rPr>
              <w:t>45,484</w:t>
            </w:r>
          </w:p>
        </w:tc>
        <w:tc>
          <w:tcPr>
            <w:tcW w:w="2700" w:type="dxa"/>
            <w:noWrap/>
          </w:tcPr>
          <w:p w14:paraId="12EB1040" w14:textId="3EDC9806" w:rsidR="00491690" w:rsidRPr="00CE6915" w:rsidRDefault="00491690" w:rsidP="004916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CE6915">
              <w:rPr>
                <w:rFonts w:ascii="Times New Roman" w:hAnsi="Times New Roman" w:cs="Times New Roman"/>
                <w:color w:val="000000"/>
              </w:rPr>
              <w:t>8,021</w:t>
            </w:r>
          </w:p>
        </w:tc>
      </w:tr>
      <w:tr w:rsidR="00491690" w:rsidRPr="00CE6915" w14:paraId="29ED540F" w14:textId="77777777" w:rsidTr="00B868C5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5" w:type="dxa"/>
            <w:noWrap/>
            <w:hideMark/>
          </w:tcPr>
          <w:p w14:paraId="265DC92E" w14:textId="77777777" w:rsidR="00491690" w:rsidRPr="00CE6915" w:rsidRDefault="00491690" w:rsidP="0049169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6915">
              <w:rPr>
                <w:rFonts w:ascii="Times New Roman" w:hAnsi="Times New Roman" w:cs="Times New Roman"/>
                <w:color w:val="000000"/>
              </w:rPr>
              <w:t>36</w:t>
            </w:r>
          </w:p>
        </w:tc>
        <w:tc>
          <w:tcPr>
            <w:tcW w:w="2490" w:type="dxa"/>
            <w:noWrap/>
          </w:tcPr>
          <w:p w14:paraId="4875A48A" w14:textId="3E240347" w:rsidR="00491690" w:rsidRPr="00CE6915" w:rsidRDefault="00491690" w:rsidP="004916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CE6915">
              <w:rPr>
                <w:rFonts w:ascii="Times New Roman" w:hAnsi="Times New Roman" w:cs="Times New Roman"/>
                <w:color w:val="000000"/>
              </w:rPr>
              <w:t>39,276</w:t>
            </w:r>
          </w:p>
        </w:tc>
        <w:tc>
          <w:tcPr>
            <w:tcW w:w="2700" w:type="dxa"/>
            <w:noWrap/>
          </w:tcPr>
          <w:p w14:paraId="3115AE87" w14:textId="2FC105BB" w:rsidR="00491690" w:rsidRPr="00CE6915" w:rsidRDefault="00491690" w:rsidP="004916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CE6915">
              <w:rPr>
                <w:rFonts w:ascii="Times New Roman" w:hAnsi="Times New Roman" w:cs="Times New Roman"/>
                <w:color w:val="000000"/>
              </w:rPr>
              <w:t>7,958</w:t>
            </w:r>
          </w:p>
        </w:tc>
      </w:tr>
      <w:tr w:rsidR="00491690" w:rsidRPr="00CE6915" w14:paraId="5E89868E" w14:textId="77777777" w:rsidTr="00B868C5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5" w:type="dxa"/>
            <w:noWrap/>
            <w:hideMark/>
          </w:tcPr>
          <w:p w14:paraId="10BE79ED" w14:textId="77777777" w:rsidR="00491690" w:rsidRPr="00CE6915" w:rsidRDefault="00491690" w:rsidP="0049169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6915">
              <w:rPr>
                <w:rFonts w:ascii="Times New Roman" w:hAnsi="Times New Roman" w:cs="Times New Roman"/>
                <w:color w:val="000000"/>
              </w:rPr>
              <w:t>37+</w:t>
            </w:r>
          </w:p>
        </w:tc>
        <w:tc>
          <w:tcPr>
            <w:tcW w:w="2490" w:type="dxa"/>
            <w:noWrap/>
          </w:tcPr>
          <w:p w14:paraId="02F147D2" w14:textId="069E8DAB" w:rsidR="00491690" w:rsidRPr="00CE6915" w:rsidRDefault="00491690" w:rsidP="004916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CE6915">
              <w:rPr>
                <w:rFonts w:ascii="Times New Roman" w:hAnsi="Times New Roman" w:cs="Times New Roman"/>
                <w:color w:val="000000"/>
              </w:rPr>
              <w:t>9,568</w:t>
            </w:r>
          </w:p>
        </w:tc>
        <w:tc>
          <w:tcPr>
            <w:tcW w:w="2700" w:type="dxa"/>
            <w:noWrap/>
          </w:tcPr>
          <w:p w14:paraId="2CD70538" w14:textId="1B05B1D3" w:rsidR="00491690" w:rsidRPr="00CE6915" w:rsidRDefault="00491690" w:rsidP="004916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CE6915">
              <w:rPr>
                <w:rFonts w:ascii="Times New Roman" w:hAnsi="Times New Roman" w:cs="Times New Roman"/>
                <w:color w:val="000000"/>
              </w:rPr>
              <w:t>4,933</w:t>
            </w:r>
          </w:p>
        </w:tc>
      </w:tr>
    </w:tbl>
    <w:p w14:paraId="5CFBD2F2" w14:textId="77777777" w:rsidR="00B868C5" w:rsidRPr="00CE6915" w:rsidRDefault="00B868C5" w:rsidP="00B868C5">
      <w:pPr>
        <w:spacing w:line="276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43D87431" w14:textId="50BFC629" w:rsidR="00B868C5" w:rsidRPr="00CE6915" w:rsidRDefault="00B868C5" w:rsidP="00B868C5">
      <w:pPr>
        <w:spacing w:line="276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CE6915">
        <w:rPr>
          <w:rFonts w:ascii="Times New Roman" w:hAnsi="Times New Roman" w:cs="Times New Roman"/>
          <w:color w:val="000000"/>
          <w:sz w:val="18"/>
          <w:szCs w:val="18"/>
        </w:rPr>
        <w:t>All values are reported in 2018 USD. Costs were sourced from the HIRD.</w:t>
      </w:r>
    </w:p>
    <w:p w14:paraId="100F79CC" w14:textId="7F161DD7" w:rsidR="00C47F0C" w:rsidRPr="00CE6915" w:rsidRDefault="00C47F0C" w:rsidP="00C47F0C">
      <w:pPr>
        <w:rPr>
          <w:rFonts w:asciiTheme="majorBidi" w:hAnsiTheme="majorBidi" w:cstheme="majorBidi"/>
          <w:bCs/>
          <w:color w:val="000000"/>
          <w:sz w:val="24"/>
          <w:szCs w:val="24"/>
        </w:rPr>
      </w:pPr>
      <w:r w:rsidRPr="00CE6915">
        <w:rPr>
          <w:rFonts w:asciiTheme="majorBidi" w:hAnsiTheme="majorBidi" w:cstheme="majorBidi"/>
          <w:bCs/>
          <w:color w:val="000000"/>
          <w:sz w:val="24"/>
          <w:szCs w:val="24"/>
        </w:rPr>
        <w:br w:type="page"/>
      </w:r>
    </w:p>
    <w:p w14:paraId="3CC03497" w14:textId="09821608" w:rsidR="00C47F0C" w:rsidRPr="00CE6915" w:rsidRDefault="008C7A7C" w:rsidP="00C47F0C">
      <w:pPr>
        <w:rPr>
          <w:rFonts w:asciiTheme="majorBidi" w:hAnsiTheme="majorBidi" w:cstheme="majorBidi"/>
          <w:i/>
          <w:iCs/>
          <w:color w:val="000000"/>
          <w:sz w:val="24"/>
          <w:szCs w:val="24"/>
        </w:rPr>
      </w:pPr>
      <w:r w:rsidRPr="00CE6915">
        <w:rPr>
          <w:rFonts w:asciiTheme="majorBidi" w:hAnsiTheme="majorBidi" w:cstheme="majorBidi"/>
          <w:i/>
          <w:iCs/>
          <w:color w:val="000000"/>
          <w:sz w:val="24"/>
          <w:szCs w:val="24"/>
        </w:rPr>
        <w:lastRenderedPageBreak/>
        <w:t>SUPPLEMENTARY</w:t>
      </w:r>
      <w:r w:rsidR="00C47F0C" w:rsidRPr="00CE6915">
        <w:rPr>
          <w:rFonts w:asciiTheme="majorBidi" w:hAnsiTheme="majorBidi" w:cstheme="majorBidi"/>
          <w:i/>
          <w:iCs/>
          <w:color w:val="000000"/>
          <w:sz w:val="24"/>
          <w:szCs w:val="24"/>
        </w:rPr>
        <w:t xml:space="preserve"> FIGURES</w:t>
      </w:r>
    </w:p>
    <w:p w14:paraId="34AE6883" w14:textId="77777777" w:rsidR="00C47F0C" w:rsidRPr="00CE6915" w:rsidRDefault="00C47F0C" w:rsidP="00C47F0C">
      <w:pPr>
        <w:rPr>
          <w:rFonts w:asciiTheme="majorBidi" w:hAnsiTheme="majorBidi" w:cstheme="majorBidi"/>
          <w:color w:val="000000"/>
          <w:sz w:val="24"/>
          <w:szCs w:val="24"/>
        </w:rPr>
      </w:pPr>
    </w:p>
    <w:p w14:paraId="0022B96C" w14:textId="1F3BD2FE" w:rsidR="0015110F" w:rsidRPr="00CE6915" w:rsidRDefault="0015110F" w:rsidP="00C47F0C">
      <w:pPr>
        <w:spacing w:after="120" w:line="480" w:lineRule="auto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  <w:bookmarkStart w:id="5" w:name="_Hlk64391599"/>
      <w:r w:rsidRPr="00CE6915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Figure </w:t>
      </w:r>
      <w:r w:rsidR="00491690" w:rsidRPr="00CE6915">
        <w:rPr>
          <w:rFonts w:asciiTheme="majorBidi" w:hAnsiTheme="majorBidi" w:cstheme="majorBidi"/>
          <w:b/>
          <w:bCs/>
          <w:color w:val="000000"/>
          <w:sz w:val="24"/>
          <w:szCs w:val="24"/>
        </w:rPr>
        <w:t>A</w:t>
      </w:r>
      <w:r w:rsidRPr="00CE6915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1. </w:t>
      </w:r>
      <w:r w:rsidRPr="00CE6915">
        <w:rPr>
          <w:rFonts w:asciiTheme="majorBidi" w:hAnsiTheme="majorBidi" w:cstheme="majorBidi"/>
          <w:color w:val="000000"/>
          <w:sz w:val="24"/>
          <w:szCs w:val="24"/>
        </w:rPr>
        <w:t xml:space="preserve">Decision tree for the </w:t>
      </w:r>
      <w:r w:rsidR="00341E11" w:rsidRPr="00CE6915">
        <w:rPr>
          <w:rFonts w:asciiTheme="majorBidi" w:hAnsiTheme="majorBidi" w:cstheme="majorBidi"/>
          <w:color w:val="000000"/>
          <w:sz w:val="24"/>
          <w:szCs w:val="24"/>
        </w:rPr>
        <w:t xml:space="preserve">preterm birth </w:t>
      </w:r>
      <w:r w:rsidRPr="00CE6915">
        <w:rPr>
          <w:rFonts w:asciiTheme="majorBidi" w:hAnsiTheme="majorBidi" w:cstheme="majorBidi"/>
          <w:color w:val="000000"/>
          <w:sz w:val="24"/>
          <w:szCs w:val="24"/>
        </w:rPr>
        <w:t>model</w:t>
      </w:r>
    </w:p>
    <w:bookmarkEnd w:id="5"/>
    <w:p w14:paraId="3EBB1CBF" w14:textId="3CA9727E" w:rsidR="0015110F" w:rsidRPr="00CE6915" w:rsidRDefault="0015110F" w:rsidP="00C47F0C">
      <w:pPr>
        <w:spacing w:after="120" w:line="480" w:lineRule="auto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  <w:r w:rsidRPr="00CE6915">
        <w:rPr>
          <w:b/>
          <w:color w:val="000000"/>
        </w:rPr>
        <w:drawing>
          <wp:inline distT="0" distB="0" distL="0" distR="0" wp14:anchorId="2C7901B0" wp14:editId="43CB8806">
            <wp:extent cx="6544458" cy="3000375"/>
            <wp:effectExtent l="0" t="0" r="889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era Model dv1.2 10032019.png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4718"/>
                    <a:stretch/>
                  </pic:blipFill>
                  <pic:spPr bwMode="auto">
                    <a:xfrm>
                      <a:off x="0" y="0"/>
                      <a:ext cx="6569771" cy="30119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6063A75" w14:textId="551A2BF2" w:rsidR="0015110F" w:rsidRPr="00CE6915" w:rsidRDefault="0015110F" w:rsidP="0015110F">
      <w:pPr>
        <w:spacing w:after="120" w:line="480" w:lineRule="auto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  <w:r w:rsidRPr="00CE6915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Figure </w:t>
      </w:r>
      <w:r w:rsidR="00491690" w:rsidRPr="00CE6915">
        <w:rPr>
          <w:rFonts w:asciiTheme="majorBidi" w:hAnsiTheme="majorBidi" w:cstheme="majorBidi"/>
          <w:b/>
          <w:bCs/>
          <w:color w:val="000000"/>
          <w:sz w:val="24"/>
          <w:szCs w:val="24"/>
        </w:rPr>
        <w:t>A</w:t>
      </w:r>
      <w:r w:rsidRPr="00CE6915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2. </w:t>
      </w:r>
      <w:bookmarkStart w:id="6" w:name="_Hlk64391576"/>
      <w:r w:rsidRPr="00CE6915">
        <w:rPr>
          <w:rFonts w:asciiTheme="majorBidi" w:hAnsiTheme="majorBidi" w:cstheme="majorBidi"/>
          <w:color w:val="000000"/>
          <w:sz w:val="24"/>
          <w:szCs w:val="24"/>
        </w:rPr>
        <w:t xml:space="preserve">Markov states and transitions for the </w:t>
      </w:r>
      <w:r w:rsidR="00341E11" w:rsidRPr="00CE6915">
        <w:rPr>
          <w:rFonts w:asciiTheme="majorBidi" w:hAnsiTheme="majorBidi" w:cstheme="majorBidi"/>
          <w:color w:val="000000"/>
          <w:sz w:val="24"/>
          <w:szCs w:val="24"/>
        </w:rPr>
        <w:t xml:space="preserve">preterm birth </w:t>
      </w:r>
      <w:r w:rsidRPr="00CE6915">
        <w:rPr>
          <w:rFonts w:asciiTheme="majorBidi" w:hAnsiTheme="majorBidi" w:cstheme="majorBidi"/>
          <w:color w:val="000000"/>
          <w:sz w:val="24"/>
          <w:szCs w:val="24"/>
        </w:rPr>
        <w:t>model</w:t>
      </w:r>
    </w:p>
    <w:bookmarkEnd w:id="6"/>
    <w:p w14:paraId="0FEBD991" w14:textId="659BDE0E" w:rsidR="0015110F" w:rsidRPr="00CE6915" w:rsidRDefault="0015110F" w:rsidP="00C47F0C">
      <w:pPr>
        <w:spacing w:after="120" w:line="480" w:lineRule="auto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  <w:r w:rsidRPr="00CE6915">
        <w:rPr>
          <w:color w:val="000000"/>
        </w:rPr>
        <w:drawing>
          <wp:inline distT="0" distB="0" distL="0" distR="0" wp14:anchorId="27A2BB05" wp14:editId="5E929B4F">
            <wp:extent cx="4867275" cy="3005992"/>
            <wp:effectExtent l="0" t="0" r="0" b="4445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875606" cy="30111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8AB42C" w14:textId="322ED141" w:rsidR="0015110F" w:rsidRPr="00CE6915" w:rsidRDefault="0015110F" w:rsidP="00C47F0C">
      <w:pPr>
        <w:spacing w:after="120" w:line="480" w:lineRule="auto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</w:p>
    <w:p w14:paraId="21EC3365" w14:textId="6A9922CE" w:rsidR="00C47F0C" w:rsidRPr="00CE6915" w:rsidRDefault="00C47F0C" w:rsidP="00C47F0C">
      <w:pPr>
        <w:spacing w:after="120" w:line="480" w:lineRule="auto"/>
        <w:rPr>
          <w:rFonts w:asciiTheme="majorBidi" w:hAnsiTheme="majorBidi" w:cstheme="majorBidi"/>
          <w:color w:val="000000"/>
          <w:sz w:val="24"/>
          <w:szCs w:val="24"/>
        </w:rPr>
      </w:pPr>
      <w:r w:rsidRPr="00CE6915">
        <w:rPr>
          <w:rFonts w:asciiTheme="majorBidi" w:hAnsiTheme="majorBidi" w:cstheme="majorBidi"/>
          <w:b/>
          <w:bCs/>
          <w:color w:val="000000"/>
          <w:sz w:val="24"/>
          <w:szCs w:val="24"/>
        </w:rPr>
        <w:lastRenderedPageBreak/>
        <w:t>Figure A</w:t>
      </w:r>
      <w:r w:rsidR="00491690" w:rsidRPr="00CE6915">
        <w:rPr>
          <w:rFonts w:asciiTheme="majorBidi" w:hAnsiTheme="majorBidi" w:cstheme="majorBidi"/>
          <w:b/>
          <w:bCs/>
          <w:color w:val="000000"/>
          <w:sz w:val="24"/>
          <w:szCs w:val="24"/>
        </w:rPr>
        <w:t>3</w:t>
      </w:r>
      <w:r w:rsidRPr="00CE6915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. </w:t>
      </w:r>
      <w:r w:rsidRPr="00CE6915">
        <w:rPr>
          <w:rFonts w:asciiTheme="majorBidi" w:hAnsiTheme="majorBidi" w:cstheme="majorBidi"/>
          <w:color w:val="000000"/>
          <w:sz w:val="24"/>
          <w:szCs w:val="24"/>
        </w:rPr>
        <w:t xml:space="preserve">Number of births and change in the </w:t>
      </w:r>
      <w:r w:rsidR="005B4689" w:rsidRPr="00CE6915">
        <w:rPr>
          <w:rFonts w:asciiTheme="majorBidi" w:hAnsiTheme="majorBidi" w:cstheme="majorBidi"/>
          <w:color w:val="000000"/>
          <w:sz w:val="24"/>
          <w:szCs w:val="24"/>
        </w:rPr>
        <w:t>risk-screening-and-treat</w:t>
      </w:r>
      <w:r w:rsidRPr="00CE6915">
        <w:rPr>
          <w:rFonts w:asciiTheme="majorBidi" w:hAnsiTheme="majorBidi" w:cstheme="majorBidi"/>
          <w:color w:val="000000"/>
          <w:sz w:val="24"/>
          <w:szCs w:val="24"/>
        </w:rPr>
        <w:t xml:space="preserve"> arm vs. </w:t>
      </w:r>
      <w:r w:rsidR="005B4689" w:rsidRPr="00CE6915">
        <w:rPr>
          <w:rFonts w:asciiTheme="majorBidi" w:hAnsiTheme="majorBidi" w:cstheme="majorBidi"/>
          <w:color w:val="000000"/>
          <w:sz w:val="24"/>
          <w:szCs w:val="24"/>
        </w:rPr>
        <w:t>usual</w:t>
      </w:r>
      <w:r w:rsidRPr="00CE6915">
        <w:rPr>
          <w:rFonts w:asciiTheme="majorBidi" w:hAnsiTheme="majorBidi" w:cstheme="majorBidi"/>
          <w:color w:val="000000"/>
          <w:sz w:val="24"/>
          <w:szCs w:val="24"/>
        </w:rPr>
        <w:t xml:space="preserve"> care, base case</w:t>
      </w:r>
    </w:p>
    <w:p w14:paraId="7D7C804E" w14:textId="5A11E2EB" w:rsidR="00C47F0C" w:rsidRPr="00CE6915" w:rsidRDefault="007B3C4C" w:rsidP="00C47F0C">
      <w:pPr>
        <w:spacing w:after="120" w:line="480" w:lineRule="auto"/>
        <w:rPr>
          <w:rFonts w:asciiTheme="majorBidi" w:hAnsiTheme="majorBidi" w:cstheme="majorBidi"/>
          <w:color w:val="000000"/>
          <w:sz w:val="24"/>
          <w:szCs w:val="24"/>
        </w:rPr>
      </w:pPr>
      <w:r w:rsidRPr="00CE6915">
        <w:rPr>
          <w:color w:val="000000"/>
        </w:rPr>
        <w:t xml:space="preserve"> </w:t>
      </w:r>
      <w:r w:rsidRPr="00CE6915">
        <w:rPr>
          <w:color w:val="000000"/>
        </w:rPr>
        <w:drawing>
          <wp:inline distT="0" distB="0" distL="0" distR="0" wp14:anchorId="3E2F2AFC" wp14:editId="314391FF">
            <wp:extent cx="5943600" cy="36639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663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532FA4" w14:textId="77777777" w:rsidR="00C47F0C" w:rsidRPr="00CE6915" w:rsidRDefault="00C47F0C" w:rsidP="00C47F0C">
      <w:pPr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  <w:r w:rsidRPr="00CE6915">
        <w:rPr>
          <w:rFonts w:asciiTheme="majorBidi" w:hAnsiTheme="majorBidi" w:cstheme="majorBidi"/>
          <w:b/>
          <w:bCs/>
          <w:color w:val="000000"/>
          <w:sz w:val="24"/>
          <w:szCs w:val="24"/>
        </w:rPr>
        <w:br w:type="page"/>
      </w:r>
    </w:p>
    <w:p w14:paraId="24126610" w14:textId="035EF9F9" w:rsidR="005B4689" w:rsidRPr="00CE6915" w:rsidRDefault="005B4689" w:rsidP="005B4689">
      <w:pPr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  <w:r w:rsidRPr="00CE6915">
        <w:rPr>
          <w:rFonts w:asciiTheme="majorBidi" w:hAnsiTheme="majorBidi" w:cstheme="majorBidi"/>
          <w:b/>
          <w:bCs/>
          <w:color w:val="000000"/>
          <w:sz w:val="24"/>
          <w:szCs w:val="24"/>
        </w:rPr>
        <w:lastRenderedPageBreak/>
        <w:t>Figure A</w:t>
      </w:r>
      <w:r w:rsidR="00920609" w:rsidRPr="00CE6915">
        <w:rPr>
          <w:rFonts w:asciiTheme="majorBidi" w:hAnsiTheme="majorBidi" w:cstheme="majorBidi"/>
          <w:b/>
          <w:bCs/>
          <w:color w:val="000000"/>
          <w:sz w:val="24"/>
          <w:szCs w:val="24"/>
        </w:rPr>
        <w:t>4</w:t>
      </w:r>
      <w:r w:rsidRPr="00CE6915">
        <w:rPr>
          <w:rFonts w:asciiTheme="majorBidi" w:hAnsiTheme="majorBidi" w:cstheme="majorBidi"/>
          <w:b/>
          <w:bCs/>
          <w:color w:val="000000"/>
          <w:sz w:val="24"/>
          <w:szCs w:val="24"/>
        </w:rPr>
        <w:t>. Univariate sensitivity analysis (tornado diagram), births &lt;32 weeks as endpoint</w:t>
      </w:r>
    </w:p>
    <w:p w14:paraId="775B6FFD" w14:textId="360C0BE6" w:rsidR="00F737BC" w:rsidRPr="00CE6915" w:rsidRDefault="005B4689" w:rsidP="005B4689">
      <w:pPr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  <w:r w:rsidRPr="00CE6915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 </w:t>
      </w:r>
    </w:p>
    <w:p w14:paraId="33AD27CA" w14:textId="5C306EEB" w:rsidR="0033020A" w:rsidRPr="00CE6915" w:rsidRDefault="00534825" w:rsidP="005B4689">
      <w:pPr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  <w:r w:rsidRPr="00CE6915">
        <w:rPr>
          <w:color w:val="000000"/>
        </w:rPr>
        <w:drawing>
          <wp:inline distT="0" distB="0" distL="0" distR="0" wp14:anchorId="491C27A7" wp14:editId="2F3F0F98">
            <wp:extent cx="6614970" cy="319087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618397" cy="31925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C20242" w14:textId="77777777" w:rsidR="0033020A" w:rsidRPr="00CE6915" w:rsidRDefault="0033020A" w:rsidP="005B4689">
      <w:pPr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</w:p>
    <w:p w14:paraId="6B60C4A2" w14:textId="40BAF88C" w:rsidR="00534825" w:rsidRPr="00CE6915" w:rsidRDefault="00DD0025" w:rsidP="005B4689">
      <w:pPr>
        <w:rPr>
          <w:rFonts w:asciiTheme="majorBidi" w:hAnsiTheme="majorBidi" w:cstheme="majorBidi"/>
          <w:color w:val="000000"/>
          <w:sz w:val="16"/>
          <w:szCs w:val="16"/>
        </w:rPr>
      </w:pPr>
      <w:r w:rsidRPr="00CE6915">
        <w:rPr>
          <w:rFonts w:asciiTheme="majorBidi" w:hAnsiTheme="majorBidi" w:cstheme="majorBidi"/>
          <w:color w:val="000000"/>
          <w:sz w:val="16"/>
          <w:szCs w:val="16"/>
        </w:rPr>
        <w:t>PTB = preterm birth; ICER = incremental cost-effectiveness ratio; HICM = high-intensity case management</w:t>
      </w:r>
    </w:p>
    <w:p w14:paraId="5FDDEDE5" w14:textId="77777777" w:rsidR="00DD0025" w:rsidRPr="00CE6915" w:rsidRDefault="00DD0025" w:rsidP="005B4689">
      <w:pPr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</w:p>
    <w:p w14:paraId="5B245A98" w14:textId="78302DFA" w:rsidR="00C47F0C" w:rsidRPr="00CE6915" w:rsidRDefault="005B4689" w:rsidP="005B4689">
      <w:pPr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  <w:r w:rsidRPr="00CE6915">
        <w:rPr>
          <w:rFonts w:asciiTheme="majorBidi" w:hAnsiTheme="majorBidi" w:cstheme="majorBidi"/>
          <w:b/>
          <w:bCs/>
          <w:color w:val="000000"/>
          <w:sz w:val="24"/>
          <w:szCs w:val="24"/>
        </w:rPr>
        <w:t>Figure A</w:t>
      </w:r>
      <w:r w:rsidR="00920609" w:rsidRPr="00CE6915">
        <w:rPr>
          <w:rFonts w:asciiTheme="majorBidi" w:hAnsiTheme="majorBidi" w:cstheme="majorBidi"/>
          <w:b/>
          <w:bCs/>
          <w:color w:val="000000"/>
          <w:sz w:val="24"/>
          <w:szCs w:val="24"/>
        </w:rPr>
        <w:t>5</w:t>
      </w:r>
      <w:r w:rsidRPr="00CE6915">
        <w:rPr>
          <w:rFonts w:asciiTheme="majorBidi" w:hAnsiTheme="majorBidi" w:cstheme="majorBidi"/>
          <w:b/>
          <w:bCs/>
          <w:color w:val="000000"/>
          <w:sz w:val="24"/>
          <w:szCs w:val="24"/>
        </w:rPr>
        <w:t>. Univariate sensitivity analysis (tornado diagram), births &lt;35 weeks as endpoint</w:t>
      </w:r>
    </w:p>
    <w:p w14:paraId="2ADDD893" w14:textId="1BCA3FFE" w:rsidR="005B4689" w:rsidRPr="00CE6915" w:rsidRDefault="005B4689" w:rsidP="005B4689">
      <w:pPr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</w:p>
    <w:p w14:paraId="3905BCC7" w14:textId="46BA697C" w:rsidR="005B4689" w:rsidRPr="00CE6915" w:rsidRDefault="00534825" w:rsidP="005B4689">
      <w:pPr>
        <w:rPr>
          <w:color w:val="000000"/>
        </w:rPr>
      </w:pPr>
      <w:r w:rsidRPr="00CE6915">
        <w:rPr>
          <w:color w:val="000000"/>
        </w:rPr>
        <w:drawing>
          <wp:inline distT="0" distB="0" distL="0" distR="0" wp14:anchorId="786DA604" wp14:editId="5A0B2250">
            <wp:extent cx="6612138" cy="3152775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616460" cy="31548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C1D8A8" w14:textId="7BA1A262" w:rsidR="00920609" w:rsidRPr="00CE6915" w:rsidRDefault="00920609" w:rsidP="00920609">
      <w:pPr>
        <w:rPr>
          <w:color w:val="000000"/>
        </w:rPr>
      </w:pPr>
    </w:p>
    <w:p w14:paraId="2A71E8DA" w14:textId="77777777" w:rsidR="00DD0025" w:rsidRPr="00CE6915" w:rsidRDefault="00DD0025" w:rsidP="00DD0025">
      <w:pPr>
        <w:rPr>
          <w:rFonts w:asciiTheme="majorBidi" w:hAnsiTheme="majorBidi" w:cstheme="majorBidi"/>
          <w:color w:val="000000"/>
          <w:sz w:val="16"/>
          <w:szCs w:val="16"/>
        </w:rPr>
      </w:pPr>
      <w:r w:rsidRPr="00CE6915">
        <w:rPr>
          <w:rFonts w:asciiTheme="majorBidi" w:hAnsiTheme="majorBidi" w:cstheme="majorBidi"/>
          <w:color w:val="000000"/>
          <w:sz w:val="16"/>
          <w:szCs w:val="16"/>
        </w:rPr>
        <w:t>PTB = preterm birth; ICER = incremental cost-effectiveness ratio; HICM = high-intensity case management</w:t>
      </w:r>
    </w:p>
    <w:p w14:paraId="02DF8563" w14:textId="540CDD23" w:rsidR="00920609" w:rsidRPr="00CE6915" w:rsidRDefault="00920609" w:rsidP="00920609">
      <w:pPr>
        <w:rPr>
          <w:rFonts w:asciiTheme="majorBidi" w:hAnsiTheme="majorBidi" w:cstheme="majorBidi"/>
          <w:color w:val="000000"/>
          <w:sz w:val="24"/>
          <w:szCs w:val="24"/>
        </w:rPr>
      </w:pPr>
    </w:p>
    <w:p w14:paraId="0C8C6E13" w14:textId="026777AB" w:rsidR="00920609" w:rsidRPr="00CE6915" w:rsidRDefault="00920609" w:rsidP="00920609">
      <w:pPr>
        <w:rPr>
          <w:rFonts w:asciiTheme="majorBidi" w:hAnsiTheme="majorBidi" w:cstheme="majorBidi"/>
          <w:color w:val="000000"/>
          <w:sz w:val="24"/>
          <w:szCs w:val="24"/>
        </w:rPr>
      </w:pPr>
    </w:p>
    <w:p w14:paraId="366561AC" w14:textId="77777777" w:rsidR="00920609" w:rsidRPr="00CE6915" w:rsidRDefault="00920609" w:rsidP="00920609">
      <w:pPr>
        <w:rPr>
          <w:rFonts w:asciiTheme="majorBidi" w:hAnsiTheme="majorBidi" w:cstheme="majorBidi"/>
          <w:color w:val="000000"/>
          <w:sz w:val="24"/>
          <w:szCs w:val="24"/>
        </w:rPr>
      </w:pPr>
      <w:r w:rsidRPr="00CE6915">
        <w:rPr>
          <w:rFonts w:asciiTheme="majorBidi" w:hAnsiTheme="majorBidi" w:cstheme="majorBidi"/>
          <w:b/>
          <w:bCs/>
          <w:color w:val="000000"/>
          <w:sz w:val="24"/>
          <w:szCs w:val="24"/>
        </w:rPr>
        <w:lastRenderedPageBreak/>
        <w:t xml:space="preserve">Figure A6. </w:t>
      </w:r>
      <w:r w:rsidRPr="00CE6915">
        <w:rPr>
          <w:rFonts w:asciiTheme="majorBidi" w:hAnsiTheme="majorBidi" w:cstheme="majorBidi"/>
          <w:color w:val="000000"/>
          <w:sz w:val="24"/>
          <w:szCs w:val="24"/>
        </w:rPr>
        <w:t>ICER scatter plot and cost-effectiveness acceptability curves, worst-case effectiveness scenario</w:t>
      </w:r>
    </w:p>
    <w:p w14:paraId="6A60D980" w14:textId="77777777" w:rsidR="00920609" w:rsidRPr="00CE6915" w:rsidRDefault="00920609" w:rsidP="00920609">
      <w:pPr>
        <w:rPr>
          <w:rFonts w:asciiTheme="majorBidi" w:hAnsiTheme="majorBidi" w:cstheme="majorBidi"/>
          <w:color w:val="000000"/>
          <w:sz w:val="24"/>
          <w:szCs w:val="24"/>
        </w:rPr>
      </w:pPr>
    </w:p>
    <w:p w14:paraId="2084F16C" w14:textId="77777777" w:rsidR="00920609" w:rsidRPr="00CE6915" w:rsidRDefault="00920609" w:rsidP="00920609">
      <w:pPr>
        <w:rPr>
          <w:rFonts w:asciiTheme="majorBidi" w:hAnsiTheme="majorBidi" w:cstheme="majorBidi"/>
          <w:color w:val="000000"/>
          <w:sz w:val="24"/>
          <w:szCs w:val="24"/>
        </w:rPr>
      </w:pPr>
      <w:r w:rsidRPr="00CE6915">
        <w:rPr>
          <w:color w:val="000000"/>
        </w:rPr>
        <w:drawing>
          <wp:inline distT="0" distB="0" distL="0" distR="0" wp14:anchorId="109C7A9F" wp14:editId="5E18CD79">
            <wp:extent cx="6191250" cy="3542771"/>
            <wp:effectExtent l="0" t="0" r="0" b="63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197054" cy="35460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2E819F" w14:textId="77777777" w:rsidR="00920609" w:rsidRPr="00CE6915" w:rsidRDefault="00920609" w:rsidP="00920609">
      <w:pPr>
        <w:rPr>
          <w:rFonts w:asciiTheme="majorBidi" w:hAnsiTheme="majorBidi" w:cstheme="majorBidi"/>
          <w:color w:val="000000"/>
          <w:sz w:val="24"/>
          <w:szCs w:val="24"/>
        </w:rPr>
      </w:pPr>
    </w:p>
    <w:p w14:paraId="3E2F6BE1" w14:textId="77777777" w:rsidR="00920609" w:rsidRPr="00CE6915" w:rsidRDefault="00920609" w:rsidP="00920609">
      <w:pPr>
        <w:rPr>
          <w:rFonts w:asciiTheme="majorBidi" w:hAnsiTheme="majorBidi" w:cstheme="majorBidi"/>
          <w:color w:val="000000"/>
          <w:sz w:val="24"/>
          <w:szCs w:val="24"/>
        </w:rPr>
      </w:pPr>
    </w:p>
    <w:p w14:paraId="3C4A7CA4" w14:textId="77777777" w:rsidR="00920609" w:rsidRPr="00CE6915" w:rsidRDefault="00920609" w:rsidP="00920609">
      <w:pPr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  <w:r w:rsidRPr="00CE6915">
        <w:rPr>
          <w:color w:val="000000"/>
        </w:rPr>
        <w:drawing>
          <wp:inline distT="0" distB="0" distL="0" distR="0" wp14:anchorId="788F7F22" wp14:editId="340D35EF">
            <wp:extent cx="5943600" cy="2975610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975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66349F" w14:textId="77777777" w:rsidR="00DD0025" w:rsidRPr="00CE6915" w:rsidRDefault="00DD0025" w:rsidP="00DD0025">
      <w:pPr>
        <w:rPr>
          <w:rFonts w:asciiTheme="majorBidi" w:hAnsiTheme="majorBidi" w:cstheme="majorBidi"/>
          <w:color w:val="000000"/>
          <w:sz w:val="16"/>
          <w:szCs w:val="16"/>
        </w:rPr>
      </w:pPr>
    </w:p>
    <w:p w14:paraId="5E22AA8B" w14:textId="22F5EF99" w:rsidR="00DD0025" w:rsidRPr="00CE6915" w:rsidRDefault="00DD0025" w:rsidP="00DD0025">
      <w:pPr>
        <w:rPr>
          <w:rFonts w:asciiTheme="majorBidi" w:hAnsiTheme="majorBidi" w:cstheme="majorBidi"/>
          <w:color w:val="000000"/>
          <w:sz w:val="16"/>
          <w:szCs w:val="16"/>
        </w:rPr>
      </w:pPr>
      <w:r w:rsidRPr="00CE6915">
        <w:rPr>
          <w:rFonts w:asciiTheme="majorBidi" w:hAnsiTheme="majorBidi" w:cstheme="majorBidi"/>
          <w:color w:val="000000"/>
          <w:sz w:val="16"/>
          <w:szCs w:val="16"/>
        </w:rPr>
        <w:t>PTB = preterm birth; ICER = incremental cost-effectiveness ratio; USD = US dollars</w:t>
      </w:r>
    </w:p>
    <w:p w14:paraId="56668767" w14:textId="77777777" w:rsidR="00920609" w:rsidRPr="00CE6915" w:rsidRDefault="00920609" w:rsidP="00920609">
      <w:pPr>
        <w:rPr>
          <w:rFonts w:asciiTheme="majorBidi" w:hAnsiTheme="majorBidi" w:cstheme="majorBidi"/>
          <w:color w:val="000000"/>
          <w:sz w:val="24"/>
          <w:szCs w:val="24"/>
        </w:rPr>
      </w:pPr>
    </w:p>
    <w:sectPr w:rsidR="00920609" w:rsidRPr="00CE6915" w:rsidSect="00FD3B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E36AF3" w14:textId="77777777" w:rsidR="00A35FC0" w:rsidRDefault="00A35FC0">
      <w:r>
        <w:separator/>
      </w:r>
    </w:p>
  </w:endnote>
  <w:endnote w:type="continuationSeparator" w:id="0">
    <w:p w14:paraId="70B21A30" w14:textId="77777777" w:rsidR="00A35FC0" w:rsidRDefault="00A35FC0">
      <w:r>
        <w:continuationSeparator/>
      </w:r>
    </w:p>
  </w:endnote>
  <w:endnote w:type="continuationNotice" w:id="1">
    <w:p w14:paraId="4CF81CB6" w14:textId="77777777" w:rsidR="00A35FC0" w:rsidRDefault="00A35FC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EDD671" w14:textId="5B44CAEF" w:rsidR="009F02A0" w:rsidRPr="005F5BD4" w:rsidRDefault="009F02A0" w:rsidP="005F5BD4">
    <w:pPr>
      <w:pStyle w:val="Footer"/>
      <w:jc w:val="cen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C0A811" w14:textId="77777777" w:rsidR="00A35FC0" w:rsidRDefault="00A35FC0">
      <w:r>
        <w:separator/>
      </w:r>
    </w:p>
  </w:footnote>
  <w:footnote w:type="continuationSeparator" w:id="0">
    <w:p w14:paraId="3988DE7C" w14:textId="77777777" w:rsidR="00A35FC0" w:rsidRDefault="00A35FC0">
      <w:r>
        <w:continuationSeparator/>
      </w:r>
    </w:p>
  </w:footnote>
  <w:footnote w:type="continuationNotice" w:id="1">
    <w:p w14:paraId="76AF63A6" w14:textId="77777777" w:rsidR="00A35FC0" w:rsidRDefault="00A35FC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EA9DFF" w14:textId="77777777" w:rsidR="009F02A0" w:rsidRDefault="009F02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C4742C"/>
    <w:multiLevelType w:val="hybridMultilevel"/>
    <w:tmpl w:val="492CAB2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EF448C1"/>
    <w:multiLevelType w:val="hybridMultilevel"/>
    <w:tmpl w:val="BF00FF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4D0F9B"/>
    <w:multiLevelType w:val="hybridMultilevel"/>
    <w:tmpl w:val="E37810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23F2D46"/>
    <w:multiLevelType w:val="hybridMultilevel"/>
    <w:tmpl w:val="55EA8A5C"/>
    <w:lvl w:ilvl="0" w:tplc="04090001">
      <w:start w:val="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C529A9"/>
    <w:multiLevelType w:val="hybridMultilevel"/>
    <w:tmpl w:val="D0F85B34"/>
    <w:lvl w:ilvl="0" w:tplc="35F44E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6E4C2CA">
      <w:start w:val="2059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EEAAF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48EF5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056FF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1AA0E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E5E97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ED074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DDCD3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1C2D28E8"/>
    <w:multiLevelType w:val="hybridMultilevel"/>
    <w:tmpl w:val="27FC3C22"/>
    <w:lvl w:ilvl="0" w:tplc="6F740E94">
      <w:numFmt w:val="bullet"/>
      <w:lvlText w:val="•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F8C0315"/>
    <w:multiLevelType w:val="hybridMultilevel"/>
    <w:tmpl w:val="F7484C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516D80"/>
    <w:multiLevelType w:val="hybridMultilevel"/>
    <w:tmpl w:val="6848032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5C4DAE"/>
    <w:multiLevelType w:val="hybridMultilevel"/>
    <w:tmpl w:val="6090EA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A877F4"/>
    <w:multiLevelType w:val="hybridMultilevel"/>
    <w:tmpl w:val="5C12A54C"/>
    <w:lvl w:ilvl="0" w:tplc="D52449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732D610">
      <w:start w:val="1307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E3CB644">
      <w:start w:val="1307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0404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CAEB8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51AB1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5C449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787E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EA841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2A5C3A60"/>
    <w:multiLevelType w:val="hybridMultilevel"/>
    <w:tmpl w:val="A1B08A5A"/>
    <w:lvl w:ilvl="0" w:tplc="30ACBEE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BC16D5"/>
    <w:multiLevelType w:val="hybridMultilevel"/>
    <w:tmpl w:val="EBB8708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7B41DC"/>
    <w:multiLevelType w:val="hybridMultilevel"/>
    <w:tmpl w:val="06566A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BC4B16"/>
    <w:multiLevelType w:val="hybridMultilevel"/>
    <w:tmpl w:val="D658726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3D721000"/>
    <w:multiLevelType w:val="hybridMultilevel"/>
    <w:tmpl w:val="7AD84D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045B60"/>
    <w:multiLevelType w:val="hybridMultilevel"/>
    <w:tmpl w:val="8A6E0FB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922357"/>
    <w:multiLevelType w:val="hybridMultilevel"/>
    <w:tmpl w:val="392251E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BB520D"/>
    <w:multiLevelType w:val="hybridMultilevel"/>
    <w:tmpl w:val="36FA7AC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F277D6"/>
    <w:multiLevelType w:val="hybridMultilevel"/>
    <w:tmpl w:val="21C629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20546F"/>
    <w:multiLevelType w:val="hybridMultilevel"/>
    <w:tmpl w:val="DCEE1DE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4220FBD"/>
    <w:multiLevelType w:val="multilevel"/>
    <w:tmpl w:val="11320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64B6A05"/>
    <w:multiLevelType w:val="hybridMultilevel"/>
    <w:tmpl w:val="103E98B4"/>
    <w:lvl w:ilvl="0" w:tplc="2224056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EE0589"/>
    <w:multiLevelType w:val="hybridMultilevel"/>
    <w:tmpl w:val="00E4816C"/>
    <w:lvl w:ilvl="0" w:tplc="04090001">
      <w:start w:val="1"/>
      <w:numFmt w:val="bullet"/>
      <w:lvlText w:val=""/>
      <w:lvlJc w:val="left"/>
      <w:pPr>
        <w:ind w:left="155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19" w:hanging="360"/>
      </w:pPr>
      <w:rPr>
        <w:rFonts w:ascii="Wingdings" w:hAnsi="Wingdings" w:hint="default"/>
      </w:rPr>
    </w:lvl>
  </w:abstractNum>
  <w:abstractNum w:abstractNumId="24" w15:restartNumberingAfterBreak="0">
    <w:nsid w:val="4A0205FE"/>
    <w:multiLevelType w:val="multilevel"/>
    <w:tmpl w:val="43B4A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D127967"/>
    <w:multiLevelType w:val="hybridMultilevel"/>
    <w:tmpl w:val="69C2D71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11">
      <w:start w:val="1"/>
      <w:numFmt w:val="decimal"/>
      <w:lvlText w:val="%2)"/>
      <w:lvlJc w:val="left"/>
      <w:pPr>
        <w:ind w:left="180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E9C7C33"/>
    <w:multiLevelType w:val="hybridMultilevel"/>
    <w:tmpl w:val="4E047D48"/>
    <w:lvl w:ilvl="0" w:tplc="E8E645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CF27B6"/>
    <w:multiLevelType w:val="hybridMultilevel"/>
    <w:tmpl w:val="309C2E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81564E"/>
    <w:multiLevelType w:val="hybridMultilevel"/>
    <w:tmpl w:val="353C84DC"/>
    <w:lvl w:ilvl="0" w:tplc="D52449E0">
      <w:start w:val="1"/>
      <w:numFmt w:val="bullet"/>
      <w:lvlText w:val="•"/>
      <w:lvlJc w:val="left"/>
      <w:pPr>
        <w:ind w:left="360" w:hanging="360"/>
      </w:pPr>
      <w:rPr>
        <w:rFonts w:ascii="Arial" w:hAnsi="Arial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22D4588"/>
    <w:multiLevelType w:val="hybridMultilevel"/>
    <w:tmpl w:val="B2329FA4"/>
    <w:lvl w:ilvl="0" w:tplc="F2261FA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52FB2DA6"/>
    <w:multiLevelType w:val="hybridMultilevel"/>
    <w:tmpl w:val="E6609B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C32EF0"/>
    <w:multiLevelType w:val="multilevel"/>
    <w:tmpl w:val="F7D2D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32" w15:restartNumberingAfterBreak="0">
    <w:nsid w:val="58C002DC"/>
    <w:multiLevelType w:val="hybridMultilevel"/>
    <w:tmpl w:val="FD46F5B2"/>
    <w:lvl w:ilvl="0" w:tplc="6F740E94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9B5A87"/>
    <w:multiLevelType w:val="hybridMultilevel"/>
    <w:tmpl w:val="DACA304C"/>
    <w:lvl w:ilvl="0" w:tplc="2224056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0E7557D"/>
    <w:multiLevelType w:val="hybridMultilevel"/>
    <w:tmpl w:val="E2B01C74"/>
    <w:lvl w:ilvl="0" w:tplc="EB1635B2">
      <w:start w:val="1"/>
      <w:numFmt w:val="bullet"/>
      <w:lvlText w:val="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6B3F1842"/>
    <w:multiLevelType w:val="hybridMultilevel"/>
    <w:tmpl w:val="B116502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5E3299"/>
    <w:multiLevelType w:val="hybridMultilevel"/>
    <w:tmpl w:val="1FB853F0"/>
    <w:lvl w:ilvl="0" w:tplc="06EA939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 w15:restartNumberingAfterBreak="0">
    <w:nsid w:val="6EE75A41"/>
    <w:multiLevelType w:val="hybridMultilevel"/>
    <w:tmpl w:val="543E5F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 w15:restartNumberingAfterBreak="0">
    <w:nsid w:val="6F3B71CF"/>
    <w:multiLevelType w:val="hybridMultilevel"/>
    <w:tmpl w:val="21FE78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995B05"/>
    <w:multiLevelType w:val="hybridMultilevel"/>
    <w:tmpl w:val="3342C9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996D0A"/>
    <w:multiLevelType w:val="hybridMultilevel"/>
    <w:tmpl w:val="04F229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681042"/>
    <w:multiLevelType w:val="multilevel"/>
    <w:tmpl w:val="DA268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42" w15:restartNumberingAfterBreak="0">
    <w:nsid w:val="78A10760"/>
    <w:multiLevelType w:val="hybridMultilevel"/>
    <w:tmpl w:val="208E668C"/>
    <w:lvl w:ilvl="0" w:tplc="0A583FC0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 w15:restartNumberingAfterBreak="0">
    <w:nsid w:val="7BB51526"/>
    <w:multiLevelType w:val="hybridMultilevel"/>
    <w:tmpl w:val="2592C61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36"/>
  </w:num>
  <w:num w:numId="2">
    <w:abstractNumId w:val="29"/>
  </w:num>
  <w:num w:numId="3">
    <w:abstractNumId w:val="14"/>
  </w:num>
  <w:num w:numId="4">
    <w:abstractNumId w:val="43"/>
  </w:num>
  <w:num w:numId="5">
    <w:abstractNumId w:val="34"/>
  </w:num>
  <w:num w:numId="6">
    <w:abstractNumId w:val="41"/>
  </w:num>
  <w:num w:numId="7">
    <w:abstractNumId w:val="31"/>
  </w:num>
  <w:num w:numId="8">
    <w:abstractNumId w:val="37"/>
  </w:num>
  <w:num w:numId="9">
    <w:abstractNumId w:val="42"/>
  </w:num>
  <w:num w:numId="10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0"/>
  </w:num>
  <w:num w:numId="12">
    <w:abstractNumId w:val="32"/>
  </w:num>
  <w:num w:numId="13">
    <w:abstractNumId w:val="6"/>
  </w:num>
  <w:num w:numId="14">
    <w:abstractNumId w:val="38"/>
  </w:num>
  <w:num w:numId="15">
    <w:abstractNumId w:val="40"/>
  </w:num>
  <w:num w:numId="16">
    <w:abstractNumId w:val="28"/>
  </w:num>
  <w:num w:numId="17">
    <w:abstractNumId w:val="10"/>
  </w:num>
  <w:num w:numId="18">
    <w:abstractNumId w:val="5"/>
  </w:num>
  <w:num w:numId="19">
    <w:abstractNumId w:val="9"/>
  </w:num>
  <w:num w:numId="20">
    <w:abstractNumId w:val="23"/>
  </w:num>
  <w:num w:numId="21">
    <w:abstractNumId w:val="0"/>
  </w:num>
  <w:num w:numId="22">
    <w:abstractNumId w:val="2"/>
  </w:num>
  <w:num w:numId="23">
    <w:abstractNumId w:val="4"/>
  </w:num>
  <w:num w:numId="24">
    <w:abstractNumId w:val="30"/>
  </w:num>
  <w:num w:numId="25">
    <w:abstractNumId w:val="3"/>
  </w:num>
  <w:num w:numId="26">
    <w:abstractNumId w:val="33"/>
  </w:num>
  <w:num w:numId="27">
    <w:abstractNumId w:val="26"/>
  </w:num>
  <w:num w:numId="28">
    <w:abstractNumId w:val="39"/>
  </w:num>
  <w:num w:numId="29">
    <w:abstractNumId w:val="18"/>
  </w:num>
  <w:num w:numId="30">
    <w:abstractNumId w:val="12"/>
  </w:num>
  <w:num w:numId="31">
    <w:abstractNumId w:val="21"/>
  </w:num>
  <w:num w:numId="32">
    <w:abstractNumId w:val="22"/>
  </w:num>
  <w:num w:numId="33">
    <w:abstractNumId w:val="35"/>
  </w:num>
  <w:num w:numId="34">
    <w:abstractNumId w:val="11"/>
  </w:num>
  <w:num w:numId="35">
    <w:abstractNumId w:val="16"/>
  </w:num>
  <w:num w:numId="36">
    <w:abstractNumId w:val="1"/>
  </w:num>
  <w:num w:numId="37">
    <w:abstractNumId w:val="25"/>
  </w:num>
  <w:num w:numId="38">
    <w:abstractNumId w:val="15"/>
  </w:num>
  <w:num w:numId="39">
    <w:abstractNumId w:val="13"/>
  </w:num>
  <w:num w:numId="40">
    <w:abstractNumId w:val="7"/>
  </w:num>
  <w:num w:numId="41">
    <w:abstractNumId w:val="27"/>
  </w:num>
  <w:num w:numId="42">
    <w:abstractNumId w:val="19"/>
  </w:num>
  <w:num w:numId="43">
    <w:abstractNumId w:val="8"/>
  </w:num>
  <w:num w:numId="4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oNotHyphenateCaps/>
  <w:characterSpacingControl w:val="doNotCompress"/>
  <w:doNotValidateAgainstSchema/>
  <w:doNotDemarcateInvalidXml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FMGR.InstantFormat" w:val="&lt;InstantFormat&gt;&lt;Enabled&gt;0&lt;/Enabled&gt;&lt;ScanUnformatted&gt;1&lt;/ScanUnformatted&gt;&lt;ScanChanges&gt;1&lt;/ScanChanges&gt;&lt;/InstantFormat&gt;"/>
    <w:docVar w:name="REFMGR.Layout" w:val="&lt;Layout&gt;&lt;StartingRefnum&gt;K:\Departments\Library Services\Refman2\Refman11_Styles\European Journal of Gastroenterology and Hepatology.os&lt;/StartingRefnum&gt;&lt;FontName&gt;Times New Roman&lt;/FontName&gt;&lt;FontSize&gt;12&lt;/FontSize&gt;&lt;ReflistTitle&gt;&lt;b&gt;References&lt;/b&gt;&lt;/ReflistTitle&gt;&lt;SpaceAfter&gt;1&lt;/SpaceAfter&gt;&lt;ReflistOrder&gt;0&lt;/ReflistOrder&gt;&lt;CitationOrder&gt;0&lt;/CitationOrder&gt;&lt;NumberReferences&gt;1&lt;/NumberReferences&gt;&lt;FirstLineIndent&gt;0&lt;/FirstLineIndent&gt;&lt;HangingIndent&gt;0&lt;/HangingIndent&gt;&lt;LineSpacing&gt;2&lt;/LineSpacing&gt;&lt;ShowReprint&gt;1&lt;/ShowReprint&gt;&lt;ShowNotes&gt;0&lt;/ShowNotes&gt;&lt;ShowKeywords&gt;1&lt;/ShowKeywords&gt;&lt;ShortFormFields&gt;0&lt;/ShortFormFields&gt;&lt;ShowRecordID&gt;0&lt;/ShowRecordID&gt;&lt;ShowAbstract&gt;0&lt;/ShowAbstract&gt;&lt;/Layout&gt;"/>
    <w:docVar w:name="REFMGR.Libraries" w:val="&lt;Databases&gt;&lt;Libraries&gt;&lt;item&gt;apothecom references&lt;/item&gt;&lt;/Libraries&gt;&lt;/Databases&gt;"/>
  </w:docVars>
  <w:rsids>
    <w:rsidRoot w:val="000821E2"/>
    <w:rsid w:val="00000002"/>
    <w:rsid w:val="00001C4A"/>
    <w:rsid w:val="00001F66"/>
    <w:rsid w:val="0000267E"/>
    <w:rsid w:val="00002C15"/>
    <w:rsid w:val="00002E32"/>
    <w:rsid w:val="000057C3"/>
    <w:rsid w:val="00006095"/>
    <w:rsid w:val="000102EA"/>
    <w:rsid w:val="00010A5F"/>
    <w:rsid w:val="000112F3"/>
    <w:rsid w:val="00011DA3"/>
    <w:rsid w:val="00012806"/>
    <w:rsid w:val="0001392E"/>
    <w:rsid w:val="0001497B"/>
    <w:rsid w:val="00015064"/>
    <w:rsid w:val="00015814"/>
    <w:rsid w:val="00020686"/>
    <w:rsid w:val="0002076C"/>
    <w:rsid w:val="000227DD"/>
    <w:rsid w:val="00023277"/>
    <w:rsid w:val="000234B3"/>
    <w:rsid w:val="000237C3"/>
    <w:rsid w:val="0002550A"/>
    <w:rsid w:val="00025D15"/>
    <w:rsid w:val="0002711C"/>
    <w:rsid w:val="00027D39"/>
    <w:rsid w:val="00027E9D"/>
    <w:rsid w:val="00027FE3"/>
    <w:rsid w:val="00030100"/>
    <w:rsid w:val="00030156"/>
    <w:rsid w:val="0003564B"/>
    <w:rsid w:val="000400B2"/>
    <w:rsid w:val="000415D5"/>
    <w:rsid w:val="000416F0"/>
    <w:rsid w:val="00041832"/>
    <w:rsid w:val="00042319"/>
    <w:rsid w:val="00042A2F"/>
    <w:rsid w:val="00044116"/>
    <w:rsid w:val="0004413C"/>
    <w:rsid w:val="0004430C"/>
    <w:rsid w:val="00044E86"/>
    <w:rsid w:val="00044FDB"/>
    <w:rsid w:val="000456C6"/>
    <w:rsid w:val="00045D6C"/>
    <w:rsid w:val="000477E4"/>
    <w:rsid w:val="00047E23"/>
    <w:rsid w:val="00050C15"/>
    <w:rsid w:val="000510D0"/>
    <w:rsid w:val="0005125E"/>
    <w:rsid w:val="000520AD"/>
    <w:rsid w:val="0005237F"/>
    <w:rsid w:val="00053BE3"/>
    <w:rsid w:val="00054D9C"/>
    <w:rsid w:val="00055C46"/>
    <w:rsid w:val="00056321"/>
    <w:rsid w:val="00056F92"/>
    <w:rsid w:val="0005735D"/>
    <w:rsid w:val="000573E0"/>
    <w:rsid w:val="00060B06"/>
    <w:rsid w:val="00060C0D"/>
    <w:rsid w:val="000611BF"/>
    <w:rsid w:val="00063173"/>
    <w:rsid w:val="00063D71"/>
    <w:rsid w:val="0006403F"/>
    <w:rsid w:val="00070676"/>
    <w:rsid w:val="00070AB4"/>
    <w:rsid w:val="00070F86"/>
    <w:rsid w:val="0007148A"/>
    <w:rsid w:val="00071D15"/>
    <w:rsid w:val="00072149"/>
    <w:rsid w:val="00072B16"/>
    <w:rsid w:val="00072DF7"/>
    <w:rsid w:val="00074406"/>
    <w:rsid w:val="00075820"/>
    <w:rsid w:val="00075B79"/>
    <w:rsid w:val="000801E1"/>
    <w:rsid w:val="00080535"/>
    <w:rsid w:val="000809C9"/>
    <w:rsid w:val="000821E2"/>
    <w:rsid w:val="00082482"/>
    <w:rsid w:val="0008327A"/>
    <w:rsid w:val="00083806"/>
    <w:rsid w:val="00084479"/>
    <w:rsid w:val="000858D7"/>
    <w:rsid w:val="00085C64"/>
    <w:rsid w:val="00087E4E"/>
    <w:rsid w:val="00090E20"/>
    <w:rsid w:val="00091B47"/>
    <w:rsid w:val="00091B5B"/>
    <w:rsid w:val="00092572"/>
    <w:rsid w:val="0009278D"/>
    <w:rsid w:val="000927EA"/>
    <w:rsid w:val="000929AE"/>
    <w:rsid w:val="0009309A"/>
    <w:rsid w:val="00093399"/>
    <w:rsid w:val="00093A57"/>
    <w:rsid w:val="00096F6F"/>
    <w:rsid w:val="0009716D"/>
    <w:rsid w:val="000A0011"/>
    <w:rsid w:val="000A1058"/>
    <w:rsid w:val="000A107B"/>
    <w:rsid w:val="000A1F54"/>
    <w:rsid w:val="000A249C"/>
    <w:rsid w:val="000A292A"/>
    <w:rsid w:val="000A3067"/>
    <w:rsid w:val="000A37D0"/>
    <w:rsid w:val="000A4020"/>
    <w:rsid w:val="000A48C5"/>
    <w:rsid w:val="000A62BA"/>
    <w:rsid w:val="000A7435"/>
    <w:rsid w:val="000A79DC"/>
    <w:rsid w:val="000A7D18"/>
    <w:rsid w:val="000B0213"/>
    <w:rsid w:val="000B0634"/>
    <w:rsid w:val="000B116B"/>
    <w:rsid w:val="000B447B"/>
    <w:rsid w:val="000B5D82"/>
    <w:rsid w:val="000B6159"/>
    <w:rsid w:val="000B7895"/>
    <w:rsid w:val="000C08E8"/>
    <w:rsid w:val="000C0A2E"/>
    <w:rsid w:val="000C0ADC"/>
    <w:rsid w:val="000C23A4"/>
    <w:rsid w:val="000C327C"/>
    <w:rsid w:val="000C366D"/>
    <w:rsid w:val="000C3708"/>
    <w:rsid w:val="000C4D4B"/>
    <w:rsid w:val="000C6A6D"/>
    <w:rsid w:val="000C6F29"/>
    <w:rsid w:val="000C7973"/>
    <w:rsid w:val="000D00A2"/>
    <w:rsid w:val="000D0626"/>
    <w:rsid w:val="000D0962"/>
    <w:rsid w:val="000D104D"/>
    <w:rsid w:val="000D1300"/>
    <w:rsid w:val="000D2034"/>
    <w:rsid w:val="000D20B9"/>
    <w:rsid w:val="000D29CB"/>
    <w:rsid w:val="000D2EF4"/>
    <w:rsid w:val="000D3186"/>
    <w:rsid w:val="000D4136"/>
    <w:rsid w:val="000D466E"/>
    <w:rsid w:val="000D47A8"/>
    <w:rsid w:val="000D56AB"/>
    <w:rsid w:val="000D57F5"/>
    <w:rsid w:val="000D624B"/>
    <w:rsid w:val="000D6386"/>
    <w:rsid w:val="000D664C"/>
    <w:rsid w:val="000D6872"/>
    <w:rsid w:val="000E01CF"/>
    <w:rsid w:val="000E0D32"/>
    <w:rsid w:val="000E0D5B"/>
    <w:rsid w:val="000E10F8"/>
    <w:rsid w:val="000E48A5"/>
    <w:rsid w:val="000E4AC7"/>
    <w:rsid w:val="000E6D04"/>
    <w:rsid w:val="000E7686"/>
    <w:rsid w:val="000F0B40"/>
    <w:rsid w:val="000F1741"/>
    <w:rsid w:val="000F2B36"/>
    <w:rsid w:val="000F2C6B"/>
    <w:rsid w:val="000F2D1E"/>
    <w:rsid w:val="000F2EED"/>
    <w:rsid w:val="000F2FB0"/>
    <w:rsid w:val="000F35E3"/>
    <w:rsid w:val="000F454D"/>
    <w:rsid w:val="000F4914"/>
    <w:rsid w:val="000F4CA2"/>
    <w:rsid w:val="000F5D3B"/>
    <w:rsid w:val="000F6880"/>
    <w:rsid w:val="000F758F"/>
    <w:rsid w:val="000F75F9"/>
    <w:rsid w:val="000F760D"/>
    <w:rsid w:val="000F7ECA"/>
    <w:rsid w:val="0010201A"/>
    <w:rsid w:val="00102D62"/>
    <w:rsid w:val="001034C1"/>
    <w:rsid w:val="00103F97"/>
    <w:rsid w:val="00103F9A"/>
    <w:rsid w:val="00104F39"/>
    <w:rsid w:val="001053AF"/>
    <w:rsid w:val="00107B2C"/>
    <w:rsid w:val="00107F52"/>
    <w:rsid w:val="001103D5"/>
    <w:rsid w:val="00111AA5"/>
    <w:rsid w:val="001120CE"/>
    <w:rsid w:val="001128EF"/>
    <w:rsid w:val="0011304A"/>
    <w:rsid w:val="00113608"/>
    <w:rsid w:val="001146D1"/>
    <w:rsid w:val="001152E1"/>
    <w:rsid w:val="00115886"/>
    <w:rsid w:val="00115AEE"/>
    <w:rsid w:val="00115FD3"/>
    <w:rsid w:val="00116DF0"/>
    <w:rsid w:val="001209D0"/>
    <w:rsid w:val="00120DF0"/>
    <w:rsid w:val="00120E0A"/>
    <w:rsid w:val="00122D8D"/>
    <w:rsid w:val="001233E9"/>
    <w:rsid w:val="00123AFD"/>
    <w:rsid w:val="00124B1C"/>
    <w:rsid w:val="00126396"/>
    <w:rsid w:val="0012640E"/>
    <w:rsid w:val="00126C92"/>
    <w:rsid w:val="00127721"/>
    <w:rsid w:val="00127A98"/>
    <w:rsid w:val="00127DB0"/>
    <w:rsid w:val="001307A5"/>
    <w:rsid w:val="00131B3A"/>
    <w:rsid w:val="00131CFD"/>
    <w:rsid w:val="00132445"/>
    <w:rsid w:val="001328A3"/>
    <w:rsid w:val="00133BFF"/>
    <w:rsid w:val="00133F84"/>
    <w:rsid w:val="001343D6"/>
    <w:rsid w:val="001356A9"/>
    <w:rsid w:val="00135800"/>
    <w:rsid w:val="00135848"/>
    <w:rsid w:val="00137562"/>
    <w:rsid w:val="0013772C"/>
    <w:rsid w:val="00137D99"/>
    <w:rsid w:val="0014057C"/>
    <w:rsid w:val="00142114"/>
    <w:rsid w:val="001432A0"/>
    <w:rsid w:val="00143B0D"/>
    <w:rsid w:val="00143C0B"/>
    <w:rsid w:val="00144C20"/>
    <w:rsid w:val="0014564C"/>
    <w:rsid w:val="00146596"/>
    <w:rsid w:val="0014737D"/>
    <w:rsid w:val="00147E64"/>
    <w:rsid w:val="001506E0"/>
    <w:rsid w:val="0015110F"/>
    <w:rsid w:val="00153904"/>
    <w:rsid w:val="0015394B"/>
    <w:rsid w:val="00155B5E"/>
    <w:rsid w:val="00155D41"/>
    <w:rsid w:val="00156C00"/>
    <w:rsid w:val="00156E7D"/>
    <w:rsid w:val="00156EB3"/>
    <w:rsid w:val="00157BA2"/>
    <w:rsid w:val="001604D7"/>
    <w:rsid w:val="001623E5"/>
    <w:rsid w:val="0016301C"/>
    <w:rsid w:val="00163090"/>
    <w:rsid w:val="00163367"/>
    <w:rsid w:val="00163DB5"/>
    <w:rsid w:val="00165185"/>
    <w:rsid w:val="0016524D"/>
    <w:rsid w:val="00166DEC"/>
    <w:rsid w:val="00170D1D"/>
    <w:rsid w:val="001723E3"/>
    <w:rsid w:val="00172A1C"/>
    <w:rsid w:val="00172C94"/>
    <w:rsid w:val="00173D82"/>
    <w:rsid w:val="00175A82"/>
    <w:rsid w:val="001766BE"/>
    <w:rsid w:val="00177582"/>
    <w:rsid w:val="00177700"/>
    <w:rsid w:val="00177AC1"/>
    <w:rsid w:val="00177DCA"/>
    <w:rsid w:val="00180751"/>
    <w:rsid w:val="0018150B"/>
    <w:rsid w:val="00182CA3"/>
    <w:rsid w:val="00183469"/>
    <w:rsid w:val="00183971"/>
    <w:rsid w:val="00184868"/>
    <w:rsid w:val="00185B55"/>
    <w:rsid w:val="0018684F"/>
    <w:rsid w:val="001869E8"/>
    <w:rsid w:val="00186AAA"/>
    <w:rsid w:val="00187782"/>
    <w:rsid w:val="001932AA"/>
    <w:rsid w:val="001935BB"/>
    <w:rsid w:val="00193A73"/>
    <w:rsid w:val="001942CE"/>
    <w:rsid w:val="00194A82"/>
    <w:rsid w:val="00196E92"/>
    <w:rsid w:val="001972F6"/>
    <w:rsid w:val="001A0B4E"/>
    <w:rsid w:val="001A1021"/>
    <w:rsid w:val="001A2231"/>
    <w:rsid w:val="001A22F1"/>
    <w:rsid w:val="001A32A6"/>
    <w:rsid w:val="001A3E88"/>
    <w:rsid w:val="001A6FB9"/>
    <w:rsid w:val="001B035D"/>
    <w:rsid w:val="001B0FDC"/>
    <w:rsid w:val="001B14A6"/>
    <w:rsid w:val="001B2049"/>
    <w:rsid w:val="001B318E"/>
    <w:rsid w:val="001B31D2"/>
    <w:rsid w:val="001B3301"/>
    <w:rsid w:val="001B4308"/>
    <w:rsid w:val="001B4683"/>
    <w:rsid w:val="001B487B"/>
    <w:rsid w:val="001B5BAB"/>
    <w:rsid w:val="001B6BFA"/>
    <w:rsid w:val="001B6F4B"/>
    <w:rsid w:val="001B7054"/>
    <w:rsid w:val="001B7CB7"/>
    <w:rsid w:val="001C260F"/>
    <w:rsid w:val="001C27DB"/>
    <w:rsid w:val="001C2B3A"/>
    <w:rsid w:val="001C3B8B"/>
    <w:rsid w:val="001C4289"/>
    <w:rsid w:val="001C4830"/>
    <w:rsid w:val="001C55A4"/>
    <w:rsid w:val="001C55A5"/>
    <w:rsid w:val="001C6818"/>
    <w:rsid w:val="001C7E4F"/>
    <w:rsid w:val="001D13C3"/>
    <w:rsid w:val="001D2492"/>
    <w:rsid w:val="001D5B0C"/>
    <w:rsid w:val="001E00F2"/>
    <w:rsid w:val="001E0D9C"/>
    <w:rsid w:val="001E0EDA"/>
    <w:rsid w:val="001E3F78"/>
    <w:rsid w:val="001E462D"/>
    <w:rsid w:val="001E4DB2"/>
    <w:rsid w:val="001E67F2"/>
    <w:rsid w:val="001E68BC"/>
    <w:rsid w:val="001E7F23"/>
    <w:rsid w:val="001F0C97"/>
    <w:rsid w:val="001F30AE"/>
    <w:rsid w:val="001F36C9"/>
    <w:rsid w:val="001F77AA"/>
    <w:rsid w:val="002005D7"/>
    <w:rsid w:val="00201B45"/>
    <w:rsid w:val="00201C43"/>
    <w:rsid w:val="00202CC2"/>
    <w:rsid w:val="00203AC7"/>
    <w:rsid w:val="00203D00"/>
    <w:rsid w:val="002043AC"/>
    <w:rsid w:val="002044D7"/>
    <w:rsid w:val="0020457F"/>
    <w:rsid w:val="00205BAA"/>
    <w:rsid w:val="00205BFC"/>
    <w:rsid w:val="002101B1"/>
    <w:rsid w:val="002106AE"/>
    <w:rsid w:val="00211026"/>
    <w:rsid w:val="002116AC"/>
    <w:rsid w:val="002117CE"/>
    <w:rsid w:val="002121C4"/>
    <w:rsid w:val="00212DD0"/>
    <w:rsid w:val="002136F8"/>
    <w:rsid w:val="00213E13"/>
    <w:rsid w:val="00214191"/>
    <w:rsid w:val="00216F9F"/>
    <w:rsid w:val="002179A2"/>
    <w:rsid w:val="0022015C"/>
    <w:rsid w:val="0022176C"/>
    <w:rsid w:val="00221846"/>
    <w:rsid w:val="00221BF3"/>
    <w:rsid w:val="0022221F"/>
    <w:rsid w:val="0022271F"/>
    <w:rsid w:val="00222DDE"/>
    <w:rsid w:val="00223ADF"/>
    <w:rsid w:val="002240CC"/>
    <w:rsid w:val="002242A1"/>
    <w:rsid w:val="00226919"/>
    <w:rsid w:val="0022706C"/>
    <w:rsid w:val="0023035B"/>
    <w:rsid w:val="00230B49"/>
    <w:rsid w:val="00232CFD"/>
    <w:rsid w:val="002330BC"/>
    <w:rsid w:val="002349E1"/>
    <w:rsid w:val="0023542F"/>
    <w:rsid w:val="002359C1"/>
    <w:rsid w:val="00236131"/>
    <w:rsid w:val="00236FD6"/>
    <w:rsid w:val="00237209"/>
    <w:rsid w:val="00237C85"/>
    <w:rsid w:val="0024006F"/>
    <w:rsid w:val="00240911"/>
    <w:rsid w:val="002424DA"/>
    <w:rsid w:val="00242D05"/>
    <w:rsid w:val="002430E7"/>
    <w:rsid w:val="00243FEB"/>
    <w:rsid w:val="002442AE"/>
    <w:rsid w:val="0024547C"/>
    <w:rsid w:val="002521E9"/>
    <w:rsid w:val="00252C41"/>
    <w:rsid w:val="002534C7"/>
    <w:rsid w:val="002547A0"/>
    <w:rsid w:val="002607E0"/>
    <w:rsid w:val="00260B2E"/>
    <w:rsid w:val="00260E98"/>
    <w:rsid w:val="00261EBB"/>
    <w:rsid w:val="00263EDA"/>
    <w:rsid w:val="0026625B"/>
    <w:rsid w:val="00270284"/>
    <w:rsid w:val="00270C5C"/>
    <w:rsid w:val="002713E8"/>
    <w:rsid w:val="002728F3"/>
    <w:rsid w:val="002737E9"/>
    <w:rsid w:val="00273C70"/>
    <w:rsid w:val="00273FE6"/>
    <w:rsid w:val="00275921"/>
    <w:rsid w:val="00277415"/>
    <w:rsid w:val="0028019F"/>
    <w:rsid w:val="002820A7"/>
    <w:rsid w:val="00282702"/>
    <w:rsid w:val="0028544A"/>
    <w:rsid w:val="002869D6"/>
    <w:rsid w:val="0029052D"/>
    <w:rsid w:val="00291248"/>
    <w:rsid w:val="00291759"/>
    <w:rsid w:val="002920D4"/>
    <w:rsid w:val="00292114"/>
    <w:rsid w:val="00293526"/>
    <w:rsid w:val="00294A1D"/>
    <w:rsid w:val="00296754"/>
    <w:rsid w:val="00296C3B"/>
    <w:rsid w:val="00296F7B"/>
    <w:rsid w:val="0029762C"/>
    <w:rsid w:val="00297CF3"/>
    <w:rsid w:val="002A0430"/>
    <w:rsid w:val="002A113F"/>
    <w:rsid w:val="002A17A4"/>
    <w:rsid w:val="002A227D"/>
    <w:rsid w:val="002A2F51"/>
    <w:rsid w:val="002A3A88"/>
    <w:rsid w:val="002A3A9C"/>
    <w:rsid w:val="002A4350"/>
    <w:rsid w:val="002A4791"/>
    <w:rsid w:val="002A4CBF"/>
    <w:rsid w:val="002A7951"/>
    <w:rsid w:val="002B0F17"/>
    <w:rsid w:val="002B11A4"/>
    <w:rsid w:val="002B36A4"/>
    <w:rsid w:val="002B4C81"/>
    <w:rsid w:val="002B58DB"/>
    <w:rsid w:val="002B6968"/>
    <w:rsid w:val="002B6FC9"/>
    <w:rsid w:val="002C08C2"/>
    <w:rsid w:val="002C0E67"/>
    <w:rsid w:val="002C2468"/>
    <w:rsid w:val="002C259B"/>
    <w:rsid w:val="002C294F"/>
    <w:rsid w:val="002C2FBE"/>
    <w:rsid w:val="002C3473"/>
    <w:rsid w:val="002C4AFA"/>
    <w:rsid w:val="002C5429"/>
    <w:rsid w:val="002C54B7"/>
    <w:rsid w:val="002C63BA"/>
    <w:rsid w:val="002C7BF3"/>
    <w:rsid w:val="002D1CE1"/>
    <w:rsid w:val="002D1D98"/>
    <w:rsid w:val="002D2EF3"/>
    <w:rsid w:val="002D4091"/>
    <w:rsid w:val="002D4696"/>
    <w:rsid w:val="002D4CCF"/>
    <w:rsid w:val="002D5C54"/>
    <w:rsid w:val="002D6DD0"/>
    <w:rsid w:val="002D7742"/>
    <w:rsid w:val="002D7B15"/>
    <w:rsid w:val="002E07B3"/>
    <w:rsid w:val="002E5946"/>
    <w:rsid w:val="002E5AF7"/>
    <w:rsid w:val="002E5BBA"/>
    <w:rsid w:val="002E7572"/>
    <w:rsid w:val="002F0A3C"/>
    <w:rsid w:val="002F0C99"/>
    <w:rsid w:val="002F1818"/>
    <w:rsid w:val="002F2603"/>
    <w:rsid w:val="002F2F80"/>
    <w:rsid w:val="002F3651"/>
    <w:rsid w:val="002F3D2E"/>
    <w:rsid w:val="002F5729"/>
    <w:rsid w:val="002F7393"/>
    <w:rsid w:val="002F75D0"/>
    <w:rsid w:val="002F7FC7"/>
    <w:rsid w:val="003010EA"/>
    <w:rsid w:val="00301373"/>
    <w:rsid w:val="00301498"/>
    <w:rsid w:val="00301753"/>
    <w:rsid w:val="003020ED"/>
    <w:rsid w:val="00302319"/>
    <w:rsid w:val="00305152"/>
    <w:rsid w:val="003075BA"/>
    <w:rsid w:val="003117B2"/>
    <w:rsid w:val="003133B1"/>
    <w:rsid w:val="00313D46"/>
    <w:rsid w:val="00313FE8"/>
    <w:rsid w:val="0031418C"/>
    <w:rsid w:val="003145BF"/>
    <w:rsid w:val="00314A06"/>
    <w:rsid w:val="00314A22"/>
    <w:rsid w:val="00314A95"/>
    <w:rsid w:val="003162B4"/>
    <w:rsid w:val="00321BEE"/>
    <w:rsid w:val="00323BBB"/>
    <w:rsid w:val="00324AEB"/>
    <w:rsid w:val="00325F63"/>
    <w:rsid w:val="00326845"/>
    <w:rsid w:val="00327801"/>
    <w:rsid w:val="0033020A"/>
    <w:rsid w:val="00330D1C"/>
    <w:rsid w:val="00330D4D"/>
    <w:rsid w:val="00330E1E"/>
    <w:rsid w:val="003318D0"/>
    <w:rsid w:val="00335296"/>
    <w:rsid w:val="0033626A"/>
    <w:rsid w:val="00336EF4"/>
    <w:rsid w:val="00337538"/>
    <w:rsid w:val="003416E3"/>
    <w:rsid w:val="00341839"/>
    <w:rsid w:val="00341E11"/>
    <w:rsid w:val="00344BEE"/>
    <w:rsid w:val="0034511B"/>
    <w:rsid w:val="00347093"/>
    <w:rsid w:val="00350142"/>
    <w:rsid w:val="00352D0F"/>
    <w:rsid w:val="00352D68"/>
    <w:rsid w:val="0035407F"/>
    <w:rsid w:val="00355A4D"/>
    <w:rsid w:val="003605CF"/>
    <w:rsid w:val="0036080E"/>
    <w:rsid w:val="0036118A"/>
    <w:rsid w:val="00361345"/>
    <w:rsid w:val="00362229"/>
    <w:rsid w:val="00362C2F"/>
    <w:rsid w:val="00364CD8"/>
    <w:rsid w:val="00364D15"/>
    <w:rsid w:val="00365324"/>
    <w:rsid w:val="00365F83"/>
    <w:rsid w:val="003664CF"/>
    <w:rsid w:val="003668BA"/>
    <w:rsid w:val="0036744A"/>
    <w:rsid w:val="003702F9"/>
    <w:rsid w:val="00370657"/>
    <w:rsid w:val="0037175E"/>
    <w:rsid w:val="00372408"/>
    <w:rsid w:val="00372CAC"/>
    <w:rsid w:val="003734A1"/>
    <w:rsid w:val="003752A4"/>
    <w:rsid w:val="0037552D"/>
    <w:rsid w:val="00376645"/>
    <w:rsid w:val="00376BFF"/>
    <w:rsid w:val="00382A8A"/>
    <w:rsid w:val="00385381"/>
    <w:rsid w:val="003903E9"/>
    <w:rsid w:val="00390A8C"/>
    <w:rsid w:val="00391D84"/>
    <w:rsid w:val="0039206C"/>
    <w:rsid w:val="00392DB2"/>
    <w:rsid w:val="00394443"/>
    <w:rsid w:val="00394E55"/>
    <w:rsid w:val="00395F8C"/>
    <w:rsid w:val="003970F4"/>
    <w:rsid w:val="00397E96"/>
    <w:rsid w:val="003A09D0"/>
    <w:rsid w:val="003A525B"/>
    <w:rsid w:val="003A6106"/>
    <w:rsid w:val="003A62DE"/>
    <w:rsid w:val="003B040F"/>
    <w:rsid w:val="003B0B8B"/>
    <w:rsid w:val="003B14B7"/>
    <w:rsid w:val="003B15BD"/>
    <w:rsid w:val="003B191C"/>
    <w:rsid w:val="003B1F96"/>
    <w:rsid w:val="003B3019"/>
    <w:rsid w:val="003B4259"/>
    <w:rsid w:val="003B6058"/>
    <w:rsid w:val="003C0368"/>
    <w:rsid w:val="003C0708"/>
    <w:rsid w:val="003C456F"/>
    <w:rsid w:val="003C4DA1"/>
    <w:rsid w:val="003C5C7E"/>
    <w:rsid w:val="003C5CF7"/>
    <w:rsid w:val="003C6B75"/>
    <w:rsid w:val="003C6EF1"/>
    <w:rsid w:val="003C6F96"/>
    <w:rsid w:val="003C73B6"/>
    <w:rsid w:val="003D00E2"/>
    <w:rsid w:val="003D02D0"/>
    <w:rsid w:val="003D0A6B"/>
    <w:rsid w:val="003D22F9"/>
    <w:rsid w:val="003D2452"/>
    <w:rsid w:val="003D32E2"/>
    <w:rsid w:val="003D363A"/>
    <w:rsid w:val="003D3C7F"/>
    <w:rsid w:val="003D7C4B"/>
    <w:rsid w:val="003E0728"/>
    <w:rsid w:val="003E1717"/>
    <w:rsid w:val="003E1FB9"/>
    <w:rsid w:val="003E3172"/>
    <w:rsid w:val="003E61EC"/>
    <w:rsid w:val="003E65A1"/>
    <w:rsid w:val="003E7445"/>
    <w:rsid w:val="003F080B"/>
    <w:rsid w:val="003F1BC1"/>
    <w:rsid w:val="003F2AD6"/>
    <w:rsid w:val="003F2B39"/>
    <w:rsid w:val="003F306A"/>
    <w:rsid w:val="003F3959"/>
    <w:rsid w:val="003F3F66"/>
    <w:rsid w:val="003F479B"/>
    <w:rsid w:val="003F4982"/>
    <w:rsid w:val="003F65EC"/>
    <w:rsid w:val="003F6F62"/>
    <w:rsid w:val="00402DB6"/>
    <w:rsid w:val="00403594"/>
    <w:rsid w:val="00403602"/>
    <w:rsid w:val="00403B11"/>
    <w:rsid w:val="00405B19"/>
    <w:rsid w:val="004102AB"/>
    <w:rsid w:val="004119E2"/>
    <w:rsid w:val="00411A67"/>
    <w:rsid w:val="00412020"/>
    <w:rsid w:val="00412091"/>
    <w:rsid w:val="00412DF6"/>
    <w:rsid w:val="00412EEA"/>
    <w:rsid w:val="00413D95"/>
    <w:rsid w:val="004140CD"/>
    <w:rsid w:val="0041478A"/>
    <w:rsid w:val="0041486A"/>
    <w:rsid w:val="00415247"/>
    <w:rsid w:val="0042156C"/>
    <w:rsid w:val="004222D6"/>
    <w:rsid w:val="004225DA"/>
    <w:rsid w:val="00422693"/>
    <w:rsid w:val="00422BD6"/>
    <w:rsid w:val="00424A1E"/>
    <w:rsid w:val="00424ADD"/>
    <w:rsid w:val="004263AB"/>
    <w:rsid w:val="00427BB5"/>
    <w:rsid w:val="00427D40"/>
    <w:rsid w:val="00431D5C"/>
    <w:rsid w:val="00432363"/>
    <w:rsid w:val="00432867"/>
    <w:rsid w:val="004337A2"/>
    <w:rsid w:val="00434882"/>
    <w:rsid w:val="00435B4B"/>
    <w:rsid w:val="00435C8C"/>
    <w:rsid w:val="004372DE"/>
    <w:rsid w:val="004376A8"/>
    <w:rsid w:val="00437B85"/>
    <w:rsid w:val="00437F04"/>
    <w:rsid w:val="004403A6"/>
    <w:rsid w:val="004405B7"/>
    <w:rsid w:val="0044114D"/>
    <w:rsid w:val="00441285"/>
    <w:rsid w:val="00442BEB"/>
    <w:rsid w:val="00443C6D"/>
    <w:rsid w:val="00443E7D"/>
    <w:rsid w:val="00443EC1"/>
    <w:rsid w:val="00443EE7"/>
    <w:rsid w:val="00444853"/>
    <w:rsid w:val="004452BD"/>
    <w:rsid w:val="004453E7"/>
    <w:rsid w:val="00445CB7"/>
    <w:rsid w:val="00447943"/>
    <w:rsid w:val="004500CF"/>
    <w:rsid w:val="004502B2"/>
    <w:rsid w:val="004513B7"/>
    <w:rsid w:val="00451CCC"/>
    <w:rsid w:val="004545B4"/>
    <w:rsid w:val="004545E9"/>
    <w:rsid w:val="0045527E"/>
    <w:rsid w:val="00455750"/>
    <w:rsid w:val="004557DF"/>
    <w:rsid w:val="00457515"/>
    <w:rsid w:val="00457628"/>
    <w:rsid w:val="00457D35"/>
    <w:rsid w:val="0046078C"/>
    <w:rsid w:val="004614FA"/>
    <w:rsid w:val="0046211A"/>
    <w:rsid w:val="00462B9D"/>
    <w:rsid w:val="00463915"/>
    <w:rsid w:val="00465602"/>
    <w:rsid w:val="004657F3"/>
    <w:rsid w:val="00466110"/>
    <w:rsid w:val="00466823"/>
    <w:rsid w:val="004671B4"/>
    <w:rsid w:val="00467F28"/>
    <w:rsid w:val="00470536"/>
    <w:rsid w:val="004711F9"/>
    <w:rsid w:val="00471462"/>
    <w:rsid w:val="004714F5"/>
    <w:rsid w:val="00471733"/>
    <w:rsid w:val="00472AC2"/>
    <w:rsid w:val="00476041"/>
    <w:rsid w:val="004769D2"/>
    <w:rsid w:val="00477882"/>
    <w:rsid w:val="00477D56"/>
    <w:rsid w:val="00480A75"/>
    <w:rsid w:val="00482BAD"/>
    <w:rsid w:val="00483BDC"/>
    <w:rsid w:val="004849A4"/>
    <w:rsid w:val="00484F26"/>
    <w:rsid w:val="00486A84"/>
    <w:rsid w:val="004877FE"/>
    <w:rsid w:val="00491690"/>
    <w:rsid w:val="0049174A"/>
    <w:rsid w:val="00491FC8"/>
    <w:rsid w:val="00492413"/>
    <w:rsid w:val="00492634"/>
    <w:rsid w:val="00494410"/>
    <w:rsid w:val="00494520"/>
    <w:rsid w:val="0049486D"/>
    <w:rsid w:val="0049666D"/>
    <w:rsid w:val="00496C5A"/>
    <w:rsid w:val="004A00D1"/>
    <w:rsid w:val="004A0F1E"/>
    <w:rsid w:val="004A1224"/>
    <w:rsid w:val="004A1991"/>
    <w:rsid w:val="004A228B"/>
    <w:rsid w:val="004A29B1"/>
    <w:rsid w:val="004A4FA7"/>
    <w:rsid w:val="004A511F"/>
    <w:rsid w:val="004A5F3E"/>
    <w:rsid w:val="004A6472"/>
    <w:rsid w:val="004B06F0"/>
    <w:rsid w:val="004B0DDE"/>
    <w:rsid w:val="004B0F65"/>
    <w:rsid w:val="004B29BA"/>
    <w:rsid w:val="004B2E4A"/>
    <w:rsid w:val="004B449A"/>
    <w:rsid w:val="004B5E84"/>
    <w:rsid w:val="004B6151"/>
    <w:rsid w:val="004C0D52"/>
    <w:rsid w:val="004C265F"/>
    <w:rsid w:val="004C353A"/>
    <w:rsid w:val="004C3C54"/>
    <w:rsid w:val="004C43D0"/>
    <w:rsid w:val="004C4AB4"/>
    <w:rsid w:val="004C4F50"/>
    <w:rsid w:val="004C7968"/>
    <w:rsid w:val="004D070C"/>
    <w:rsid w:val="004D1C41"/>
    <w:rsid w:val="004D4892"/>
    <w:rsid w:val="004D5096"/>
    <w:rsid w:val="004D57E2"/>
    <w:rsid w:val="004D689F"/>
    <w:rsid w:val="004D6E0E"/>
    <w:rsid w:val="004D7D72"/>
    <w:rsid w:val="004E030F"/>
    <w:rsid w:val="004E353A"/>
    <w:rsid w:val="004E39BD"/>
    <w:rsid w:val="004E3EB1"/>
    <w:rsid w:val="004E5526"/>
    <w:rsid w:val="004E58FF"/>
    <w:rsid w:val="004E6BA6"/>
    <w:rsid w:val="004F0133"/>
    <w:rsid w:val="004F1018"/>
    <w:rsid w:val="004F1441"/>
    <w:rsid w:val="004F1E46"/>
    <w:rsid w:val="004F27D8"/>
    <w:rsid w:val="004F3837"/>
    <w:rsid w:val="004F3A06"/>
    <w:rsid w:val="004F4D85"/>
    <w:rsid w:val="004F5036"/>
    <w:rsid w:val="004F5450"/>
    <w:rsid w:val="004F6911"/>
    <w:rsid w:val="004F7998"/>
    <w:rsid w:val="00500EBC"/>
    <w:rsid w:val="0050191E"/>
    <w:rsid w:val="005031B6"/>
    <w:rsid w:val="005031DD"/>
    <w:rsid w:val="00503CA3"/>
    <w:rsid w:val="00505442"/>
    <w:rsid w:val="00506BA5"/>
    <w:rsid w:val="00507341"/>
    <w:rsid w:val="00510036"/>
    <w:rsid w:val="00510254"/>
    <w:rsid w:val="00510647"/>
    <w:rsid w:val="00511B03"/>
    <w:rsid w:val="005125D9"/>
    <w:rsid w:val="0051443C"/>
    <w:rsid w:val="00514D48"/>
    <w:rsid w:val="00514FEE"/>
    <w:rsid w:val="00516C19"/>
    <w:rsid w:val="00516F60"/>
    <w:rsid w:val="00521364"/>
    <w:rsid w:val="0052182B"/>
    <w:rsid w:val="00522E6E"/>
    <w:rsid w:val="00524048"/>
    <w:rsid w:val="00525BA8"/>
    <w:rsid w:val="00527883"/>
    <w:rsid w:val="005307C1"/>
    <w:rsid w:val="00530E86"/>
    <w:rsid w:val="0053202B"/>
    <w:rsid w:val="005327E0"/>
    <w:rsid w:val="005335D1"/>
    <w:rsid w:val="0053367E"/>
    <w:rsid w:val="00534825"/>
    <w:rsid w:val="00535AE8"/>
    <w:rsid w:val="00535C85"/>
    <w:rsid w:val="00535CE6"/>
    <w:rsid w:val="00540236"/>
    <w:rsid w:val="00540811"/>
    <w:rsid w:val="00540CAA"/>
    <w:rsid w:val="00540F76"/>
    <w:rsid w:val="00541805"/>
    <w:rsid w:val="005428E1"/>
    <w:rsid w:val="00542E80"/>
    <w:rsid w:val="00543DA5"/>
    <w:rsid w:val="0054631F"/>
    <w:rsid w:val="0054687E"/>
    <w:rsid w:val="005479FB"/>
    <w:rsid w:val="0055168E"/>
    <w:rsid w:val="00552BCD"/>
    <w:rsid w:val="00553086"/>
    <w:rsid w:val="0055318D"/>
    <w:rsid w:val="005550A6"/>
    <w:rsid w:val="0055753C"/>
    <w:rsid w:val="00557D5F"/>
    <w:rsid w:val="00557E29"/>
    <w:rsid w:val="00560204"/>
    <w:rsid w:val="005605F1"/>
    <w:rsid w:val="00560A67"/>
    <w:rsid w:val="00560CB1"/>
    <w:rsid w:val="00562F1B"/>
    <w:rsid w:val="00563518"/>
    <w:rsid w:val="00563AD8"/>
    <w:rsid w:val="005643EE"/>
    <w:rsid w:val="00564591"/>
    <w:rsid w:val="0056596E"/>
    <w:rsid w:val="00566D07"/>
    <w:rsid w:val="00566E1C"/>
    <w:rsid w:val="00570BA7"/>
    <w:rsid w:val="00570BF4"/>
    <w:rsid w:val="00571C68"/>
    <w:rsid w:val="00573711"/>
    <w:rsid w:val="005765B8"/>
    <w:rsid w:val="00577CA6"/>
    <w:rsid w:val="00580889"/>
    <w:rsid w:val="00580DA1"/>
    <w:rsid w:val="005817F6"/>
    <w:rsid w:val="0058229B"/>
    <w:rsid w:val="00583E06"/>
    <w:rsid w:val="005840A4"/>
    <w:rsid w:val="00585AB8"/>
    <w:rsid w:val="00586533"/>
    <w:rsid w:val="00586F79"/>
    <w:rsid w:val="0059115C"/>
    <w:rsid w:val="00592D07"/>
    <w:rsid w:val="00593C04"/>
    <w:rsid w:val="00593C46"/>
    <w:rsid w:val="005968CE"/>
    <w:rsid w:val="005974AD"/>
    <w:rsid w:val="005974D7"/>
    <w:rsid w:val="005A0BB7"/>
    <w:rsid w:val="005A0C96"/>
    <w:rsid w:val="005A2006"/>
    <w:rsid w:val="005A2CD2"/>
    <w:rsid w:val="005A3C6D"/>
    <w:rsid w:val="005A5316"/>
    <w:rsid w:val="005A5499"/>
    <w:rsid w:val="005A57A7"/>
    <w:rsid w:val="005A6CDB"/>
    <w:rsid w:val="005A7022"/>
    <w:rsid w:val="005A7423"/>
    <w:rsid w:val="005A7733"/>
    <w:rsid w:val="005A7878"/>
    <w:rsid w:val="005B0FB7"/>
    <w:rsid w:val="005B15B2"/>
    <w:rsid w:val="005B1679"/>
    <w:rsid w:val="005B1AF7"/>
    <w:rsid w:val="005B2333"/>
    <w:rsid w:val="005B38CA"/>
    <w:rsid w:val="005B3A51"/>
    <w:rsid w:val="005B3C4F"/>
    <w:rsid w:val="005B4689"/>
    <w:rsid w:val="005B6652"/>
    <w:rsid w:val="005B6B6B"/>
    <w:rsid w:val="005B6DBD"/>
    <w:rsid w:val="005B7B1D"/>
    <w:rsid w:val="005C0836"/>
    <w:rsid w:val="005C096F"/>
    <w:rsid w:val="005C57D1"/>
    <w:rsid w:val="005C603A"/>
    <w:rsid w:val="005D204C"/>
    <w:rsid w:val="005D3B33"/>
    <w:rsid w:val="005D4D28"/>
    <w:rsid w:val="005D4F09"/>
    <w:rsid w:val="005D5129"/>
    <w:rsid w:val="005D51FA"/>
    <w:rsid w:val="005D5CC4"/>
    <w:rsid w:val="005D6B40"/>
    <w:rsid w:val="005D7AA7"/>
    <w:rsid w:val="005E27BA"/>
    <w:rsid w:val="005E3946"/>
    <w:rsid w:val="005E3A33"/>
    <w:rsid w:val="005E3CD6"/>
    <w:rsid w:val="005E4AEF"/>
    <w:rsid w:val="005E5BC8"/>
    <w:rsid w:val="005F0206"/>
    <w:rsid w:val="005F036A"/>
    <w:rsid w:val="005F0709"/>
    <w:rsid w:val="005F0F6E"/>
    <w:rsid w:val="005F3936"/>
    <w:rsid w:val="005F471C"/>
    <w:rsid w:val="005F496B"/>
    <w:rsid w:val="005F4F72"/>
    <w:rsid w:val="005F57E5"/>
    <w:rsid w:val="005F5BD4"/>
    <w:rsid w:val="005F5DC5"/>
    <w:rsid w:val="005F5E67"/>
    <w:rsid w:val="005F7FBA"/>
    <w:rsid w:val="00600132"/>
    <w:rsid w:val="00601208"/>
    <w:rsid w:val="0060159F"/>
    <w:rsid w:val="00602C4F"/>
    <w:rsid w:val="00602C56"/>
    <w:rsid w:val="006038C7"/>
    <w:rsid w:val="00603BF0"/>
    <w:rsid w:val="006047E3"/>
    <w:rsid w:val="00604B52"/>
    <w:rsid w:val="006051A2"/>
    <w:rsid w:val="0060537E"/>
    <w:rsid w:val="00605A34"/>
    <w:rsid w:val="00605E9E"/>
    <w:rsid w:val="006068C1"/>
    <w:rsid w:val="0060759B"/>
    <w:rsid w:val="00607EC9"/>
    <w:rsid w:val="0061024E"/>
    <w:rsid w:val="00611911"/>
    <w:rsid w:val="0061262D"/>
    <w:rsid w:val="006139D2"/>
    <w:rsid w:val="00613E84"/>
    <w:rsid w:val="00614A7C"/>
    <w:rsid w:val="00615392"/>
    <w:rsid w:val="006159B3"/>
    <w:rsid w:val="0061615C"/>
    <w:rsid w:val="006172BE"/>
    <w:rsid w:val="006225AF"/>
    <w:rsid w:val="006227AD"/>
    <w:rsid w:val="00623208"/>
    <w:rsid w:val="0062344A"/>
    <w:rsid w:val="006245D0"/>
    <w:rsid w:val="006258B1"/>
    <w:rsid w:val="00626754"/>
    <w:rsid w:val="006275ED"/>
    <w:rsid w:val="0063050D"/>
    <w:rsid w:val="00630DFC"/>
    <w:rsid w:val="00631461"/>
    <w:rsid w:val="00631F6A"/>
    <w:rsid w:val="0063248F"/>
    <w:rsid w:val="00632492"/>
    <w:rsid w:val="006336DC"/>
    <w:rsid w:val="00634D55"/>
    <w:rsid w:val="00635B5C"/>
    <w:rsid w:val="00635EC7"/>
    <w:rsid w:val="006362FA"/>
    <w:rsid w:val="00636EEE"/>
    <w:rsid w:val="0064100F"/>
    <w:rsid w:val="00641074"/>
    <w:rsid w:val="0064360F"/>
    <w:rsid w:val="006442E5"/>
    <w:rsid w:val="006444E6"/>
    <w:rsid w:val="006446F4"/>
    <w:rsid w:val="0064692E"/>
    <w:rsid w:val="006474CF"/>
    <w:rsid w:val="006505E6"/>
    <w:rsid w:val="00650803"/>
    <w:rsid w:val="006508FD"/>
    <w:rsid w:val="006512E6"/>
    <w:rsid w:val="00652D81"/>
    <w:rsid w:val="00653513"/>
    <w:rsid w:val="00653940"/>
    <w:rsid w:val="006549DB"/>
    <w:rsid w:val="00655AF9"/>
    <w:rsid w:val="00655B34"/>
    <w:rsid w:val="006579BF"/>
    <w:rsid w:val="00660A7A"/>
    <w:rsid w:val="00661311"/>
    <w:rsid w:val="006616CF"/>
    <w:rsid w:val="00661F6B"/>
    <w:rsid w:val="006626D5"/>
    <w:rsid w:val="006630EF"/>
    <w:rsid w:val="00663870"/>
    <w:rsid w:val="00664606"/>
    <w:rsid w:val="006651B6"/>
    <w:rsid w:val="0066533B"/>
    <w:rsid w:val="00665956"/>
    <w:rsid w:val="00666481"/>
    <w:rsid w:val="006667EF"/>
    <w:rsid w:val="00667C22"/>
    <w:rsid w:val="0067338D"/>
    <w:rsid w:val="00675030"/>
    <w:rsid w:val="00675E5F"/>
    <w:rsid w:val="0067682C"/>
    <w:rsid w:val="00681CA3"/>
    <w:rsid w:val="00681E14"/>
    <w:rsid w:val="00682B56"/>
    <w:rsid w:val="00682EDD"/>
    <w:rsid w:val="006836E1"/>
    <w:rsid w:val="006843E4"/>
    <w:rsid w:val="00684E30"/>
    <w:rsid w:val="00684FE8"/>
    <w:rsid w:val="00687484"/>
    <w:rsid w:val="00687E57"/>
    <w:rsid w:val="006900A6"/>
    <w:rsid w:val="006903F4"/>
    <w:rsid w:val="00691D81"/>
    <w:rsid w:val="00692697"/>
    <w:rsid w:val="00692C2C"/>
    <w:rsid w:val="00693732"/>
    <w:rsid w:val="006937C4"/>
    <w:rsid w:val="00693F29"/>
    <w:rsid w:val="0069486B"/>
    <w:rsid w:val="00694B02"/>
    <w:rsid w:val="00696037"/>
    <w:rsid w:val="00697125"/>
    <w:rsid w:val="00697590"/>
    <w:rsid w:val="00697C3A"/>
    <w:rsid w:val="006A0410"/>
    <w:rsid w:val="006A0B0C"/>
    <w:rsid w:val="006A1ED4"/>
    <w:rsid w:val="006A244B"/>
    <w:rsid w:val="006A31AD"/>
    <w:rsid w:val="006A36FA"/>
    <w:rsid w:val="006A3B62"/>
    <w:rsid w:val="006A5061"/>
    <w:rsid w:val="006A72C4"/>
    <w:rsid w:val="006A7952"/>
    <w:rsid w:val="006B0F04"/>
    <w:rsid w:val="006B1962"/>
    <w:rsid w:val="006B2EDA"/>
    <w:rsid w:val="006B37C8"/>
    <w:rsid w:val="006B3B6D"/>
    <w:rsid w:val="006B4340"/>
    <w:rsid w:val="006B56F3"/>
    <w:rsid w:val="006B5C0F"/>
    <w:rsid w:val="006B6162"/>
    <w:rsid w:val="006B67EF"/>
    <w:rsid w:val="006B75E7"/>
    <w:rsid w:val="006B7C69"/>
    <w:rsid w:val="006C08CC"/>
    <w:rsid w:val="006C0ABD"/>
    <w:rsid w:val="006C0D63"/>
    <w:rsid w:val="006C236E"/>
    <w:rsid w:val="006C2470"/>
    <w:rsid w:val="006C2A4E"/>
    <w:rsid w:val="006C2D5F"/>
    <w:rsid w:val="006C41E8"/>
    <w:rsid w:val="006C424E"/>
    <w:rsid w:val="006C4FCB"/>
    <w:rsid w:val="006C65F0"/>
    <w:rsid w:val="006C69E9"/>
    <w:rsid w:val="006C7B34"/>
    <w:rsid w:val="006D2E44"/>
    <w:rsid w:val="006D31FE"/>
    <w:rsid w:val="006D375F"/>
    <w:rsid w:val="006D3B98"/>
    <w:rsid w:val="006D4FEB"/>
    <w:rsid w:val="006D5636"/>
    <w:rsid w:val="006D717C"/>
    <w:rsid w:val="006D71BC"/>
    <w:rsid w:val="006E215F"/>
    <w:rsid w:val="006E276C"/>
    <w:rsid w:val="006E2820"/>
    <w:rsid w:val="006E2A36"/>
    <w:rsid w:val="006E30BE"/>
    <w:rsid w:val="006E3B92"/>
    <w:rsid w:val="006E46A3"/>
    <w:rsid w:val="006E49C8"/>
    <w:rsid w:val="006E4F73"/>
    <w:rsid w:val="006E53A7"/>
    <w:rsid w:val="006E60C7"/>
    <w:rsid w:val="006E7285"/>
    <w:rsid w:val="006E742B"/>
    <w:rsid w:val="006E743F"/>
    <w:rsid w:val="006F12AA"/>
    <w:rsid w:val="006F19E5"/>
    <w:rsid w:val="006F1C4D"/>
    <w:rsid w:val="006F280A"/>
    <w:rsid w:val="006F28D9"/>
    <w:rsid w:val="006F29E7"/>
    <w:rsid w:val="006F339A"/>
    <w:rsid w:val="006F3936"/>
    <w:rsid w:val="006F531B"/>
    <w:rsid w:val="006F5813"/>
    <w:rsid w:val="006F72A3"/>
    <w:rsid w:val="00702E9D"/>
    <w:rsid w:val="00703F2E"/>
    <w:rsid w:val="00704E0E"/>
    <w:rsid w:val="00705CB0"/>
    <w:rsid w:val="0071027D"/>
    <w:rsid w:val="00710F85"/>
    <w:rsid w:val="0071190A"/>
    <w:rsid w:val="00712999"/>
    <w:rsid w:val="0071415C"/>
    <w:rsid w:val="007218E5"/>
    <w:rsid w:val="0072394C"/>
    <w:rsid w:val="0072411B"/>
    <w:rsid w:val="00724B0A"/>
    <w:rsid w:val="007257B2"/>
    <w:rsid w:val="0073025D"/>
    <w:rsid w:val="00732A4C"/>
    <w:rsid w:val="00733EBF"/>
    <w:rsid w:val="007353C0"/>
    <w:rsid w:val="0073729E"/>
    <w:rsid w:val="00737F08"/>
    <w:rsid w:val="00740576"/>
    <w:rsid w:val="007418E8"/>
    <w:rsid w:val="00742754"/>
    <w:rsid w:val="00742E4E"/>
    <w:rsid w:val="00742EE3"/>
    <w:rsid w:val="00743B99"/>
    <w:rsid w:val="00744B86"/>
    <w:rsid w:val="00746910"/>
    <w:rsid w:val="007470B9"/>
    <w:rsid w:val="00750A7F"/>
    <w:rsid w:val="0075110E"/>
    <w:rsid w:val="007513CA"/>
    <w:rsid w:val="00752B53"/>
    <w:rsid w:val="00753AD5"/>
    <w:rsid w:val="00753D21"/>
    <w:rsid w:val="00753F7F"/>
    <w:rsid w:val="0075469A"/>
    <w:rsid w:val="00755901"/>
    <w:rsid w:val="00755B29"/>
    <w:rsid w:val="0075601C"/>
    <w:rsid w:val="00757E9D"/>
    <w:rsid w:val="0076060A"/>
    <w:rsid w:val="00760C9B"/>
    <w:rsid w:val="00761D47"/>
    <w:rsid w:val="00761D4F"/>
    <w:rsid w:val="00761E4F"/>
    <w:rsid w:val="00762D2F"/>
    <w:rsid w:val="007635E6"/>
    <w:rsid w:val="00763962"/>
    <w:rsid w:val="00765698"/>
    <w:rsid w:val="00766B62"/>
    <w:rsid w:val="007703E5"/>
    <w:rsid w:val="0077169F"/>
    <w:rsid w:val="00772497"/>
    <w:rsid w:val="00772E27"/>
    <w:rsid w:val="00773EB3"/>
    <w:rsid w:val="00774C57"/>
    <w:rsid w:val="00775583"/>
    <w:rsid w:val="007757F7"/>
    <w:rsid w:val="00775D3C"/>
    <w:rsid w:val="007761A7"/>
    <w:rsid w:val="00780981"/>
    <w:rsid w:val="007809E0"/>
    <w:rsid w:val="00781E70"/>
    <w:rsid w:val="007822FE"/>
    <w:rsid w:val="00783214"/>
    <w:rsid w:val="00783399"/>
    <w:rsid w:val="0078339A"/>
    <w:rsid w:val="00783559"/>
    <w:rsid w:val="00784097"/>
    <w:rsid w:val="00784CC4"/>
    <w:rsid w:val="00787457"/>
    <w:rsid w:val="00791F39"/>
    <w:rsid w:val="00792078"/>
    <w:rsid w:val="00792462"/>
    <w:rsid w:val="0079292F"/>
    <w:rsid w:val="00792945"/>
    <w:rsid w:val="00792A7F"/>
    <w:rsid w:val="00793C90"/>
    <w:rsid w:val="00793D4D"/>
    <w:rsid w:val="00793E6F"/>
    <w:rsid w:val="0079439A"/>
    <w:rsid w:val="007949C8"/>
    <w:rsid w:val="00794B52"/>
    <w:rsid w:val="00794B94"/>
    <w:rsid w:val="007959F3"/>
    <w:rsid w:val="00796111"/>
    <w:rsid w:val="00796376"/>
    <w:rsid w:val="007A2BFC"/>
    <w:rsid w:val="007A3AE7"/>
    <w:rsid w:val="007A5608"/>
    <w:rsid w:val="007B04BA"/>
    <w:rsid w:val="007B1119"/>
    <w:rsid w:val="007B11C7"/>
    <w:rsid w:val="007B159F"/>
    <w:rsid w:val="007B2C07"/>
    <w:rsid w:val="007B3C4C"/>
    <w:rsid w:val="007B3F63"/>
    <w:rsid w:val="007B422E"/>
    <w:rsid w:val="007B44FD"/>
    <w:rsid w:val="007B49DB"/>
    <w:rsid w:val="007B4BD1"/>
    <w:rsid w:val="007B50C2"/>
    <w:rsid w:val="007B64C9"/>
    <w:rsid w:val="007B7419"/>
    <w:rsid w:val="007C1282"/>
    <w:rsid w:val="007C19A9"/>
    <w:rsid w:val="007C7DB0"/>
    <w:rsid w:val="007D1355"/>
    <w:rsid w:val="007D4332"/>
    <w:rsid w:val="007D522E"/>
    <w:rsid w:val="007D5694"/>
    <w:rsid w:val="007D61C8"/>
    <w:rsid w:val="007D62DB"/>
    <w:rsid w:val="007D77D9"/>
    <w:rsid w:val="007D795F"/>
    <w:rsid w:val="007E07CD"/>
    <w:rsid w:val="007E0B5C"/>
    <w:rsid w:val="007E43B0"/>
    <w:rsid w:val="007E5A9A"/>
    <w:rsid w:val="007E5C2D"/>
    <w:rsid w:val="007E5E83"/>
    <w:rsid w:val="007E6EEF"/>
    <w:rsid w:val="007F263E"/>
    <w:rsid w:val="007F2ED1"/>
    <w:rsid w:val="007F3792"/>
    <w:rsid w:val="007F3ADB"/>
    <w:rsid w:val="007F58F4"/>
    <w:rsid w:val="007F59CA"/>
    <w:rsid w:val="007F6C1D"/>
    <w:rsid w:val="007F6E0E"/>
    <w:rsid w:val="007F76E8"/>
    <w:rsid w:val="0080042E"/>
    <w:rsid w:val="00800A22"/>
    <w:rsid w:val="00801271"/>
    <w:rsid w:val="008020F3"/>
    <w:rsid w:val="0080269D"/>
    <w:rsid w:val="00802F38"/>
    <w:rsid w:val="00803932"/>
    <w:rsid w:val="00805124"/>
    <w:rsid w:val="008052DF"/>
    <w:rsid w:val="008064BB"/>
    <w:rsid w:val="0080658B"/>
    <w:rsid w:val="0081052A"/>
    <w:rsid w:val="00810745"/>
    <w:rsid w:val="008113CA"/>
    <w:rsid w:val="00811BB0"/>
    <w:rsid w:val="00815E31"/>
    <w:rsid w:val="008160D0"/>
    <w:rsid w:val="0081651C"/>
    <w:rsid w:val="00816F26"/>
    <w:rsid w:val="00816FE5"/>
    <w:rsid w:val="008171EB"/>
    <w:rsid w:val="00817DA6"/>
    <w:rsid w:val="00817F6C"/>
    <w:rsid w:val="00817F84"/>
    <w:rsid w:val="008208A0"/>
    <w:rsid w:val="0082122B"/>
    <w:rsid w:val="00825CAE"/>
    <w:rsid w:val="00825E00"/>
    <w:rsid w:val="00826B64"/>
    <w:rsid w:val="00826C3C"/>
    <w:rsid w:val="00827081"/>
    <w:rsid w:val="00827A19"/>
    <w:rsid w:val="008315C8"/>
    <w:rsid w:val="0083305D"/>
    <w:rsid w:val="00834053"/>
    <w:rsid w:val="00834E2E"/>
    <w:rsid w:val="00834F63"/>
    <w:rsid w:val="00836588"/>
    <w:rsid w:val="00840D34"/>
    <w:rsid w:val="0084119D"/>
    <w:rsid w:val="0084198C"/>
    <w:rsid w:val="00843EDD"/>
    <w:rsid w:val="0084402E"/>
    <w:rsid w:val="008446FE"/>
    <w:rsid w:val="00845910"/>
    <w:rsid w:val="00845CF4"/>
    <w:rsid w:val="0084661B"/>
    <w:rsid w:val="008504C4"/>
    <w:rsid w:val="00851AE3"/>
    <w:rsid w:val="00852BEF"/>
    <w:rsid w:val="00853249"/>
    <w:rsid w:val="00853A6C"/>
    <w:rsid w:val="00854953"/>
    <w:rsid w:val="008554BF"/>
    <w:rsid w:val="00855AA4"/>
    <w:rsid w:val="00857A30"/>
    <w:rsid w:val="00860E73"/>
    <w:rsid w:val="008623C2"/>
    <w:rsid w:val="00863374"/>
    <w:rsid w:val="008639A0"/>
    <w:rsid w:val="008647D0"/>
    <w:rsid w:val="00865788"/>
    <w:rsid w:val="00867751"/>
    <w:rsid w:val="00870FB8"/>
    <w:rsid w:val="00871777"/>
    <w:rsid w:val="00872DBE"/>
    <w:rsid w:val="00872ED0"/>
    <w:rsid w:val="00872F92"/>
    <w:rsid w:val="00874D1D"/>
    <w:rsid w:val="00875263"/>
    <w:rsid w:val="0087580F"/>
    <w:rsid w:val="008762EC"/>
    <w:rsid w:val="008763C6"/>
    <w:rsid w:val="008770D9"/>
    <w:rsid w:val="00881DB7"/>
    <w:rsid w:val="008831D0"/>
    <w:rsid w:val="008831DA"/>
    <w:rsid w:val="00883CA7"/>
    <w:rsid w:val="00884AC3"/>
    <w:rsid w:val="00886115"/>
    <w:rsid w:val="008875A1"/>
    <w:rsid w:val="00891A56"/>
    <w:rsid w:val="00891DD0"/>
    <w:rsid w:val="00892F3B"/>
    <w:rsid w:val="00893038"/>
    <w:rsid w:val="00894A21"/>
    <w:rsid w:val="008956E2"/>
    <w:rsid w:val="00895726"/>
    <w:rsid w:val="00896FB1"/>
    <w:rsid w:val="008A02D6"/>
    <w:rsid w:val="008A1228"/>
    <w:rsid w:val="008A17E5"/>
    <w:rsid w:val="008A2C5B"/>
    <w:rsid w:val="008A3466"/>
    <w:rsid w:val="008A3F95"/>
    <w:rsid w:val="008A7904"/>
    <w:rsid w:val="008B054F"/>
    <w:rsid w:val="008B0976"/>
    <w:rsid w:val="008B0E28"/>
    <w:rsid w:val="008B3335"/>
    <w:rsid w:val="008B36DF"/>
    <w:rsid w:val="008B41D9"/>
    <w:rsid w:val="008B4703"/>
    <w:rsid w:val="008B4D12"/>
    <w:rsid w:val="008B6B34"/>
    <w:rsid w:val="008B7366"/>
    <w:rsid w:val="008C0AE5"/>
    <w:rsid w:val="008C10A2"/>
    <w:rsid w:val="008C1D1F"/>
    <w:rsid w:val="008C2548"/>
    <w:rsid w:val="008C2E24"/>
    <w:rsid w:val="008C5DD3"/>
    <w:rsid w:val="008C6CA7"/>
    <w:rsid w:val="008C6D55"/>
    <w:rsid w:val="008C7368"/>
    <w:rsid w:val="008C7A7C"/>
    <w:rsid w:val="008D0FE8"/>
    <w:rsid w:val="008D32B0"/>
    <w:rsid w:val="008D36B7"/>
    <w:rsid w:val="008D4B65"/>
    <w:rsid w:val="008D4DC4"/>
    <w:rsid w:val="008D5018"/>
    <w:rsid w:val="008D5BC8"/>
    <w:rsid w:val="008D5E78"/>
    <w:rsid w:val="008D6F8C"/>
    <w:rsid w:val="008E0061"/>
    <w:rsid w:val="008E0B01"/>
    <w:rsid w:val="008E0E75"/>
    <w:rsid w:val="008E2116"/>
    <w:rsid w:val="008E44E7"/>
    <w:rsid w:val="008E46F1"/>
    <w:rsid w:val="008E52E6"/>
    <w:rsid w:val="008E57ED"/>
    <w:rsid w:val="008E67FC"/>
    <w:rsid w:val="008E6C48"/>
    <w:rsid w:val="008E722A"/>
    <w:rsid w:val="008E7FF7"/>
    <w:rsid w:val="008F0535"/>
    <w:rsid w:val="008F3C3B"/>
    <w:rsid w:val="008F4523"/>
    <w:rsid w:val="008F50FD"/>
    <w:rsid w:val="008F543D"/>
    <w:rsid w:val="008F6600"/>
    <w:rsid w:val="008F720D"/>
    <w:rsid w:val="009017ED"/>
    <w:rsid w:val="00902C28"/>
    <w:rsid w:val="009031DC"/>
    <w:rsid w:val="0090425E"/>
    <w:rsid w:val="009070CC"/>
    <w:rsid w:val="009076E9"/>
    <w:rsid w:val="00907A04"/>
    <w:rsid w:val="00910D00"/>
    <w:rsid w:val="00911CFF"/>
    <w:rsid w:val="009126B4"/>
    <w:rsid w:val="00914187"/>
    <w:rsid w:val="009141F2"/>
    <w:rsid w:val="00915F7C"/>
    <w:rsid w:val="009163F6"/>
    <w:rsid w:val="00920609"/>
    <w:rsid w:val="00920885"/>
    <w:rsid w:val="0092213F"/>
    <w:rsid w:val="00922CE4"/>
    <w:rsid w:val="00922D37"/>
    <w:rsid w:val="00923615"/>
    <w:rsid w:val="00925D9E"/>
    <w:rsid w:val="009260F3"/>
    <w:rsid w:val="009266A2"/>
    <w:rsid w:val="0092683C"/>
    <w:rsid w:val="009274C4"/>
    <w:rsid w:val="00930510"/>
    <w:rsid w:val="00930732"/>
    <w:rsid w:val="00932B78"/>
    <w:rsid w:val="00933A78"/>
    <w:rsid w:val="00935250"/>
    <w:rsid w:val="00935556"/>
    <w:rsid w:val="009357EE"/>
    <w:rsid w:val="00935EA9"/>
    <w:rsid w:val="009419F1"/>
    <w:rsid w:val="0094306E"/>
    <w:rsid w:val="009437FF"/>
    <w:rsid w:val="00943834"/>
    <w:rsid w:val="00943BE8"/>
    <w:rsid w:val="00943DD4"/>
    <w:rsid w:val="0094460C"/>
    <w:rsid w:val="009462F6"/>
    <w:rsid w:val="00950229"/>
    <w:rsid w:val="0095039D"/>
    <w:rsid w:val="00950A55"/>
    <w:rsid w:val="00950DE5"/>
    <w:rsid w:val="009514CD"/>
    <w:rsid w:val="0095280A"/>
    <w:rsid w:val="00952E3C"/>
    <w:rsid w:val="00953855"/>
    <w:rsid w:val="00953A14"/>
    <w:rsid w:val="00953AEF"/>
    <w:rsid w:val="0095466D"/>
    <w:rsid w:val="009559FE"/>
    <w:rsid w:val="00956152"/>
    <w:rsid w:val="00957325"/>
    <w:rsid w:val="00957806"/>
    <w:rsid w:val="0096062F"/>
    <w:rsid w:val="0096128D"/>
    <w:rsid w:val="009614D4"/>
    <w:rsid w:val="00961C3B"/>
    <w:rsid w:val="00962947"/>
    <w:rsid w:val="0096296A"/>
    <w:rsid w:val="00963419"/>
    <w:rsid w:val="00963A92"/>
    <w:rsid w:val="00963C1A"/>
    <w:rsid w:val="00964354"/>
    <w:rsid w:val="00965D4D"/>
    <w:rsid w:val="00965FE6"/>
    <w:rsid w:val="00966C16"/>
    <w:rsid w:val="00967430"/>
    <w:rsid w:val="009706A7"/>
    <w:rsid w:val="009706B4"/>
    <w:rsid w:val="00971993"/>
    <w:rsid w:val="0097324A"/>
    <w:rsid w:val="009749F1"/>
    <w:rsid w:val="0097516A"/>
    <w:rsid w:val="009755FB"/>
    <w:rsid w:val="009761F6"/>
    <w:rsid w:val="00977613"/>
    <w:rsid w:val="009809B4"/>
    <w:rsid w:val="00981F52"/>
    <w:rsid w:val="00982CAC"/>
    <w:rsid w:val="00983166"/>
    <w:rsid w:val="0098464C"/>
    <w:rsid w:val="009849D2"/>
    <w:rsid w:val="00984A58"/>
    <w:rsid w:val="00984CFB"/>
    <w:rsid w:val="00984CFE"/>
    <w:rsid w:val="00984F9E"/>
    <w:rsid w:val="0098738A"/>
    <w:rsid w:val="00991D6E"/>
    <w:rsid w:val="00992B3C"/>
    <w:rsid w:val="00993329"/>
    <w:rsid w:val="009939AB"/>
    <w:rsid w:val="00994065"/>
    <w:rsid w:val="00994174"/>
    <w:rsid w:val="00996693"/>
    <w:rsid w:val="009969B2"/>
    <w:rsid w:val="00997456"/>
    <w:rsid w:val="009A3182"/>
    <w:rsid w:val="009A40DF"/>
    <w:rsid w:val="009A4C50"/>
    <w:rsid w:val="009A5199"/>
    <w:rsid w:val="009A66CF"/>
    <w:rsid w:val="009A7652"/>
    <w:rsid w:val="009A7C9A"/>
    <w:rsid w:val="009A7CD4"/>
    <w:rsid w:val="009B0444"/>
    <w:rsid w:val="009B07B1"/>
    <w:rsid w:val="009B1F8C"/>
    <w:rsid w:val="009B2794"/>
    <w:rsid w:val="009B2CA4"/>
    <w:rsid w:val="009B2DFF"/>
    <w:rsid w:val="009B305B"/>
    <w:rsid w:val="009B312B"/>
    <w:rsid w:val="009B477A"/>
    <w:rsid w:val="009B4DA4"/>
    <w:rsid w:val="009B4E33"/>
    <w:rsid w:val="009B5A33"/>
    <w:rsid w:val="009C11F8"/>
    <w:rsid w:val="009C17DE"/>
    <w:rsid w:val="009C1A5F"/>
    <w:rsid w:val="009C1CC6"/>
    <w:rsid w:val="009C44C1"/>
    <w:rsid w:val="009C4641"/>
    <w:rsid w:val="009C4F29"/>
    <w:rsid w:val="009C618A"/>
    <w:rsid w:val="009C6937"/>
    <w:rsid w:val="009C78B8"/>
    <w:rsid w:val="009D0642"/>
    <w:rsid w:val="009D0B40"/>
    <w:rsid w:val="009D0CDD"/>
    <w:rsid w:val="009D0F8A"/>
    <w:rsid w:val="009D155A"/>
    <w:rsid w:val="009D274F"/>
    <w:rsid w:val="009D2BA2"/>
    <w:rsid w:val="009D4F4C"/>
    <w:rsid w:val="009D692B"/>
    <w:rsid w:val="009D738D"/>
    <w:rsid w:val="009E0302"/>
    <w:rsid w:val="009E0CB8"/>
    <w:rsid w:val="009E2251"/>
    <w:rsid w:val="009E2EC7"/>
    <w:rsid w:val="009E34C1"/>
    <w:rsid w:val="009E3A11"/>
    <w:rsid w:val="009E3DE0"/>
    <w:rsid w:val="009E628C"/>
    <w:rsid w:val="009E6472"/>
    <w:rsid w:val="009E7337"/>
    <w:rsid w:val="009E7A89"/>
    <w:rsid w:val="009F02A0"/>
    <w:rsid w:val="009F0B1E"/>
    <w:rsid w:val="009F0BAA"/>
    <w:rsid w:val="009F1106"/>
    <w:rsid w:val="009F142F"/>
    <w:rsid w:val="009F1FF4"/>
    <w:rsid w:val="009F4B0E"/>
    <w:rsid w:val="009F7149"/>
    <w:rsid w:val="009F7391"/>
    <w:rsid w:val="00A0019C"/>
    <w:rsid w:val="00A00BCB"/>
    <w:rsid w:val="00A00CFC"/>
    <w:rsid w:val="00A019F6"/>
    <w:rsid w:val="00A042E2"/>
    <w:rsid w:val="00A051BB"/>
    <w:rsid w:val="00A06B03"/>
    <w:rsid w:val="00A06C7C"/>
    <w:rsid w:val="00A07ED7"/>
    <w:rsid w:val="00A114C1"/>
    <w:rsid w:val="00A1189D"/>
    <w:rsid w:val="00A11BCF"/>
    <w:rsid w:val="00A11DD3"/>
    <w:rsid w:val="00A1202C"/>
    <w:rsid w:val="00A15111"/>
    <w:rsid w:val="00A1530B"/>
    <w:rsid w:val="00A16081"/>
    <w:rsid w:val="00A16325"/>
    <w:rsid w:val="00A20008"/>
    <w:rsid w:val="00A2025F"/>
    <w:rsid w:val="00A21A71"/>
    <w:rsid w:val="00A229B9"/>
    <w:rsid w:val="00A2317F"/>
    <w:rsid w:val="00A23816"/>
    <w:rsid w:val="00A25406"/>
    <w:rsid w:val="00A264CB"/>
    <w:rsid w:val="00A268B6"/>
    <w:rsid w:val="00A26E6E"/>
    <w:rsid w:val="00A27CEF"/>
    <w:rsid w:val="00A27E7D"/>
    <w:rsid w:val="00A27F61"/>
    <w:rsid w:val="00A3088E"/>
    <w:rsid w:val="00A339A6"/>
    <w:rsid w:val="00A34960"/>
    <w:rsid w:val="00A35FC0"/>
    <w:rsid w:val="00A36C6E"/>
    <w:rsid w:val="00A37937"/>
    <w:rsid w:val="00A4172C"/>
    <w:rsid w:val="00A41CD2"/>
    <w:rsid w:val="00A42922"/>
    <w:rsid w:val="00A42B2F"/>
    <w:rsid w:val="00A431A8"/>
    <w:rsid w:val="00A44064"/>
    <w:rsid w:val="00A460E5"/>
    <w:rsid w:val="00A46364"/>
    <w:rsid w:val="00A46540"/>
    <w:rsid w:val="00A4790A"/>
    <w:rsid w:val="00A47A76"/>
    <w:rsid w:val="00A50878"/>
    <w:rsid w:val="00A50C86"/>
    <w:rsid w:val="00A51E10"/>
    <w:rsid w:val="00A520A5"/>
    <w:rsid w:val="00A536EF"/>
    <w:rsid w:val="00A54187"/>
    <w:rsid w:val="00A54783"/>
    <w:rsid w:val="00A55485"/>
    <w:rsid w:val="00A5755B"/>
    <w:rsid w:val="00A6039F"/>
    <w:rsid w:val="00A6057F"/>
    <w:rsid w:val="00A60811"/>
    <w:rsid w:val="00A60814"/>
    <w:rsid w:val="00A6195D"/>
    <w:rsid w:val="00A61FD1"/>
    <w:rsid w:val="00A63E82"/>
    <w:rsid w:val="00A63EEE"/>
    <w:rsid w:val="00A661DB"/>
    <w:rsid w:val="00A66DD8"/>
    <w:rsid w:val="00A715D3"/>
    <w:rsid w:val="00A716BE"/>
    <w:rsid w:val="00A717AA"/>
    <w:rsid w:val="00A7186B"/>
    <w:rsid w:val="00A72AA3"/>
    <w:rsid w:val="00A733E0"/>
    <w:rsid w:val="00A741BE"/>
    <w:rsid w:val="00A74284"/>
    <w:rsid w:val="00A7465B"/>
    <w:rsid w:val="00A75C99"/>
    <w:rsid w:val="00A77374"/>
    <w:rsid w:val="00A7789E"/>
    <w:rsid w:val="00A779D1"/>
    <w:rsid w:val="00A80408"/>
    <w:rsid w:val="00A84766"/>
    <w:rsid w:val="00A847BC"/>
    <w:rsid w:val="00A84FE4"/>
    <w:rsid w:val="00A8503A"/>
    <w:rsid w:val="00A86FE2"/>
    <w:rsid w:val="00A9041B"/>
    <w:rsid w:val="00A90474"/>
    <w:rsid w:val="00A9067C"/>
    <w:rsid w:val="00A90A96"/>
    <w:rsid w:val="00A92810"/>
    <w:rsid w:val="00A92D57"/>
    <w:rsid w:val="00A938EE"/>
    <w:rsid w:val="00A94AAE"/>
    <w:rsid w:val="00A95C49"/>
    <w:rsid w:val="00A96E74"/>
    <w:rsid w:val="00A97AFD"/>
    <w:rsid w:val="00AA12F8"/>
    <w:rsid w:val="00AA3190"/>
    <w:rsid w:val="00AA4A2D"/>
    <w:rsid w:val="00AA50D5"/>
    <w:rsid w:val="00AA6D27"/>
    <w:rsid w:val="00AB040E"/>
    <w:rsid w:val="00AB0AFB"/>
    <w:rsid w:val="00AB13E0"/>
    <w:rsid w:val="00AB2BCB"/>
    <w:rsid w:val="00AB3D20"/>
    <w:rsid w:val="00AB4F3E"/>
    <w:rsid w:val="00AB5E3C"/>
    <w:rsid w:val="00AB60E0"/>
    <w:rsid w:val="00AB68A4"/>
    <w:rsid w:val="00AB6B69"/>
    <w:rsid w:val="00AB75D1"/>
    <w:rsid w:val="00AB7C51"/>
    <w:rsid w:val="00AC1588"/>
    <w:rsid w:val="00AC2619"/>
    <w:rsid w:val="00AC42D8"/>
    <w:rsid w:val="00AC5A7F"/>
    <w:rsid w:val="00AC5E0F"/>
    <w:rsid w:val="00AC6701"/>
    <w:rsid w:val="00AC7B65"/>
    <w:rsid w:val="00AD0179"/>
    <w:rsid w:val="00AD17C1"/>
    <w:rsid w:val="00AD1C1D"/>
    <w:rsid w:val="00AD1CA3"/>
    <w:rsid w:val="00AD2705"/>
    <w:rsid w:val="00AD48E8"/>
    <w:rsid w:val="00AD5F22"/>
    <w:rsid w:val="00AD64B6"/>
    <w:rsid w:val="00AD6FF7"/>
    <w:rsid w:val="00AD791A"/>
    <w:rsid w:val="00AD7E0C"/>
    <w:rsid w:val="00AE000A"/>
    <w:rsid w:val="00AE036B"/>
    <w:rsid w:val="00AE09BA"/>
    <w:rsid w:val="00AE15B8"/>
    <w:rsid w:val="00AE25D4"/>
    <w:rsid w:val="00AE3D51"/>
    <w:rsid w:val="00AE41B7"/>
    <w:rsid w:val="00AE5E38"/>
    <w:rsid w:val="00AE6691"/>
    <w:rsid w:val="00AE6E99"/>
    <w:rsid w:val="00AE769F"/>
    <w:rsid w:val="00AF08F7"/>
    <w:rsid w:val="00AF1F40"/>
    <w:rsid w:val="00AF26A5"/>
    <w:rsid w:val="00AF2B1B"/>
    <w:rsid w:val="00AF4059"/>
    <w:rsid w:val="00AF42BE"/>
    <w:rsid w:val="00AF5CE4"/>
    <w:rsid w:val="00AF6E03"/>
    <w:rsid w:val="00B0153D"/>
    <w:rsid w:val="00B0157B"/>
    <w:rsid w:val="00B02D04"/>
    <w:rsid w:val="00B03233"/>
    <w:rsid w:val="00B0429A"/>
    <w:rsid w:val="00B05047"/>
    <w:rsid w:val="00B05167"/>
    <w:rsid w:val="00B05191"/>
    <w:rsid w:val="00B12307"/>
    <w:rsid w:val="00B12B59"/>
    <w:rsid w:val="00B12CED"/>
    <w:rsid w:val="00B13697"/>
    <w:rsid w:val="00B136DE"/>
    <w:rsid w:val="00B137B1"/>
    <w:rsid w:val="00B141D2"/>
    <w:rsid w:val="00B14880"/>
    <w:rsid w:val="00B17221"/>
    <w:rsid w:val="00B20033"/>
    <w:rsid w:val="00B20F40"/>
    <w:rsid w:val="00B228D8"/>
    <w:rsid w:val="00B2292C"/>
    <w:rsid w:val="00B241FB"/>
    <w:rsid w:val="00B24CA1"/>
    <w:rsid w:val="00B258A1"/>
    <w:rsid w:val="00B3068A"/>
    <w:rsid w:val="00B308A2"/>
    <w:rsid w:val="00B30FAD"/>
    <w:rsid w:val="00B312C1"/>
    <w:rsid w:val="00B32CAD"/>
    <w:rsid w:val="00B33942"/>
    <w:rsid w:val="00B34568"/>
    <w:rsid w:val="00B358F6"/>
    <w:rsid w:val="00B35AA0"/>
    <w:rsid w:val="00B3629A"/>
    <w:rsid w:val="00B36F7A"/>
    <w:rsid w:val="00B37D23"/>
    <w:rsid w:val="00B42526"/>
    <w:rsid w:val="00B4258E"/>
    <w:rsid w:val="00B42954"/>
    <w:rsid w:val="00B4627E"/>
    <w:rsid w:val="00B47E45"/>
    <w:rsid w:val="00B47F97"/>
    <w:rsid w:val="00B501D3"/>
    <w:rsid w:val="00B515FA"/>
    <w:rsid w:val="00B5215B"/>
    <w:rsid w:val="00B5284E"/>
    <w:rsid w:val="00B539D8"/>
    <w:rsid w:val="00B5527B"/>
    <w:rsid w:val="00B556C0"/>
    <w:rsid w:val="00B55BDB"/>
    <w:rsid w:val="00B56862"/>
    <w:rsid w:val="00B56FF7"/>
    <w:rsid w:val="00B57054"/>
    <w:rsid w:val="00B5757D"/>
    <w:rsid w:val="00B57651"/>
    <w:rsid w:val="00B578C1"/>
    <w:rsid w:val="00B6050B"/>
    <w:rsid w:val="00B61963"/>
    <w:rsid w:val="00B61A0E"/>
    <w:rsid w:val="00B62EF9"/>
    <w:rsid w:val="00B63ABF"/>
    <w:rsid w:val="00B63B46"/>
    <w:rsid w:val="00B646E3"/>
    <w:rsid w:val="00B64887"/>
    <w:rsid w:val="00B64E62"/>
    <w:rsid w:val="00B664CC"/>
    <w:rsid w:val="00B67CA7"/>
    <w:rsid w:val="00B67CD7"/>
    <w:rsid w:val="00B71417"/>
    <w:rsid w:val="00B737E9"/>
    <w:rsid w:val="00B7462A"/>
    <w:rsid w:val="00B7659C"/>
    <w:rsid w:val="00B76681"/>
    <w:rsid w:val="00B771BF"/>
    <w:rsid w:val="00B77508"/>
    <w:rsid w:val="00B776C1"/>
    <w:rsid w:val="00B81212"/>
    <w:rsid w:val="00B813BF"/>
    <w:rsid w:val="00B81A1A"/>
    <w:rsid w:val="00B8204D"/>
    <w:rsid w:val="00B82E9F"/>
    <w:rsid w:val="00B83957"/>
    <w:rsid w:val="00B83AA8"/>
    <w:rsid w:val="00B84117"/>
    <w:rsid w:val="00B854E8"/>
    <w:rsid w:val="00B868C5"/>
    <w:rsid w:val="00B86A5B"/>
    <w:rsid w:val="00B8712A"/>
    <w:rsid w:val="00B915B0"/>
    <w:rsid w:val="00B91803"/>
    <w:rsid w:val="00B919D9"/>
    <w:rsid w:val="00B91F83"/>
    <w:rsid w:val="00B92D2D"/>
    <w:rsid w:val="00B94838"/>
    <w:rsid w:val="00B950D5"/>
    <w:rsid w:val="00B95F95"/>
    <w:rsid w:val="00B96AF2"/>
    <w:rsid w:val="00B97710"/>
    <w:rsid w:val="00BA03B2"/>
    <w:rsid w:val="00BA29BB"/>
    <w:rsid w:val="00BA2B3F"/>
    <w:rsid w:val="00BA3F9F"/>
    <w:rsid w:val="00BA4348"/>
    <w:rsid w:val="00BA675E"/>
    <w:rsid w:val="00BA6D8A"/>
    <w:rsid w:val="00BB093F"/>
    <w:rsid w:val="00BB13FB"/>
    <w:rsid w:val="00BB1A85"/>
    <w:rsid w:val="00BB251B"/>
    <w:rsid w:val="00BB323E"/>
    <w:rsid w:val="00BB40F3"/>
    <w:rsid w:val="00BB466E"/>
    <w:rsid w:val="00BB498F"/>
    <w:rsid w:val="00BB5A03"/>
    <w:rsid w:val="00BB68B3"/>
    <w:rsid w:val="00BC026D"/>
    <w:rsid w:val="00BC02F2"/>
    <w:rsid w:val="00BC2255"/>
    <w:rsid w:val="00BC2EF0"/>
    <w:rsid w:val="00BC351B"/>
    <w:rsid w:val="00BC386E"/>
    <w:rsid w:val="00BC4263"/>
    <w:rsid w:val="00BC4D74"/>
    <w:rsid w:val="00BC6035"/>
    <w:rsid w:val="00BC6533"/>
    <w:rsid w:val="00BD0A3A"/>
    <w:rsid w:val="00BD3140"/>
    <w:rsid w:val="00BD31EC"/>
    <w:rsid w:val="00BD3256"/>
    <w:rsid w:val="00BD35DA"/>
    <w:rsid w:val="00BD5E68"/>
    <w:rsid w:val="00BD5E7F"/>
    <w:rsid w:val="00BD75DB"/>
    <w:rsid w:val="00BE017D"/>
    <w:rsid w:val="00BE0ACE"/>
    <w:rsid w:val="00BE2181"/>
    <w:rsid w:val="00BE3120"/>
    <w:rsid w:val="00BE335A"/>
    <w:rsid w:val="00BE4288"/>
    <w:rsid w:val="00BE42F4"/>
    <w:rsid w:val="00BE4D29"/>
    <w:rsid w:val="00BE5269"/>
    <w:rsid w:val="00BE5489"/>
    <w:rsid w:val="00BE5974"/>
    <w:rsid w:val="00BE5B58"/>
    <w:rsid w:val="00BE5D0B"/>
    <w:rsid w:val="00BE6C7F"/>
    <w:rsid w:val="00BE74FD"/>
    <w:rsid w:val="00BE78E5"/>
    <w:rsid w:val="00BF11AA"/>
    <w:rsid w:val="00BF5771"/>
    <w:rsid w:val="00C00433"/>
    <w:rsid w:val="00C007EB"/>
    <w:rsid w:val="00C008A6"/>
    <w:rsid w:val="00C030E0"/>
    <w:rsid w:val="00C046B3"/>
    <w:rsid w:val="00C05570"/>
    <w:rsid w:val="00C05B5A"/>
    <w:rsid w:val="00C066C8"/>
    <w:rsid w:val="00C0676B"/>
    <w:rsid w:val="00C0784C"/>
    <w:rsid w:val="00C11F4D"/>
    <w:rsid w:val="00C126A2"/>
    <w:rsid w:val="00C12C45"/>
    <w:rsid w:val="00C15B9C"/>
    <w:rsid w:val="00C1666E"/>
    <w:rsid w:val="00C17882"/>
    <w:rsid w:val="00C204A1"/>
    <w:rsid w:val="00C221EA"/>
    <w:rsid w:val="00C23024"/>
    <w:rsid w:val="00C235F6"/>
    <w:rsid w:val="00C23CC1"/>
    <w:rsid w:val="00C26576"/>
    <w:rsid w:val="00C3163A"/>
    <w:rsid w:val="00C331B1"/>
    <w:rsid w:val="00C34823"/>
    <w:rsid w:val="00C34D4E"/>
    <w:rsid w:val="00C36232"/>
    <w:rsid w:val="00C37E83"/>
    <w:rsid w:val="00C37F04"/>
    <w:rsid w:val="00C403B2"/>
    <w:rsid w:val="00C411A0"/>
    <w:rsid w:val="00C42406"/>
    <w:rsid w:val="00C438BA"/>
    <w:rsid w:val="00C439CA"/>
    <w:rsid w:val="00C441C1"/>
    <w:rsid w:val="00C44371"/>
    <w:rsid w:val="00C46ADD"/>
    <w:rsid w:val="00C479ED"/>
    <w:rsid w:val="00C47C93"/>
    <w:rsid w:val="00C47F0C"/>
    <w:rsid w:val="00C5004F"/>
    <w:rsid w:val="00C506DB"/>
    <w:rsid w:val="00C50A0B"/>
    <w:rsid w:val="00C50E2E"/>
    <w:rsid w:val="00C50EAA"/>
    <w:rsid w:val="00C52BB8"/>
    <w:rsid w:val="00C52F7D"/>
    <w:rsid w:val="00C5641B"/>
    <w:rsid w:val="00C56C54"/>
    <w:rsid w:val="00C60403"/>
    <w:rsid w:val="00C60557"/>
    <w:rsid w:val="00C6063F"/>
    <w:rsid w:val="00C63A91"/>
    <w:rsid w:val="00C63CE2"/>
    <w:rsid w:val="00C644EA"/>
    <w:rsid w:val="00C657C5"/>
    <w:rsid w:val="00C662BA"/>
    <w:rsid w:val="00C703B6"/>
    <w:rsid w:val="00C70777"/>
    <w:rsid w:val="00C72AA2"/>
    <w:rsid w:val="00C74BEC"/>
    <w:rsid w:val="00C75061"/>
    <w:rsid w:val="00C752E6"/>
    <w:rsid w:val="00C7613D"/>
    <w:rsid w:val="00C76920"/>
    <w:rsid w:val="00C772C4"/>
    <w:rsid w:val="00C80BD4"/>
    <w:rsid w:val="00C817C4"/>
    <w:rsid w:val="00C827B8"/>
    <w:rsid w:val="00C828BB"/>
    <w:rsid w:val="00C835D5"/>
    <w:rsid w:val="00C8362F"/>
    <w:rsid w:val="00C83ACE"/>
    <w:rsid w:val="00C86000"/>
    <w:rsid w:val="00C8645F"/>
    <w:rsid w:val="00C86EA2"/>
    <w:rsid w:val="00C8777E"/>
    <w:rsid w:val="00C87789"/>
    <w:rsid w:val="00C90104"/>
    <w:rsid w:val="00C9078D"/>
    <w:rsid w:val="00C90C40"/>
    <w:rsid w:val="00C92DBB"/>
    <w:rsid w:val="00C93D13"/>
    <w:rsid w:val="00C93D3D"/>
    <w:rsid w:val="00C93DEF"/>
    <w:rsid w:val="00C94868"/>
    <w:rsid w:val="00C94AE9"/>
    <w:rsid w:val="00C95B86"/>
    <w:rsid w:val="00C96152"/>
    <w:rsid w:val="00C9676C"/>
    <w:rsid w:val="00C96EB9"/>
    <w:rsid w:val="00C9743E"/>
    <w:rsid w:val="00C97599"/>
    <w:rsid w:val="00CA05F3"/>
    <w:rsid w:val="00CA10C5"/>
    <w:rsid w:val="00CA1B40"/>
    <w:rsid w:val="00CA39C2"/>
    <w:rsid w:val="00CA3F11"/>
    <w:rsid w:val="00CA406E"/>
    <w:rsid w:val="00CA4AB6"/>
    <w:rsid w:val="00CA65A2"/>
    <w:rsid w:val="00CB262F"/>
    <w:rsid w:val="00CB30FC"/>
    <w:rsid w:val="00CB5D91"/>
    <w:rsid w:val="00CB5EB0"/>
    <w:rsid w:val="00CB6CBC"/>
    <w:rsid w:val="00CC0BE0"/>
    <w:rsid w:val="00CC12EB"/>
    <w:rsid w:val="00CC1D0C"/>
    <w:rsid w:val="00CC3224"/>
    <w:rsid w:val="00CC40DE"/>
    <w:rsid w:val="00CC55A9"/>
    <w:rsid w:val="00CC5E2B"/>
    <w:rsid w:val="00CC5F51"/>
    <w:rsid w:val="00CC6A56"/>
    <w:rsid w:val="00CC71EB"/>
    <w:rsid w:val="00CD0C3B"/>
    <w:rsid w:val="00CD0C94"/>
    <w:rsid w:val="00CD23AC"/>
    <w:rsid w:val="00CD5131"/>
    <w:rsid w:val="00CD528D"/>
    <w:rsid w:val="00CD5753"/>
    <w:rsid w:val="00CD6C0D"/>
    <w:rsid w:val="00CD6D43"/>
    <w:rsid w:val="00CD715F"/>
    <w:rsid w:val="00CD7360"/>
    <w:rsid w:val="00CE048F"/>
    <w:rsid w:val="00CE0FEB"/>
    <w:rsid w:val="00CE4422"/>
    <w:rsid w:val="00CE4E60"/>
    <w:rsid w:val="00CE6915"/>
    <w:rsid w:val="00CE6950"/>
    <w:rsid w:val="00CE6B57"/>
    <w:rsid w:val="00CE7094"/>
    <w:rsid w:val="00CF0DB7"/>
    <w:rsid w:val="00CF1260"/>
    <w:rsid w:val="00CF1437"/>
    <w:rsid w:val="00CF33F8"/>
    <w:rsid w:val="00CF37C9"/>
    <w:rsid w:val="00CF46E4"/>
    <w:rsid w:val="00CF5631"/>
    <w:rsid w:val="00CF5655"/>
    <w:rsid w:val="00CF5BDA"/>
    <w:rsid w:val="00CF5F2C"/>
    <w:rsid w:val="00CF6270"/>
    <w:rsid w:val="00CF62C5"/>
    <w:rsid w:val="00CF630B"/>
    <w:rsid w:val="00CF6785"/>
    <w:rsid w:val="00CF6E33"/>
    <w:rsid w:val="00D003F8"/>
    <w:rsid w:val="00D01F4C"/>
    <w:rsid w:val="00D021FA"/>
    <w:rsid w:val="00D03B3B"/>
    <w:rsid w:val="00D03B86"/>
    <w:rsid w:val="00D0434C"/>
    <w:rsid w:val="00D04A3D"/>
    <w:rsid w:val="00D04D76"/>
    <w:rsid w:val="00D05155"/>
    <w:rsid w:val="00D0580F"/>
    <w:rsid w:val="00D060DE"/>
    <w:rsid w:val="00D06750"/>
    <w:rsid w:val="00D06D82"/>
    <w:rsid w:val="00D07399"/>
    <w:rsid w:val="00D07417"/>
    <w:rsid w:val="00D074EA"/>
    <w:rsid w:val="00D11AD1"/>
    <w:rsid w:val="00D11CDD"/>
    <w:rsid w:val="00D11FF2"/>
    <w:rsid w:val="00D1248D"/>
    <w:rsid w:val="00D130A6"/>
    <w:rsid w:val="00D14902"/>
    <w:rsid w:val="00D17C5F"/>
    <w:rsid w:val="00D20016"/>
    <w:rsid w:val="00D2107F"/>
    <w:rsid w:val="00D22774"/>
    <w:rsid w:val="00D23F30"/>
    <w:rsid w:val="00D24C2B"/>
    <w:rsid w:val="00D252EF"/>
    <w:rsid w:val="00D27596"/>
    <w:rsid w:val="00D302AC"/>
    <w:rsid w:val="00D31104"/>
    <w:rsid w:val="00D32BAA"/>
    <w:rsid w:val="00D32C93"/>
    <w:rsid w:val="00D32DDE"/>
    <w:rsid w:val="00D35931"/>
    <w:rsid w:val="00D37584"/>
    <w:rsid w:val="00D376F9"/>
    <w:rsid w:val="00D406E4"/>
    <w:rsid w:val="00D41C9D"/>
    <w:rsid w:val="00D41CFA"/>
    <w:rsid w:val="00D41E11"/>
    <w:rsid w:val="00D426B0"/>
    <w:rsid w:val="00D43967"/>
    <w:rsid w:val="00D43B67"/>
    <w:rsid w:val="00D45B44"/>
    <w:rsid w:val="00D46492"/>
    <w:rsid w:val="00D46B39"/>
    <w:rsid w:val="00D471D6"/>
    <w:rsid w:val="00D4797E"/>
    <w:rsid w:val="00D50812"/>
    <w:rsid w:val="00D5190D"/>
    <w:rsid w:val="00D51B38"/>
    <w:rsid w:val="00D52B5D"/>
    <w:rsid w:val="00D54176"/>
    <w:rsid w:val="00D54A9C"/>
    <w:rsid w:val="00D551E0"/>
    <w:rsid w:val="00D5562C"/>
    <w:rsid w:val="00D55D28"/>
    <w:rsid w:val="00D56F19"/>
    <w:rsid w:val="00D60B0B"/>
    <w:rsid w:val="00D62088"/>
    <w:rsid w:val="00D62BA0"/>
    <w:rsid w:val="00D62D5A"/>
    <w:rsid w:val="00D64CF6"/>
    <w:rsid w:val="00D6501B"/>
    <w:rsid w:val="00D65B8C"/>
    <w:rsid w:val="00D6623B"/>
    <w:rsid w:val="00D662BB"/>
    <w:rsid w:val="00D66E27"/>
    <w:rsid w:val="00D701FB"/>
    <w:rsid w:val="00D70A2C"/>
    <w:rsid w:val="00D7185B"/>
    <w:rsid w:val="00D71F2A"/>
    <w:rsid w:val="00D7292E"/>
    <w:rsid w:val="00D732D1"/>
    <w:rsid w:val="00D733FF"/>
    <w:rsid w:val="00D73A51"/>
    <w:rsid w:val="00D74071"/>
    <w:rsid w:val="00D74642"/>
    <w:rsid w:val="00D77750"/>
    <w:rsid w:val="00D777E6"/>
    <w:rsid w:val="00D80853"/>
    <w:rsid w:val="00D80ABE"/>
    <w:rsid w:val="00D81A90"/>
    <w:rsid w:val="00D81CFC"/>
    <w:rsid w:val="00D83277"/>
    <w:rsid w:val="00D83655"/>
    <w:rsid w:val="00D83903"/>
    <w:rsid w:val="00D861F5"/>
    <w:rsid w:val="00D9012C"/>
    <w:rsid w:val="00D90212"/>
    <w:rsid w:val="00D9126F"/>
    <w:rsid w:val="00D92166"/>
    <w:rsid w:val="00D935BE"/>
    <w:rsid w:val="00D9436E"/>
    <w:rsid w:val="00D94CF8"/>
    <w:rsid w:val="00D95B5B"/>
    <w:rsid w:val="00D95F86"/>
    <w:rsid w:val="00D95FF2"/>
    <w:rsid w:val="00D97DFE"/>
    <w:rsid w:val="00DA09FA"/>
    <w:rsid w:val="00DA0A8B"/>
    <w:rsid w:val="00DA381E"/>
    <w:rsid w:val="00DA3BFA"/>
    <w:rsid w:val="00DA6E38"/>
    <w:rsid w:val="00DA73F3"/>
    <w:rsid w:val="00DB0E61"/>
    <w:rsid w:val="00DB0F10"/>
    <w:rsid w:val="00DB1FD2"/>
    <w:rsid w:val="00DB2C2D"/>
    <w:rsid w:val="00DB63B5"/>
    <w:rsid w:val="00DC3C71"/>
    <w:rsid w:val="00DC5C09"/>
    <w:rsid w:val="00DC6662"/>
    <w:rsid w:val="00DC7360"/>
    <w:rsid w:val="00DC7781"/>
    <w:rsid w:val="00DC77BE"/>
    <w:rsid w:val="00DD0025"/>
    <w:rsid w:val="00DD129F"/>
    <w:rsid w:val="00DD12F2"/>
    <w:rsid w:val="00DD1D5E"/>
    <w:rsid w:val="00DD1DBB"/>
    <w:rsid w:val="00DD20B0"/>
    <w:rsid w:val="00DD20BF"/>
    <w:rsid w:val="00DD2AD4"/>
    <w:rsid w:val="00DD3117"/>
    <w:rsid w:val="00DD3B87"/>
    <w:rsid w:val="00DD3D74"/>
    <w:rsid w:val="00DD5193"/>
    <w:rsid w:val="00DD5877"/>
    <w:rsid w:val="00DD6165"/>
    <w:rsid w:val="00DD7262"/>
    <w:rsid w:val="00DD7555"/>
    <w:rsid w:val="00DD7E6E"/>
    <w:rsid w:val="00DD7FC9"/>
    <w:rsid w:val="00DE063F"/>
    <w:rsid w:val="00DE1B35"/>
    <w:rsid w:val="00DE2A67"/>
    <w:rsid w:val="00DE2AEF"/>
    <w:rsid w:val="00DE2B6B"/>
    <w:rsid w:val="00DE4751"/>
    <w:rsid w:val="00DE4D6A"/>
    <w:rsid w:val="00DE5CC8"/>
    <w:rsid w:val="00DE7515"/>
    <w:rsid w:val="00DF0312"/>
    <w:rsid w:val="00DF09DD"/>
    <w:rsid w:val="00DF1639"/>
    <w:rsid w:val="00DF1758"/>
    <w:rsid w:val="00DF4DA3"/>
    <w:rsid w:val="00DF51F4"/>
    <w:rsid w:val="00DF62DE"/>
    <w:rsid w:val="00DF64CE"/>
    <w:rsid w:val="00DF71FF"/>
    <w:rsid w:val="00E01061"/>
    <w:rsid w:val="00E015D7"/>
    <w:rsid w:val="00E01728"/>
    <w:rsid w:val="00E02FB5"/>
    <w:rsid w:val="00E03CC4"/>
    <w:rsid w:val="00E03EFA"/>
    <w:rsid w:val="00E04C73"/>
    <w:rsid w:val="00E04EA9"/>
    <w:rsid w:val="00E05AA9"/>
    <w:rsid w:val="00E06922"/>
    <w:rsid w:val="00E06AC8"/>
    <w:rsid w:val="00E07057"/>
    <w:rsid w:val="00E07081"/>
    <w:rsid w:val="00E07AA6"/>
    <w:rsid w:val="00E1094C"/>
    <w:rsid w:val="00E1374A"/>
    <w:rsid w:val="00E142D6"/>
    <w:rsid w:val="00E14839"/>
    <w:rsid w:val="00E14C0C"/>
    <w:rsid w:val="00E14E35"/>
    <w:rsid w:val="00E154E5"/>
    <w:rsid w:val="00E17D1B"/>
    <w:rsid w:val="00E21466"/>
    <w:rsid w:val="00E222FF"/>
    <w:rsid w:val="00E22615"/>
    <w:rsid w:val="00E2320F"/>
    <w:rsid w:val="00E23E56"/>
    <w:rsid w:val="00E24884"/>
    <w:rsid w:val="00E26C63"/>
    <w:rsid w:val="00E279F3"/>
    <w:rsid w:val="00E27A7D"/>
    <w:rsid w:val="00E27B43"/>
    <w:rsid w:val="00E30008"/>
    <w:rsid w:val="00E30929"/>
    <w:rsid w:val="00E31A18"/>
    <w:rsid w:val="00E326ED"/>
    <w:rsid w:val="00E33338"/>
    <w:rsid w:val="00E35DED"/>
    <w:rsid w:val="00E403B6"/>
    <w:rsid w:val="00E41458"/>
    <w:rsid w:val="00E415E4"/>
    <w:rsid w:val="00E45286"/>
    <w:rsid w:val="00E47140"/>
    <w:rsid w:val="00E47D7A"/>
    <w:rsid w:val="00E47D9D"/>
    <w:rsid w:val="00E50BA3"/>
    <w:rsid w:val="00E51122"/>
    <w:rsid w:val="00E51A2E"/>
    <w:rsid w:val="00E52023"/>
    <w:rsid w:val="00E54D1D"/>
    <w:rsid w:val="00E54EC2"/>
    <w:rsid w:val="00E56BEC"/>
    <w:rsid w:val="00E56D0F"/>
    <w:rsid w:val="00E57427"/>
    <w:rsid w:val="00E57F76"/>
    <w:rsid w:val="00E61772"/>
    <w:rsid w:val="00E62177"/>
    <w:rsid w:val="00E63B5D"/>
    <w:rsid w:val="00E63DBD"/>
    <w:rsid w:val="00E65118"/>
    <w:rsid w:val="00E65AC5"/>
    <w:rsid w:val="00E669CB"/>
    <w:rsid w:val="00E673B5"/>
    <w:rsid w:val="00E67E07"/>
    <w:rsid w:val="00E70373"/>
    <w:rsid w:val="00E70EF5"/>
    <w:rsid w:val="00E724BC"/>
    <w:rsid w:val="00E7392C"/>
    <w:rsid w:val="00E73C4B"/>
    <w:rsid w:val="00E75CD0"/>
    <w:rsid w:val="00E7629B"/>
    <w:rsid w:val="00E7643E"/>
    <w:rsid w:val="00E76AB2"/>
    <w:rsid w:val="00E7708B"/>
    <w:rsid w:val="00E80786"/>
    <w:rsid w:val="00E80880"/>
    <w:rsid w:val="00E81294"/>
    <w:rsid w:val="00E817C0"/>
    <w:rsid w:val="00E824F4"/>
    <w:rsid w:val="00E831B3"/>
    <w:rsid w:val="00E834F9"/>
    <w:rsid w:val="00E87184"/>
    <w:rsid w:val="00E917A8"/>
    <w:rsid w:val="00E91E9C"/>
    <w:rsid w:val="00E9217F"/>
    <w:rsid w:val="00E92572"/>
    <w:rsid w:val="00E92696"/>
    <w:rsid w:val="00E92FA3"/>
    <w:rsid w:val="00E94F23"/>
    <w:rsid w:val="00E9601B"/>
    <w:rsid w:val="00EA014F"/>
    <w:rsid w:val="00EA10F9"/>
    <w:rsid w:val="00EA36A5"/>
    <w:rsid w:val="00EA3FB4"/>
    <w:rsid w:val="00EA48AE"/>
    <w:rsid w:val="00EA5B19"/>
    <w:rsid w:val="00EA60D1"/>
    <w:rsid w:val="00EA6589"/>
    <w:rsid w:val="00EA6D48"/>
    <w:rsid w:val="00EA7ADC"/>
    <w:rsid w:val="00EA7C80"/>
    <w:rsid w:val="00EB0933"/>
    <w:rsid w:val="00EB26A2"/>
    <w:rsid w:val="00EB3098"/>
    <w:rsid w:val="00EB3E41"/>
    <w:rsid w:val="00EB444A"/>
    <w:rsid w:val="00EB4F57"/>
    <w:rsid w:val="00EB593D"/>
    <w:rsid w:val="00EB660E"/>
    <w:rsid w:val="00EB6BE9"/>
    <w:rsid w:val="00EB7A7A"/>
    <w:rsid w:val="00EB7C04"/>
    <w:rsid w:val="00EC1402"/>
    <w:rsid w:val="00EC4950"/>
    <w:rsid w:val="00EC4FE5"/>
    <w:rsid w:val="00EC5591"/>
    <w:rsid w:val="00EC6288"/>
    <w:rsid w:val="00EC6434"/>
    <w:rsid w:val="00EC6966"/>
    <w:rsid w:val="00ED03AE"/>
    <w:rsid w:val="00ED1E6D"/>
    <w:rsid w:val="00ED54B5"/>
    <w:rsid w:val="00ED61C9"/>
    <w:rsid w:val="00ED6910"/>
    <w:rsid w:val="00ED69E4"/>
    <w:rsid w:val="00ED78ED"/>
    <w:rsid w:val="00ED7CDA"/>
    <w:rsid w:val="00EE0F76"/>
    <w:rsid w:val="00EE1005"/>
    <w:rsid w:val="00EE1A61"/>
    <w:rsid w:val="00EE607A"/>
    <w:rsid w:val="00EE62DA"/>
    <w:rsid w:val="00EF035A"/>
    <w:rsid w:val="00EF126A"/>
    <w:rsid w:val="00EF1E79"/>
    <w:rsid w:val="00EF4046"/>
    <w:rsid w:val="00EF4685"/>
    <w:rsid w:val="00EF5596"/>
    <w:rsid w:val="00EF59A0"/>
    <w:rsid w:val="00EF61A8"/>
    <w:rsid w:val="00EF6740"/>
    <w:rsid w:val="00EF75FA"/>
    <w:rsid w:val="00F02EF6"/>
    <w:rsid w:val="00F03C09"/>
    <w:rsid w:val="00F040B8"/>
    <w:rsid w:val="00F04A10"/>
    <w:rsid w:val="00F05FDD"/>
    <w:rsid w:val="00F06039"/>
    <w:rsid w:val="00F061C1"/>
    <w:rsid w:val="00F06AC5"/>
    <w:rsid w:val="00F10DA9"/>
    <w:rsid w:val="00F10DAC"/>
    <w:rsid w:val="00F114E5"/>
    <w:rsid w:val="00F125CC"/>
    <w:rsid w:val="00F13013"/>
    <w:rsid w:val="00F138CE"/>
    <w:rsid w:val="00F1586A"/>
    <w:rsid w:val="00F15924"/>
    <w:rsid w:val="00F15C56"/>
    <w:rsid w:val="00F15E65"/>
    <w:rsid w:val="00F164EA"/>
    <w:rsid w:val="00F16889"/>
    <w:rsid w:val="00F16A03"/>
    <w:rsid w:val="00F16C19"/>
    <w:rsid w:val="00F2007C"/>
    <w:rsid w:val="00F20B9F"/>
    <w:rsid w:val="00F214AF"/>
    <w:rsid w:val="00F22247"/>
    <w:rsid w:val="00F22D91"/>
    <w:rsid w:val="00F22DEF"/>
    <w:rsid w:val="00F23759"/>
    <w:rsid w:val="00F23B38"/>
    <w:rsid w:val="00F2426D"/>
    <w:rsid w:val="00F2429E"/>
    <w:rsid w:val="00F278B4"/>
    <w:rsid w:val="00F30A35"/>
    <w:rsid w:val="00F3198E"/>
    <w:rsid w:val="00F333A4"/>
    <w:rsid w:val="00F36CEF"/>
    <w:rsid w:val="00F3751B"/>
    <w:rsid w:val="00F40300"/>
    <w:rsid w:val="00F4101A"/>
    <w:rsid w:val="00F41B4E"/>
    <w:rsid w:val="00F41DC8"/>
    <w:rsid w:val="00F4224B"/>
    <w:rsid w:val="00F42566"/>
    <w:rsid w:val="00F426A4"/>
    <w:rsid w:val="00F42CAD"/>
    <w:rsid w:val="00F4300B"/>
    <w:rsid w:val="00F43D9D"/>
    <w:rsid w:val="00F44A33"/>
    <w:rsid w:val="00F476CD"/>
    <w:rsid w:val="00F478F7"/>
    <w:rsid w:val="00F47CBD"/>
    <w:rsid w:val="00F52235"/>
    <w:rsid w:val="00F537EC"/>
    <w:rsid w:val="00F53C42"/>
    <w:rsid w:val="00F53D93"/>
    <w:rsid w:val="00F54324"/>
    <w:rsid w:val="00F5579C"/>
    <w:rsid w:val="00F55B45"/>
    <w:rsid w:val="00F5648D"/>
    <w:rsid w:val="00F60467"/>
    <w:rsid w:val="00F60E97"/>
    <w:rsid w:val="00F60FD1"/>
    <w:rsid w:val="00F62E78"/>
    <w:rsid w:val="00F63D4D"/>
    <w:rsid w:val="00F65AB0"/>
    <w:rsid w:val="00F65D7C"/>
    <w:rsid w:val="00F666C9"/>
    <w:rsid w:val="00F67798"/>
    <w:rsid w:val="00F71DEE"/>
    <w:rsid w:val="00F71FE4"/>
    <w:rsid w:val="00F72374"/>
    <w:rsid w:val="00F734EC"/>
    <w:rsid w:val="00F737BC"/>
    <w:rsid w:val="00F73F1C"/>
    <w:rsid w:val="00F7463A"/>
    <w:rsid w:val="00F7497A"/>
    <w:rsid w:val="00F749BF"/>
    <w:rsid w:val="00F74FA5"/>
    <w:rsid w:val="00F75886"/>
    <w:rsid w:val="00F77BDA"/>
    <w:rsid w:val="00F8044F"/>
    <w:rsid w:val="00F80B2B"/>
    <w:rsid w:val="00F80CFE"/>
    <w:rsid w:val="00F82329"/>
    <w:rsid w:val="00F83479"/>
    <w:rsid w:val="00F83AAE"/>
    <w:rsid w:val="00F83AEA"/>
    <w:rsid w:val="00F91603"/>
    <w:rsid w:val="00F92318"/>
    <w:rsid w:val="00F93FC4"/>
    <w:rsid w:val="00F94AB6"/>
    <w:rsid w:val="00F954A1"/>
    <w:rsid w:val="00F97000"/>
    <w:rsid w:val="00F97298"/>
    <w:rsid w:val="00F97677"/>
    <w:rsid w:val="00FA1735"/>
    <w:rsid w:val="00FA21AE"/>
    <w:rsid w:val="00FA4863"/>
    <w:rsid w:val="00FA4F5A"/>
    <w:rsid w:val="00FA59FA"/>
    <w:rsid w:val="00FA6675"/>
    <w:rsid w:val="00FA69FC"/>
    <w:rsid w:val="00FB1895"/>
    <w:rsid w:val="00FB24D0"/>
    <w:rsid w:val="00FB2A48"/>
    <w:rsid w:val="00FB2BE1"/>
    <w:rsid w:val="00FB4010"/>
    <w:rsid w:val="00FB541C"/>
    <w:rsid w:val="00FB57DA"/>
    <w:rsid w:val="00FB5AF6"/>
    <w:rsid w:val="00FB77D8"/>
    <w:rsid w:val="00FC00EF"/>
    <w:rsid w:val="00FC0C3C"/>
    <w:rsid w:val="00FC1F56"/>
    <w:rsid w:val="00FC2101"/>
    <w:rsid w:val="00FC2D60"/>
    <w:rsid w:val="00FC6FB3"/>
    <w:rsid w:val="00FC7D05"/>
    <w:rsid w:val="00FD1891"/>
    <w:rsid w:val="00FD1AA5"/>
    <w:rsid w:val="00FD1EAD"/>
    <w:rsid w:val="00FD2A51"/>
    <w:rsid w:val="00FD2A87"/>
    <w:rsid w:val="00FD3849"/>
    <w:rsid w:val="00FD3BBE"/>
    <w:rsid w:val="00FD43F0"/>
    <w:rsid w:val="00FD4955"/>
    <w:rsid w:val="00FD4CC4"/>
    <w:rsid w:val="00FD515F"/>
    <w:rsid w:val="00FD67F8"/>
    <w:rsid w:val="00FD6A37"/>
    <w:rsid w:val="00FD6AD9"/>
    <w:rsid w:val="00FD6B0F"/>
    <w:rsid w:val="00FD7382"/>
    <w:rsid w:val="00FD769A"/>
    <w:rsid w:val="00FE041D"/>
    <w:rsid w:val="00FE050E"/>
    <w:rsid w:val="00FE119A"/>
    <w:rsid w:val="00FE1BD1"/>
    <w:rsid w:val="00FE3A0E"/>
    <w:rsid w:val="00FF27C0"/>
    <w:rsid w:val="00FF2BFC"/>
    <w:rsid w:val="00FF4434"/>
    <w:rsid w:val="00FF49FC"/>
    <w:rsid w:val="00FF5189"/>
    <w:rsid w:val="00FF6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oNotEmbedSmartTags/>
  <w:decimalSymbol w:val="."/>
  <w:listSeparator w:val=","/>
  <w14:docId w14:val="35C3234F"/>
  <w15:docId w15:val="{9F486687-96F5-804F-85BF-2B93BD665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D0025"/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Text">
    <w:name w:val="Paragraph Text"/>
    <w:basedOn w:val="Normal"/>
    <w:rsid w:val="0055753C"/>
    <w:pPr>
      <w:spacing w:before="120" w:line="320" w:lineRule="exact"/>
      <w:ind w:left="1440" w:right="1440"/>
    </w:pPr>
    <w:rPr>
      <w:rFonts w:ascii="Helvetica" w:hAnsi="Helvetica" w:cs="Helvetica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rsid w:val="005575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55753C"/>
  </w:style>
  <w:style w:type="paragraph" w:styleId="CommentSubject">
    <w:name w:val="annotation subject"/>
    <w:basedOn w:val="CommentText"/>
    <w:next w:val="CommentText"/>
    <w:semiHidden/>
    <w:rsid w:val="0055753C"/>
    <w:rPr>
      <w:b/>
      <w:bCs/>
    </w:rPr>
  </w:style>
  <w:style w:type="paragraph" w:styleId="BalloonText">
    <w:name w:val="Balloon Text"/>
    <w:basedOn w:val="Normal"/>
    <w:semiHidden/>
    <w:rsid w:val="0055753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55753C"/>
    <w:pPr>
      <w:spacing w:before="100" w:beforeAutospacing="1" w:after="100" w:afterAutospacing="1"/>
    </w:pPr>
    <w:rPr>
      <w:rFonts w:ascii="Verdana" w:hAnsi="Verdana" w:cs="Verdana"/>
      <w:sz w:val="17"/>
      <w:szCs w:val="17"/>
    </w:rPr>
  </w:style>
  <w:style w:type="paragraph" w:styleId="Header">
    <w:name w:val="header"/>
    <w:basedOn w:val="Normal"/>
    <w:rsid w:val="0055753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5753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5753C"/>
  </w:style>
  <w:style w:type="character" w:styleId="Hyperlink">
    <w:name w:val="Hyperlink"/>
    <w:basedOn w:val="DefaultParagraphFont"/>
    <w:rsid w:val="0055753C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55753C"/>
    <w:rPr>
      <w:b/>
      <w:bCs/>
    </w:rPr>
  </w:style>
  <w:style w:type="table" w:styleId="TableGrid">
    <w:name w:val="Table Grid"/>
    <w:basedOn w:val="TableNormal"/>
    <w:uiPriority w:val="39"/>
    <w:rsid w:val="005575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">
    <w:name w:val="ti"/>
    <w:basedOn w:val="DefaultParagraphFont"/>
    <w:rsid w:val="0055753C"/>
  </w:style>
  <w:style w:type="paragraph" w:customStyle="1" w:styleId="bodytext">
    <w:name w:val="bodytext"/>
    <w:basedOn w:val="Normal"/>
    <w:rsid w:val="0055753C"/>
    <w:pPr>
      <w:spacing w:before="100" w:beforeAutospacing="1" w:after="100" w:afterAutospacing="1" w:line="240" w:lineRule="atLeast"/>
    </w:pPr>
    <w:rPr>
      <w:rFonts w:ascii="Verdana" w:hAnsi="Verdana" w:cs="Verdana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55753C"/>
    <w:rPr>
      <w:i/>
      <w:iCs/>
    </w:rPr>
  </w:style>
  <w:style w:type="character" w:styleId="FollowedHyperlink">
    <w:name w:val="FollowedHyperlink"/>
    <w:basedOn w:val="DefaultParagraphFont"/>
    <w:rsid w:val="008956E2"/>
    <w:rPr>
      <w:color w:val="800080"/>
      <w:u w:val="single"/>
    </w:rPr>
  </w:style>
  <w:style w:type="paragraph" w:styleId="Revision">
    <w:name w:val="Revision"/>
    <w:hidden/>
    <w:uiPriority w:val="99"/>
    <w:semiHidden/>
    <w:rsid w:val="006F531B"/>
    <w:rPr>
      <w:rFonts w:ascii="Arial" w:hAnsi="Arial" w:cs="Arial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D5877"/>
    <w:rPr>
      <w:rFonts w:ascii="Arial" w:hAnsi="Arial" w:cs="Arial"/>
    </w:rPr>
  </w:style>
  <w:style w:type="paragraph" w:styleId="ListParagraph">
    <w:name w:val="List Paragraph"/>
    <w:basedOn w:val="Normal"/>
    <w:link w:val="ListParagraphChar"/>
    <w:uiPriority w:val="34"/>
    <w:qFormat/>
    <w:rsid w:val="00DD5877"/>
    <w:pPr>
      <w:spacing w:after="120" w:line="276" w:lineRule="auto"/>
      <w:ind w:left="720"/>
    </w:pPr>
    <w:rPr>
      <w:rFonts w:ascii="Times New Roman" w:eastAsia="Calibri" w:hAnsi="Times New Roman" w:cs="Times New Roman"/>
      <w:sz w:val="24"/>
      <w:szCs w:val="22"/>
    </w:rPr>
  </w:style>
  <w:style w:type="character" w:customStyle="1" w:styleId="apple-converted-space">
    <w:name w:val="apple-converted-space"/>
    <w:basedOn w:val="DefaultParagraphFont"/>
    <w:rsid w:val="00B6050B"/>
  </w:style>
  <w:style w:type="paragraph" w:customStyle="1" w:styleId="Default">
    <w:name w:val="Default"/>
    <w:rsid w:val="00953AE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ListParagraphChar">
    <w:name w:val="List Paragraph Char"/>
    <w:link w:val="ListParagraph"/>
    <w:uiPriority w:val="34"/>
    <w:rsid w:val="00C05B5A"/>
    <w:rPr>
      <w:rFonts w:eastAsia="Calibri"/>
      <w:sz w:val="24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093399"/>
    <w:rPr>
      <w:color w:val="605E5C"/>
      <w:shd w:val="clear" w:color="auto" w:fill="E1DFDD"/>
    </w:rPr>
  </w:style>
  <w:style w:type="character" w:customStyle="1" w:styleId="highwire-citation-authors">
    <w:name w:val="highwire-citation-authors"/>
    <w:basedOn w:val="DefaultParagraphFont"/>
    <w:rsid w:val="00260B2E"/>
  </w:style>
  <w:style w:type="character" w:customStyle="1" w:styleId="highwire-citation-author">
    <w:name w:val="highwire-citation-author"/>
    <w:basedOn w:val="DefaultParagraphFont"/>
    <w:rsid w:val="00260B2E"/>
  </w:style>
  <w:style w:type="character" w:customStyle="1" w:styleId="nlm-given-names">
    <w:name w:val="nlm-given-names"/>
    <w:basedOn w:val="DefaultParagraphFont"/>
    <w:rsid w:val="00260B2E"/>
  </w:style>
  <w:style w:type="character" w:customStyle="1" w:styleId="nlm-surname">
    <w:name w:val="nlm-surname"/>
    <w:basedOn w:val="DefaultParagraphFont"/>
    <w:rsid w:val="00260B2E"/>
  </w:style>
  <w:style w:type="character" w:customStyle="1" w:styleId="highwire-cite-metadata-journal">
    <w:name w:val="highwire-cite-metadata-journal"/>
    <w:basedOn w:val="DefaultParagraphFont"/>
    <w:rsid w:val="00260B2E"/>
  </w:style>
  <w:style w:type="character" w:customStyle="1" w:styleId="highwire-cite-metadata-date">
    <w:name w:val="highwire-cite-metadata-date"/>
    <w:basedOn w:val="DefaultParagraphFont"/>
    <w:rsid w:val="00260B2E"/>
  </w:style>
  <w:style w:type="character" w:customStyle="1" w:styleId="highwire-cite-metadata-volume">
    <w:name w:val="highwire-cite-metadata-volume"/>
    <w:basedOn w:val="DefaultParagraphFont"/>
    <w:rsid w:val="00260B2E"/>
  </w:style>
  <w:style w:type="character" w:customStyle="1" w:styleId="highwire-cite-metadata-issue">
    <w:name w:val="highwire-cite-metadata-issue"/>
    <w:basedOn w:val="DefaultParagraphFont"/>
    <w:rsid w:val="00260B2E"/>
  </w:style>
  <w:style w:type="character" w:customStyle="1" w:styleId="highwire-cite-metadata-pages">
    <w:name w:val="highwire-cite-metadata-pages"/>
    <w:basedOn w:val="DefaultParagraphFont"/>
    <w:rsid w:val="00260B2E"/>
  </w:style>
  <w:style w:type="table" w:styleId="ListTable6Colorful">
    <w:name w:val="List Table 6 Colorful"/>
    <w:basedOn w:val="TableNormal"/>
    <w:uiPriority w:val="51"/>
    <w:rsid w:val="00A61FD1"/>
    <w:rPr>
      <w:rFonts w:asciiTheme="minorHAnsi" w:eastAsiaTheme="minorHAnsi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meta-citation-journal-name">
    <w:name w:val="meta-citation-journal-name"/>
    <w:basedOn w:val="DefaultParagraphFont"/>
    <w:rsid w:val="00613E84"/>
  </w:style>
  <w:style w:type="character" w:customStyle="1" w:styleId="meta-citation">
    <w:name w:val="meta-citation"/>
    <w:basedOn w:val="DefaultParagraphFont"/>
    <w:rsid w:val="00613E84"/>
  </w:style>
  <w:style w:type="character" w:styleId="PlaceholderText">
    <w:name w:val="Placeholder Text"/>
    <w:basedOn w:val="DefaultParagraphFont"/>
    <w:uiPriority w:val="99"/>
    <w:semiHidden/>
    <w:rsid w:val="00AF4059"/>
    <w:rPr>
      <w:color w:val="808080"/>
    </w:rPr>
  </w:style>
  <w:style w:type="table" w:styleId="GridTable1Light">
    <w:name w:val="Grid Table 1 Light"/>
    <w:basedOn w:val="TableNormal"/>
    <w:rsid w:val="00742E4E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2">
    <w:name w:val="Plain Table 2"/>
    <w:basedOn w:val="TableNormal"/>
    <w:rsid w:val="00296C3B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LineNumber">
    <w:name w:val="line number"/>
    <w:basedOn w:val="DefaultParagraphFont"/>
    <w:semiHidden/>
    <w:unhideWhenUsed/>
    <w:rsid w:val="009F02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5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8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5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7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0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57433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98172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9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56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7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5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0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9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7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66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04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87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07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4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94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38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35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8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4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customXml" Target="../customXml/item4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openxmlformats.org/officeDocument/2006/relationships/image" Target="media/image1.png"/><Relationship Id="rId19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89D60CD2ED204EAFDAF0E3751CDEB7" ma:contentTypeVersion="14" ma:contentTypeDescription="Create a new document." ma:contentTypeScope="" ma:versionID="f9820ac645a07b2c5ae5516f8d2dc5e9">
  <xsd:schema xmlns:xsd="http://www.w3.org/2001/XMLSchema" xmlns:xs="http://www.w3.org/2001/XMLSchema" xmlns:p="http://schemas.microsoft.com/office/2006/metadata/properties" xmlns:ns2="8636c50b-363d-4a7d-adb0-cfd422105622" xmlns:ns3="86f7edec-793f-422f-bf86-565db80f0f0d" targetNamespace="http://schemas.microsoft.com/office/2006/metadata/properties" ma:root="true" ma:fieldsID="d162a9c7cbfac8f916a0ec05efa8f8e9" ns2:_="" ns3:_="">
    <xsd:import namespace="8636c50b-363d-4a7d-adb0-cfd422105622"/>
    <xsd:import namespace="86f7edec-793f-422f-bf86-565db80f0f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36c50b-363d-4a7d-adb0-cfd4221056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f7edec-793f-422f-bf86-565db80f0f0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B0F9003-BD51-4F2D-9345-8C91B917D6F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3B99AFC-3671-4E66-A5E6-22D276A65343}"/>
</file>

<file path=customXml/itemProps3.xml><?xml version="1.0" encoding="utf-8"?>
<ds:datastoreItem xmlns:ds="http://schemas.openxmlformats.org/officeDocument/2006/customXml" ds:itemID="{A1AB644E-2B44-4F1A-BC2D-793D9E70757C}"/>
</file>

<file path=customXml/itemProps4.xml><?xml version="1.0" encoding="utf-8"?>
<ds:datastoreItem xmlns:ds="http://schemas.openxmlformats.org/officeDocument/2006/customXml" ds:itemID="{FE8180D6-822B-44F4-B892-E3FB46465A2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2282</Words>
  <Characters>13010</Characters>
  <Application>Microsoft Office Word</Application>
  <DocSecurity>0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Abstract</vt:lpstr>
    </vt:vector>
  </TitlesOfParts>
  <Company>AstraZeneca</Company>
  <LinksUpToDate>false</LinksUpToDate>
  <CharactersWithSpaces>15262</CharactersWithSpaces>
  <SharedDoc>false</SharedDoc>
  <HLinks>
    <vt:vector size="48" baseType="variant">
      <vt:variant>
        <vt:i4>3801163</vt:i4>
      </vt:variant>
      <vt:variant>
        <vt:i4>21</vt:i4>
      </vt:variant>
      <vt:variant>
        <vt:i4>0</vt:i4>
      </vt:variant>
      <vt:variant>
        <vt:i4>5</vt:i4>
      </vt:variant>
      <vt:variant>
        <vt:lpwstr>mailto:s-flamm@norhtwestern.edu</vt:lpwstr>
      </vt:variant>
      <vt:variant>
        <vt:lpwstr/>
      </vt:variant>
      <vt:variant>
        <vt:i4>1245244</vt:i4>
      </vt:variant>
      <vt:variant>
        <vt:i4>18</vt:i4>
      </vt:variant>
      <vt:variant>
        <vt:i4>0</vt:i4>
      </vt:variant>
      <vt:variant>
        <vt:i4>5</vt:i4>
      </vt:variant>
      <vt:variant>
        <vt:lpwstr>mailto:nreaux@yahoo.com</vt:lpwstr>
      </vt:variant>
      <vt:variant>
        <vt:lpwstr/>
      </vt:variant>
      <vt:variant>
        <vt:i4>7929923</vt:i4>
      </vt:variant>
      <vt:variant>
        <vt:i4>15</vt:i4>
      </vt:variant>
      <vt:variant>
        <vt:i4>0</vt:i4>
      </vt:variant>
      <vt:variant>
        <vt:i4>5</vt:i4>
      </vt:variant>
      <vt:variant>
        <vt:lpwstr>mailto:stefan.mauss@center-duesseldorf.de</vt:lpwstr>
      </vt:variant>
      <vt:variant>
        <vt:lpwstr/>
      </vt:variant>
      <vt:variant>
        <vt:i4>7536645</vt:i4>
      </vt:variant>
      <vt:variant>
        <vt:i4>12</vt:i4>
      </vt:variant>
      <vt:variant>
        <vt:i4>0</vt:i4>
      </vt:variant>
      <vt:variant>
        <vt:i4>5</vt:i4>
      </vt:variant>
      <vt:variant>
        <vt:lpwstr>mailto:sdross720@gmail.com</vt:lpwstr>
      </vt:variant>
      <vt:variant>
        <vt:lpwstr/>
      </vt:variant>
      <vt:variant>
        <vt:i4>5439530</vt:i4>
      </vt:variant>
      <vt:variant>
        <vt:i4>9</vt:i4>
      </vt:variant>
      <vt:variant>
        <vt:i4>0</vt:i4>
      </vt:variant>
      <vt:variant>
        <vt:i4>5</vt:i4>
      </vt:variant>
      <vt:variant>
        <vt:lpwstr>mailto:kyle.fahrbach@unitedbiosource.com</vt:lpwstr>
      </vt:variant>
      <vt:variant>
        <vt:lpwstr/>
      </vt:variant>
      <vt:variant>
        <vt:i4>1835046</vt:i4>
      </vt:variant>
      <vt:variant>
        <vt:i4>6</vt:i4>
      </vt:variant>
      <vt:variant>
        <vt:i4>0</vt:i4>
      </vt:variant>
      <vt:variant>
        <vt:i4>5</vt:i4>
      </vt:variant>
      <vt:variant>
        <vt:lpwstr>mailto:dianaframe@gmail.com</vt:lpwstr>
      </vt:variant>
      <vt:variant>
        <vt:lpwstr/>
      </vt:variant>
      <vt:variant>
        <vt:i4>2424837</vt:i4>
      </vt:variant>
      <vt:variant>
        <vt:i4>3</vt:i4>
      </vt:variant>
      <vt:variant>
        <vt:i4>0</vt:i4>
      </vt:variant>
      <vt:variant>
        <vt:i4>5</vt:i4>
      </vt:variant>
      <vt:variant>
        <vt:lpwstr>mailto:rpmyers@ucalgary.ca</vt:lpwstr>
      </vt:variant>
      <vt:variant>
        <vt:lpwstr/>
      </vt:variant>
      <vt:variant>
        <vt:i4>8060948</vt:i4>
      </vt:variant>
      <vt:variant>
        <vt:i4>0</vt:i4>
      </vt:variant>
      <vt:variant>
        <vt:i4>0</vt:i4>
      </vt:variant>
      <vt:variant>
        <vt:i4>5</vt:i4>
      </vt:variant>
      <vt:variant>
        <vt:lpwstr>mailto:Fred.Poordad@cshs.org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Abstract</dc:title>
  <dc:subject/>
  <dc:creator>Diana Frame</dc:creator>
  <cp:keywords/>
  <dc:description/>
  <cp:lastModifiedBy>Watson, Georgia</cp:lastModifiedBy>
  <cp:revision>2</cp:revision>
  <cp:lastPrinted>2021-06-02T16:02:00Z</cp:lastPrinted>
  <dcterms:created xsi:type="dcterms:W3CDTF">2021-08-06T02:06:00Z</dcterms:created>
  <dcterms:modified xsi:type="dcterms:W3CDTF">2021-08-06T02:06:00Z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0x010100B689D60CD2ED204EAFDAF0E3751CDEB7</vt:lpwstr>
  </property>
</Properties>
</file>