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91194" w14:textId="77777777" w:rsidR="00820A80" w:rsidRDefault="00A92A5B">
      <w:r w:rsidRPr="00A92A5B">
        <w:rPr>
          <w:noProof/>
        </w:rPr>
        <w:drawing>
          <wp:inline distT="0" distB="0" distL="0" distR="0" wp14:anchorId="5A807667" wp14:editId="0D4B332D">
            <wp:extent cx="5396230" cy="8246745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3A4D" w14:textId="77777777" w:rsidR="00A92A5B" w:rsidRPr="002B35A8" w:rsidRDefault="00A92A5B" w:rsidP="00A92A5B">
      <w:pPr>
        <w:spacing w:line="48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B35A8">
        <w:rPr>
          <w:rFonts w:ascii="Times New Roman" w:hAnsi="Times New Roman"/>
          <w:b/>
          <w:color w:val="000000"/>
          <w:sz w:val="28"/>
          <w:szCs w:val="28"/>
        </w:rPr>
        <w:lastRenderedPageBreak/>
        <w:t>Supporting information</w:t>
      </w:r>
    </w:p>
    <w:p w14:paraId="2D3D663A" w14:textId="77777777" w:rsidR="00A92A5B" w:rsidRPr="002B35A8" w:rsidRDefault="00A92A5B" w:rsidP="00A92A5B">
      <w:pPr>
        <w:spacing w:line="480" w:lineRule="auto"/>
        <w:rPr>
          <w:rFonts w:ascii="Times New Roman" w:hAnsi="Times New Roman"/>
          <w:b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t xml:space="preserve">Figure S1 Pulmonary functions of emphysema mice treated with </w:t>
      </w:r>
      <w:proofErr w:type="spellStart"/>
      <w:r w:rsidRPr="002B35A8">
        <w:rPr>
          <w:rFonts w:ascii="Times New Roman" w:hAnsi="Times New Roman"/>
          <w:b/>
          <w:color w:val="000000"/>
          <w:sz w:val="24"/>
        </w:rPr>
        <w:t>hADSCs</w:t>
      </w:r>
      <w:proofErr w:type="spellEnd"/>
      <w:r w:rsidRPr="002B35A8">
        <w:rPr>
          <w:rFonts w:ascii="Times New Roman" w:hAnsi="Times New Roman"/>
          <w:b/>
          <w:color w:val="000000"/>
          <w:sz w:val="24"/>
        </w:rPr>
        <w:t>.</w:t>
      </w:r>
    </w:p>
    <w:p w14:paraId="27879923" w14:textId="77777777" w:rsidR="00A92A5B" w:rsidRPr="002B35A8" w:rsidRDefault="00A92A5B" w:rsidP="00A92A5B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t>Notes:</w:t>
      </w:r>
      <w:r w:rsidRPr="002B35A8">
        <w:rPr>
          <w:rFonts w:ascii="Times New Roman" w:hAnsi="Times New Roman"/>
          <w:color w:val="000000"/>
          <w:sz w:val="24"/>
        </w:rPr>
        <w:t xml:space="preserve"> FVC (</w:t>
      </w:r>
      <w:r w:rsidRPr="002B35A8">
        <w:rPr>
          <w:rFonts w:ascii="Times New Roman" w:hAnsi="Times New Roman"/>
          <w:b/>
          <w:color w:val="000000"/>
          <w:sz w:val="24"/>
        </w:rPr>
        <w:t>A</w:t>
      </w:r>
      <w:r w:rsidRPr="002B35A8">
        <w:rPr>
          <w:rFonts w:ascii="Times New Roman" w:hAnsi="Times New Roman"/>
          <w:color w:val="000000"/>
          <w:sz w:val="24"/>
        </w:rPr>
        <w:t>), FEV</w:t>
      </w:r>
      <w:r w:rsidRPr="002B35A8">
        <w:rPr>
          <w:rFonts w:ascii="Times New Roman" w:hAnsi="Times New Roman"/>
          <w:color w:val="000000"/>
          <w:sz w:val="24"/>
          <w:vertAlign w:val="subscript"/>
        </w:rPr>
        <w:t>0.1</w:t>
      </w:r>
      <w:r w:rsidRPr="002B35A8">
        <w:rPr>
          <w:rFonts w:ascii="Times New Roman" w:hAnsi="Times New Roman"/>
          <w:color w:val="000000"/>
          <w:sz w:val="24"/>
        </w:rPr>
        <w:t>/FVC (</w:t>
      </w:r>
      <w:r w:rsidRPr="002B35A8">
        <w:rPr>
          <w:rFonts w:ascii="Times New Roman" w:hAnsi="Times New Roman"/>
          <w:b/>
          <w:color w:val="000000"/>
          <w:sz w:val="24"/>
        </w:rPr>
        <w:t>B</w:t>
      </w:r>
      <w:r w:rsidRPr="002B35A8">
        <w:rPr>
          <w:rFonts w:ascii="Times New Roman" w:hAnsi="Times New Roman"/>
          <w:color w:val="000000"/>
          <w:sz w:val="24"/>
        </w:rPr>
        <w:t xml:space="preserve">), </w:t>
      </w:r>
      <w:proofErr w:type="spellStart"/>
      <w:r w:rsidRPr="002B35A8">
        <w:rPr>
          <w:rFonts w:ascii="Times New Roman" w:hAnsi="Times New Roman"/>
          <w:color w:val="000000"/>
          <w:sz w:val="24"/>
        </w:rPr>
        <w:t>Cst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(</w:t>
      </w:r>
      <w:r w:rsidRPr="002B35A8">
        <w:rPr>
          <w:rFonts w:ascii="Times New Roman" w:hAnsi="Times New Roman"/>
          <w:b/>
          <w:color w:val="000000"/>
          <w:sz w:val="24"/>
        </w:rPr>
        <w:t>C</w:t>
      </w:r>
      <w:r w:rsidRPr="002B35A8">
        <w:rPr>
          <w:rFonts w:ascii="Times New Roman" w:hAnsi="Times New Roman"/>
          <w:color w:val="000000"/>
          <w:sz w:val="24"/>
        </w:rPr>
        <w:t>), FEF</w:t>
      </w:r>
      <w:r w:rsidRPr="002B35A8">
        <w:rPr>
          <w:rFonts w:ascii="Times New Roman" w:hAnsi="Times New Roman"/>
          <w:color w:val="000000"/>
          <w:sz w:val="24"/>
          <w:vertAlign w:val="subscript"/>
        </w:rPr>
        <w:t>0.1</w:t>
      </w:r>
      <w:r w:rsidRPr="002B35A8">
        <w:rPr>
          <w:rFonts w:ascii="Times New Roman" w:hAnsi="Times New Roman"/>
          <w:color w:val="000000"/>
          <w:sz w:val="24"/>
        </w:rPr>
        <w:t xml:space="preserve"> (</w:t>
      </w:r>
      <w:r w:rsidRPr="002B35A8">
        <w:rPr>
          <w:rFonts w:ascii="Times New Roman" w:hAnsi="Times New Roman"/>
          <w:b/>
          <w:color w:val="000000"/>
          <w:sz w:val="24"/>
        </w:rPr>
        <w:t>D</w:t>
      </w:r>
      <w:r w:rsidRPr="002B35A8">
        <w:rPr>
          <w:rFonts w:ascii="Times New Roman" w:hAnsi="Times New Roman"/>
          <w:color w:val="000000"/>
          <w:sz w:val="24"/>
        </w:rPr>
        <w:t>), PEF (</w:t>
      </w:r>
      <w:r w:rsidRPr="002B35A8">
        <w:rPr>
          <w:rFonts w:ascii="Times New Roman" w:hAnsi="Times New Roman"/>
          <w:b/>
          <w:color w:val="000000"/>
          <w:sz w:val="24"/>
        </w:rPr>
        <w:t>E</w:t>
      </w:r>
      <w:r w:rsidRPr="002B35A8">
        <w:rPr>
          <w:rFonts w:ascii="Times New Roman" w:hAnsi="Times New Roman"/>
          <w:color w:val="000000"/>
          <w:sz w:val="24"/>
        </w:rPr>
        <w:t>), Rn (</w:t>
      </w:r>
      <w:r w:rsidRPr="002B35A8">
        <w:rPr>
          <w:rFonts w:ascii="Times New Roman" w:hAnsi="Times New Roman"/>
          <w:b/>
          <w:color w:val="000000"/>
          <w:sz w:val="24"/>
        </w:rPr>
        <w:t>F</w:t>
      </w:r>
      <w:r w:rsidRPr="002B35A8">
        <w:rPr>
          <w:rFonts w:ascii="Times New Roman" w:hAnsi="Times New Roman"/>
          <w:color w:val="000000"/>
          <w:sz w:val="24"/>
        </w:rPr>
        <w:t>), G (</w:t>
      </w:r>
      <w:r w:rsidRPr="002B35A8">
        <w:rPr>
          <w:rFonts w:ascii="Times New Roman" w:hAnsi="Times New Roman"/>
          <w:b/>
          <w:color w:val="000000"/>
          <w:sz w:val="24"/>
        </w:rPr>
        <w:t>G</w:t>
      </w:r>
      <w:r w:rsidRPr="002B35A8">
        <w:rPr>
          <w:rFonts w:ascii="Times New Roman" w:hAnsi="Times New Roman"/>
          <w:color w:val="000000"/>
          <w:sz w:val="24"/>
        </w:rPr>
        <w:t>), H (</w:t>
      </w:r>
      <w:r w:rsidRPr="002B35A8">
        <w:rPr>
          <w:rFonts w:ascii="Times New Roman" w:hAnsi="Times New Roman"/>
          <w:b/>
          <w:color w:val="000000"/>
          <w:sz w:val="24"/>
        </w:rPr>
        <w:t>H</w:t>
      </w:r>
      <w:r w:rsidRPr="002B35A8">
        <w:rPr>
          <w:rFonts w:ascii="Times New Roman" w:hAnsi="Times New Roman"/>
          <w:color w:val="000000"/>
          <w:sz w:val="24"/>
        </w:rPr>
        <w:t>), IC (</w:t>
      </w:r>
      <w:r w:rsidRPr="002B35A8">
        <w:rPr>
          <w:rFonts w:ascii="Times New Roman" w:hAnsi="Times New Roman"/>
          <w:b/>
          <w:color w:val="000000"/>
          <w:sz w:val="24"/>
        </w:rPr>
        <w:t>I</w:t>
      </w:r>
      <w:r w:rsidRPr="002B35A8">
        <w:rPr>
          <w:rFonts w:ascii="Times New Roman" w:hAnsi="Times New Roman"/>
          <w:color w:val="000000"/>
          <w:sz w:val="24"/>
        </w:rPr>
        <w:t xml:space="preserve">), and </w:t>
      </w:r>
      <w:proofErr w:type="spellStart"/>
      <w:r w:rsidRPr="002B35A8">
        <w:rPr>
          <w:rFonts w:ascii="Times New Roman" w:hAnsi="Times New Roman"/>
          <w:color w:val="000000"/>
          <w:sz w:val="24"/>
        </w:rPr>
        <w:t>Rrs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(</w:t>
      </w:r>
      <w:r w:rsidRPr="002B35A8">
        <w:rPr>
          <w:rFonts w:ascii="Times New Roman" w:hAnsi="Times New Roman"/>
          <w:b/>
          <w:color w:val="000000"/>
          <w:sz w:val="24"/>
        </w:rPr>
        <w:t>J</w:t>
      </w:r>
      <w:r w:rsidRPr="002B35A8">
        <w:rPr>
          <w:rFonts w:ascii="Times New Roman" w:hAnsi="Times New Roman"/>
          <w:color w:val="000000"/>
          <w:sz w:val="24"/>
        </w:rPr>
        <w:t>) were</w:t>
      </w:r>
      <w:r w:rsidRPr="002B35A8">
        <w:rPr>
          <w:rFonts w:ascii="Times New Roman" w:hAnsi="Times New Roman" w:hint="eastAsia"/>
          <w:color w:val="000000"/>
          <w:sz w:val="24"/>
        </w:rPr>
        <w:t xml:space="preserve"> </w:t>
      </w:r>
      <w:r w:rsidRPr="002B35A8">
        <w:rPr>
          <w:rFonts w:ascii="Times New Roman" w:hAnsi="Times New Roman"/>
          <w:color w:val="000000"/>
          <w:sz w:val="24"/>
        </w:rPr>
        <w:t xml:space="preserve">measured using the </w:t>
      </w:r>
      <w:proofErr w:type="spellStart"/>
      <w:r w:rsidRPr="002B35A8">
        <w:rPr>
          <w:rFonts w:ascii="Times New Roman" w:hAnsi="Times New Roman"/>
          <w:color w:val="000000"/>
          <w:sz w:val="24"/>
        </w:rPr>
        <w:t>flexiVent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® ventilation system. Control group (n=5), </w:t>
      </w:r>
      <w:proofErr w:type="spellStart"/>
      <w:r w:rsidRPr="002B35A8">
        <w:rPr>
          <w:rFonts w:ascii="Times New Roman" w:hAnsi="Times New Roman"/>
          <w:color w:val="000000"/>
          <w:sz w:val="24"/>
        </w:rPr>
        <w:t>hADSC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group (n=3), Elastase group (n=7), and Elastase-</w:t>
      </w:r>
      <w:proofErr w:type="spellStart"/>
      <w:r w:rsidRPr="002B35A8">
        <w:rPr>
          <w:rFonts w:ascii="Times New Roman" w:hAnsi="Times New Roman"/>
          <w:color w:val="000000"/>
          <w:sz w:val="24"/>
        </w:rPr>
        <w:t>hADSC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group (n=10). Values are means ± SEM. *P &lt; 0.05, **P &lt; 0.01.</w:t>
      </w:r>
    </w:p>
    <w:p w14:paraId="180A93EE" w14:textId="00FC4A1F" w:rsidR="00A92A5B" w:rsidRPr="002B35A8" w:rsidRDefault="00A92A5B" w:rsidP="00A92A5B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t xml:space="preserve">Abbreviations: </w:t>
      </w:r>
      <w:proofErr w:type="spellStart"/>
      <w:r w:rsidRPr="002B35A8">
        <w:rPr>
          <w:rFonts w:ascii="Times New Roman" w:eastAsia="Osaka Regular-Mono" w:hAnsi="Times New Roman"/>
          <w:color w:val="000000"/>
          <w:sz w:val="24"/>
        </w:rPr>
        <w:t>Cst</w:t>
      </w:r>
      <w:proofErr w:type="spellEnd"/>
      <w:r w:rsidRPr="002B35A8">
        <w:rPr>
          <w:rFonts w:ascii="Times New Roman" w:eastAsia="Osaka Regular-Mono" w:hAnsi="Times New Roman"/>
          <w:color w:val="000000"/>
          <w:sz w:val="24"/>
        </w:rPr>
        <w:t>, static compliance; FEF</w:t>
      </w:r>
      <w:r w:rsidRPr="002B35A8">
        <w:rPr>
          <w:rFonts w:ascii="Times New Roman" w:eastAsia="Osaka Regular-Mono" w:hAnsi="Times New Roman"/>
          <w:color w:val="000000"/>
          <w:sz w:val="24"/>
          <w:vertAlign w:val="subscript"/>
        </w:rPr>
        <w:t>0.1</w:t>
      </w:r>
      <w:r w:rsidRPr="002B35A8">
        <w:rPr>
          <w:rFonts w:ascii="Times New Roman" w:eastAsia="Osaka Regular-Mono" w:hAnsi="Times New Roman"/>
          <w:color w:val="000000"/>
          <w:sz w:val="24"/>
        </w:rPr>
        <w:t>, forced expiratory flow at 0.1 s; FEV</w:t>
      </w:r>
      <w:r w:rsidRPr="002B35A8">
        <w:rPr>
          <w:rFonts w:ascii="Times New Roman" w:eastAsia="Osaka Regular-Mono" w:hAnsi="Times New Roman"/>
          <w:color w:val="000000"/>
          <w:sz w:val="24"/>
          <w:vertAlign w:val="subscript"/>
        </w:rPr>
        <w:t>0.1</w:t>
      </w:r>
      <w:r w:rsidRPr="002B35A8">
        <w:rPr>
          <w:rFonts w:ascii="Times New Roman" w:eastAsia="Osaka Regular-Mono" w:hAnsi="Times New Roman"/>
          <w:color w:val="000000"/>
          <w:sz w:val="24"/>
        </w:rPr>
        <w:t>, forced expiratory volume at 0.1 s; FEV</w:t>
      </w:r>
      <w:r w:rsidRPr="002B35A8">
        <w:rPr>
          <w:rFonts w:ascii="Times New Roman" w:eastAsia="Osaka Regular-Mono" w:hAnsi="Times New Roman"/>
          <w:color w:val="000000"/>
          <w:sz w:val="24"/>
          <w:vertAlign w:val="subscript"/>
        </w:rPr>
        <w:t>1</w:t>
      </w:r>
      <w:r w:rsidRPr="002B35A8">
        <w:rPr>
          <w:rFonts w:ascii="Times New Roman" w:eastAsia="Osaka Regular-Mono" w:hAnsi="Times New Roman"/>
          <w:color w:val="000000"/>
          <w:sz w:val="24"/>
        </w:rPr>
        <w:t xml:space="preserve">, forced expiratory volume in one second; FVC, forced vital capacity; G, tissue damping; H, tissue elastance; IC, </w:t>
      </w:r>
      <w:r w:rsidRPr="002B35A8">
        <w:rPr>
          <w:rFonts w:ascii="Times New Roman" w:hAnsi="Times New Roman"/>
          <w:color w:val="000000"/>
          <w:sz w:val="24"/>
        </w:rPr>
        <w:t>inspiratory capacity;</w:t>
      </w:r>
      <w:r w:rsidRPr="002B35A8">
        <w:rPr>
          <w:rFonts w:ascii="Times New Roman" w:eastAsia="Osaka Regular-Mono" w:hAnsi="Times New Roman"/>
          <w:color w:val="000000"/>
          <w:sz w:val="24"/>
        </w:rPr>
        <w:t xml:space="preserve"> PEF, peak expiratory flow; Rn, </w:t>
      </w:r>
      <w:proofErr w:type="spellStart"/>
      <w:r w:rsidRPr="002B35A8">
        <w:rPr>
          <w:rFonts w:ascii="Times New Roman" w:eastAsia="Osaka Regular-Mono" w:hAnsi="Times New Roman"/>
          <w:color w:val="000000"/>
          <w:sz w:val="24"/>
        </w:rPr>
        <w:t>newtonian</w:t>
      </w:r>
      <w:proofErr w:type="spellEnd"/>
      <w:r w:rsidRPr="002B35A8">
        <w:rPr>
          <w:rFonts w:ascii="Times New Roman" w:eastAsia="Osaka Regular-Mono" w:hAnsi="Times New Roman"/>
          <w:color w:val="000000"/>
          <w:sz w:val="24"/>
        </w:rPr>
        <w:t xml:space="preserve"> resistance; </w:t>
      </w:r>
      <w:proofErr w:type="spellStart"/>
      <w:r w:rsidRPr="002B35A8">
        <w:rPr>
          <w:rFonts w:ascii="Times New Roman" w:eastAsia="Osaka Regular-Mono" w:hAnsi="Times New Roman"/>
          <w:color w:val="000000"/>
          <w:sz w:val="24"/>
        </w:rPr>
        <w:t>Rrs</w:t>
      </w:r>
      <w:proofErr w:type="spellEnd"/>
      <w:r w:rsidRPr="002B35A8">
        <w:rPr>
          <w:rFonts w:ascii="Times New Roman" w:eastAsia="Osaka Regular-Mono" w:hAnsi="Times New Roman"/>
          <w:color w:val="000000"/>
          <w:sz w:val="24"/>
        </w:rPr>
        <w:t>,</w:t>
      </w:r>
      <w:r w:rsidRPr="002B35A8">
        <w:rPr>
          <w:rFonts w:ascii="Times New Roman" w:hAnsi="Times New Roman"/>
          <w:color w:val="000000"/>
          <w:sz w:val="24"/>
        </w:rPr>
        <w:t xml:space="preserve"> respiratory system resistance.</w:t>
      </w:r>
    </w:p>
    <w:p w14:paraId="68D9DE7C" w14:textId="77777777" w:rsidR="00A92A5B" w:rsidRDefault="00A92A5B">
      <w:pPr>
        <w:widowControl/>
        <w:jc w:val="left"/>
      </w:pPr>
      <w:r>
        <w:br w:type="page"/>
      </w:r>
    </w:p>
    <w:p w14:paraId="093930C3" w14:textId="77777777" w:rsidR="00A92A5B" w:rsidRDefault="00A92A5B">
      <w:r w:rsidRPr="00A92A5B">
        <w:rPr>
          <w:noProof/>
        </w:rPr>
        <w:lastRenderedPageBreak/>
        <w:drawing>
          <wp:inline distT="0" distB="0" distL="0" distR="0" wp14:anchorId="18F6EC17" wp14:editId="53CBDE4F">
            <wp:extent cx="5396230" cy="6282690"/>
            <wp:effectExtent l="0" t="0" r="127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6A06" w14:textId="77777777" w:rsidR="00A92A5B" w:rsidRDefault="00A92A5B">
      <w:pPr>
        <w:widowControl/>
        <w:jc w:val="left"/>
      </w:pPr>
      <w:r>
        <w:br w:type="page"/>
      </w:r>
    </w:p>
    <w:p w14:paraId="7AC0696D" w14:textId="77777777" w:rsidR="00A92A5B" w:rsidRDefault="00A92A5B">
      <w:r w:rsidRPr="00A92A5B">
        <w:rPr>
          <w:noProof/>
        </w:rPr>
        <w:lastRenderedPageBreak/>
        <w:drawing>
          <wp:inline distT="0" distB="0" distL="0" distR="0" wp14:anchorId="4F1C6021" wp14:editId="0EA0AD41">
            <wp:extent cx="5396230" cy="6142990"/>
            <wp:effectExtent l="0" t="0" r="127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878A" w14:textId="77777777" w:rsidR="00A92A5B" w:rsidRDefault="00A92A5B">
      <w:pPr>
        <w:widowControl/>
        <w:jc w:val="left"/>
      </w:pPr>
      <w:r>
        <w:br w:type="page"/>
      </w:r>
    </w:p>
    <w:p w14:paraId="16F1863D" w14:textId="77777777" w:rsidR="00A92A5B" w:rsidRPr="002B35A8" w:rsidRDefault="00A92A5B" w:rsidP="00A92A5B">
      <w:pPr>
        <w:spacing w:line="480" w:lineRule="auto"/>
        <w:rPr>
          <w:rFonts w:ascii="Times New Roman" w:hAnsi="Times New Roman"/>
          <w:b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lastRenderedPageBreak/>
        <w:t>Figure S2 &amp; S3 Fluorescence staining of epithelial markers in the lungs.</w:t>
      </w:r>
    </w:p>
    <w:p w14:paraId="4AB7821D" w14:textId="77777777" w:rsidR="00A92A5B" w:rsidRPr="002B35A8" w:rsidRDefault="00A92A5B" w:rsidP="00A92A5B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t>Notes:</w:t>
      </w:r>
      <w:r w:rsidRPr="002B35A8">
        <w:rPr>
          <w:rFonts w:ascii="Times New Roman" w:hAnsi="Times New Roman"/>
          <w:color w:val="000000"/>
          <w:sz w:val="24"/>
        </w:rPr>
        <w:t xml:space="preserve"> Lung sections from SCID-beige mice administered intravenously with PKH26-labeled </w:t>
      </w:r>
      <w:proofErr w:type="spellStart"/>
      <w:r w:rsidRPr="002B35A8">
        <w:rPr>
          <w:rFonts w:ascii="Times New Roman" w:hAnsi="Times New Roman"/>
          <w:color w:val="000000"/>
          <w:sz w:val="24"/>
        </w:rPr>
        <w:t>hADSCs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were observed under a confocal laser microscope. Expression of epithelial cell markers TTF-1, Pro SP-C, β-Catenin, and CDH1 was visualized by Alexa Fluor 488 (green) in PKH26-labeled </w:t>
      </w:r>
      <w:proofErr w:type="spellStart"/>
      <w:r w:rsidRPr="002B35A8">
        <w:rPr>
          <w:rFonts w:ascii="Times New Roman" w:hAnsi="Times New Roman"/>
          <w:color w:val="000000"/>
          <w:sz w:val="24"/>
        </w:rPr>
        <w:t>hADSCs</w:t>
      </w:r>
      <w:proofErr w:type="spellEnd"/>
      <w:r w:rsidRPr="002B35A8">
        <w:rPr>
          <w:rFonts w:ascii="Times New Roman" w:hAnsi="Times New Roman"/>
          <w:color w:val="000000"/>
          <w:sz w:val="24"/>
        </w:rPr>
        <w:t xml:space="preserve"> (red) (×400). Arrow shows Alexa Flour 488 and PKH-26 merged cells. Scale bar shows 50 </w:t>
      </w:r>
      <w:r w:rsidRPr="002B35A8">
        <w:rPr>
          <w:rFonts w:ascii="Times New Roman" w:hAnsi="Times New Roman"/>
          <w:color w:val="000000"/>
          <w:sz w:val="24"/>
        </w:rPr>
        <w:sym w:font="Symbol" w:char="F06D"/>
      </w:r>
      <w:r w:rsidRPr="002B35A8">
        <w:rPr>
          <w:rFonts w:ascii="Times New Roman" w:hAnsi="Times New Roman"/>
          <w:color w:val="000000"/>
          <w:sz w:val="24"/>
        </w:rPr>
        <w:t>m. Each figure is from representative data of different mice from Figure 4.</w:t>
      </w:r>
    </w:p>
    <w:p w14:paraId="7D0775F6" w14:textId="77777777" w:rsidR="00A92A5B" w:rsidRPr="002B35A8" w:rsidRDefault="00A92A5B" w:rsidP="00A92A5B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2B35A8">
        <w:rPr>
          <w:rFonts w:ascii="Times New Roman" w:hAnsi="Times New Roman"/>
          <w:b/>
          <w:color w:val="000000"/>
          <w:sz w:val="24"/>
        </w:rPr>
        <w:t>Abbreviations:</w:t>
      </w:r>
      <w:r w:rsidRPr="002B35A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2B35A8">
        <w:rPr>
          <w:rFonts w:ascii="Times New Roman" w:hAnsi="Times New Roman"/>
          <w:color w:val="000000"/>
          <w:sz w:val="24"/>
        </w:rPr>
        <w:t>hADSCs</w:t>
      </w:r>
      <w:proofErr w:type="spellEnd"/>
      <w:r w:rsidRPr="002B35A8">
        <w:rPr>
          <w:rFonts w:ascii="Times New Roman" w:hAnsi="Times New Roman"/>
          <w:color w:val="000000"/>
          <w:sz w:val="24"/>
        </w:rPr>
        <w:t>, human adipose-derived mesenchymal stem cells; DAPI, 4',6-diamidino-2-phenylindole; TTF-1, Thyroid transcription factor-1; SP-C, Surfactant protein C; CDH1, Cadherin-1.</w:t>
      </w:r>
    </w:p>
    <w:p w14:paraId="22455FFF" w14:textId="77777777" w:rsidR="00A92A5B" w:rsidRPr="00A92A5B" w:rsidRDefault="00A92A5B"/>
    <w:sectPr w:rsidR="00A92A5B" w:rsidRPr="00A92A5B" w:rsidSect="00273203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saka Regular-Mono">
    <w:altName w:val="Yu Gothic"/>
    <w:charset w:val="80"/>
    <w:family w:val="swiss"/>
    <w:pitch w:val="fixed"/>
    <w:sig w:usb0="00000001" w:usb1="08070000" w:usb2="00000010" w:usb3="00000000" w:csb0="0002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A5B"/>
    <w:rsid w:val="000005FF"/>
    <w:rsid w:val="00006F98"/>
    <w:rsid w:val="00024F7D"/>
    <w:rsid w:val="00025ED9"/>
    <w:rsid w:val="00027BA8"/>
    <w:rsid w:val="00031B75"/>
    <w:rsid w:val="00044446"/>
    <w:rsid w:val="00047CBB"/>
    <w:rsid w:val="00056C76"/>
    <w:rsid w:val="0007035F"/>
    <w:rsid w:val="000713A2"/>
    <w:rsid w:val="00077C5E"/>
    <w:rsid w:val="000A40E1"/>
    <w:rsid w:val="000B6B00"/>
    <w:rsid w:val="000B72C4"/>
    <w:rsid w:val="000D2240"/>
    <w:rsid w:val="000D28D9"/>
    <w:rsid w:val="000D4E86"/>
    <w:rsid w:val="000F0E6A"/>
    <w:rsid w:val="000F321A"/>
    <w:rsid w:val="0010191D"/>
    <w:rsid w:val="00135DA6"/>
    <w:rsid w:val="00143EFD"/>
    <w:rsid w:val="00160B24"/>
    <w:rsid w:val="00162AD4"/>
    <w:rsid w:val="00180A40"/>
    <w:rsid w:val="001B1614"/>
    <w:rsid w:val="001B3F2D"/>
    <w:rsid w:val="001C54E8"/>
    <w:rsid w:val="001D13AC"/>
    <w:rsid w:val="001F1350"/>
    <w:rsid w:val="001F4121"/>
    <w:rsid w:val="00201C30"/>
    <w:rsid w:val="00213F65"/>
    <w:rsid w:val="0023387C"/>
    <w:rsid w:val="0025615F"/>
    <w:rsid w:val="00256A72"/>
    <w:rsid w:val="00257241"/>
    <w:rsid w:val="00262A34"/>
    <w:rsid w:val="002630CD"/>
    <w:rsid w:val="00273203"/>
    <w:rsid w:val="002842E3"/>
    <w:rsid w:val="00292134"/>
    <w:rsid w:val="002B0565"/>
    <w:rsid w:val="002B480F"/>
    <w:rsid w:val="002C6F76"/>
    <w:rsid w:val="002E73EF"/>
    <w:rsid w:val="003065B1"/>
    <w:rsid w:val="003206FE"/>
    <w:rsid w:val="00322D0D"/>
    <w:rsid w:val="003304A5"/>
    <w:rsid w:val="00331242"/>
    <w:rsid w:val="00332945"/>
    <w:rsid w:val="00361EEF"/>
    <w:rsid w:val="003638F8"/>
    <w:rsid w:val="00383EC8"/>
    <w:rsid w:val="003926BC"/>
    <w:rsid w:val="003A63F6"/>
    <w:rsid w:val="003C54EF"/>
    <w:rsid w:val="003C5526"/>
    <w:rsid w:val="003C69C4"/>
    <w:rsid w:val="003D1A83"/>
    <w:rsid w:val="003D76E5"/>
    <w:rsid w:val="003E609D"/>
    <w:rsid w:val="003E6E23"/>
    <w:rsid w:val="003F04E0"/>
    <w:rsid w:val="00401621"/>
    <w:rsid w:val="00403AB4"/>
    <w:rsid w:val="00412565"/>
    <w:rsid w:val="004311D1"/>
    <w:rsid w:val="0044737D"/>
    <w:rsid w:val="0045432D"/>
    <w:rsid w:val="00473A3C"/>
    <w:rsid w:val="00474E77"/>
    <w:rsid w:val="004814EB"/>
    <w:rsid w:val="004978D2"/>
    <w:rsid w:val="004A52CE"/>
    <w:rsid w:val="004B2902"/>
    <w:rsid w:val="004B303A"/>
    <w:rsid w:val="004B59D4"/>
    <w:rsid w:val="004C2C7F"/>
    <w:rsid w:val="004C639C"/>
    <w:rsid w:val="004D2E4C"/>
    <w:rsid w:val="004F054C"/>
    <w:rsid w:val="005107A4"/>
    <w:rsid w:val="00513FA3"/>
    <w:rsid w:val="00517AA8"/>
    <w:rsid w:val="00520064"/>
    <w:rsid w:val="00521747"/>
    <w:rsid w:val="00544EE3"/>
    <w:rsid w:val="005675CF"/>
    <w:rsid w:val="00567DED"/>
    <w:rsid w:val="00571D42"/>
    <w:rsid w:val="005804CD"/>
    <w:rsid w:val="0058168F"/>
    <w:rsid w:val="00582EE1"/>
    <w:rsid w:val="00590EEA"/>
    <w:rsid w:val="00593A90"/>
    <w:rsid w:val="005B29AD"/>
    <w:rsid w:val="005C5048"/>
    <w:rsid w:val="005C75B0"/>
    <w:rsid w:val="005C7D53"/>
    <w:rsid w:val="00602DE0"/>
    <w:rsid w:val="006177B2"/>
    <w:rsid w:val="00632C2D"/>
    <w:rsid w:val="00632EC8"/>
    <w:rsid w:val="0063443B"/>
    <w:rsid w:val="00635793"/>
    <w:rsid w:val="006410E5"/>
    <w:rsid w:val="006512E6"/>
    <w:rsid w:val="00676B43"/>
    <w:rsid w:val="006810CB"/>
    <w:rsid w:val="00687D78"/>
    <w:rsid w:val="006C2858"/>
    <w:rsid w:val="006D7326"/>
    <w:rsid w:val="00727066"/>
    <w:rsid w:val="00730273"/>
    <w:rsid w:val="00733347"/>
    <w:rsid w:val="007439E6"/>
    <w:rsid w:val="00744FEE"/>
    <w:rsid w:val="00747A8A"/>
    <w:rsid w:val="00751F5F"/>
    <w:rsid w:val="00755E51"/>
    <w:rsid w:val="00773325"/>
    <w:rsid w:val="00776777"/>
    <w:rsid w:val="00777D0B"/>
    <w:rsid w:val="007A35A2"/>
    <w:rsid w:val="007A4A2D"/>
    <w:rsid w:val="007B2EF4"/>
    <w:rsid w:val="007B436E"/>
    <w:rsid w:val="007B62E9"/>
    <w:rsid w:val="007C76D6"/>
    <w:rsid w:val="007D1166"/>
    <w:rsid w:val="007D1445"/>
    <w:rsid w:val="007E413B"/>
    <w:rsid w:val="007F61F6"/>
    <w:rsid w:val="0080422C"/>
    <w:rsid w:val="00816DE7"/>
    <w:rsid w:val="00820A80"/>
    <w:rsid w:val="0085063F"/>
    <w:rsid w:val="0087148D"/>
    <w:rsid w:val="00874134"/>
    <w:rsid w:val="00875995"/>
    <w:rsid w:val="008A00D9"/>
    <w:rsid w:val="008A4A3D"/>
    <w:rsid w:val="008B3C5B"/>
    <w:rsid w:val="008B3EF8"/>
    <w:rsid w:val="008B5ECD"/>
    <w:rsid w:val="008C0D29"/>
    <w:rsid w:val="008C2264"/>
    <w:rsid w:val="008C4999"/>
    <w:rsid w:val="008E059C"/>
    <w:rsid w:val="008E4927"/>
    <w:rsid w:val="008F2660"/>
    <w:rsid w:val="00903DF9"/>
    <w:rsid w:val="0091443B"/>
    <w:rsid w:val="009319C8"/>
    <w:rsid w:val="009336D4"/>
    <w:rsid w:val="0093758F"/>
    <w:rsid w:val="009421C1"/>
    <w:rsid w:val="00951917"/>
    <w:rsid w:val="009567ED"/>
    <w:rsid w:val="009568D1"/>
    <w:rsid w:val="0097306C"/>
    <w:rsid w:val="00976D84"/>
    <w:rsid w:val="00990E94"/>
    <w:rsid w:val="00992BAC"/>
    <w:rsid w:val="009C1C9F"/>
    <w:rsid w:val="009C3A30"/>
    <w:rsid w:val="009C6BCF"/>
    <w:rsid w:val="009D5A65"/>
    <w:rsid w:val="009F1852"/>
    <w:rsid w:val="009F3CC8"/>
    <w:rsid w:val="009F4865"/>
    <w:rsid w:val="00A03014"/>
    <w:rsid w:val="00A03FF5"/>
    <w:rsid w:val="00A1370B"/>
    <w:rsid w:val="00A15311"/>
    <w:rsid w:val="00A15FD0"/>
    <w:rsid w:val="00A22885"/>
    <w:rsid w:val="00A24A61"/>
    <w:rsid w:val="00A25860"/>
    <w:rsid w:val="00A3356E"/>
    <w:rsid w:val="00A46E17"/>
    <w:rsid w:val="00A61456"/>
    <w:rsid w:val="00A63A9A"/>
    <w:rsid w:val="00A81587"/>
    <w:rsid w:val="00A8573F"/>
    <w:rsid w:val="00A85C6C"/>
    <w:rsid w:val="00A92A5B"/>
    <w:rsid w:val="00A9643C"/>
    <w:rsid w:val="00AB39CE"/>
    <w:rsid w:val="00AB3D5E"/>
    <w:rsid w:val="00AC4F09"/>
    <w:rsid w:val="00AC5279"/>
    <w:rsid w:val="00AD695F"/>
    <w:rsid w:val="00B00059"/>
    <w:rsid w:val="00B0039D"/>
    <w:rsid w:val="00B0105E"/>
    <w:rsid w:val="00B273F0"/>
    <w:rsid w:val="00B57325"/>
    <w:rsid w:val="00B72B4A"/>
    <w:rsid w:val="00B86316"/>
    <w:rsid w:val="00B86996"/>
    <w:rsid w:val="00B948DA"/>
    <w:rsid w:val="00BA142A"/>
    <w:rsid w:val="00BA35DC"/>
    <w:rsid w:val="00BC7303"/>
    <w:rsid w:val="00BD7FB9"/>
    <w:rsid w:val="00C42B16"/>
    <w:rsid w:val="00C50FDA"/>
    <w:rsid w:val="00C76B77"/>
    <w:rsid w:val="00C804B2"/>
    <w:rsid w:val="00CA210B"/>
    <w:rsid w:val="00CA25F8"/>
    <w:rsid w:val="00CB1987"/>
    <w:rsid w:val="00CE0374"/>
    <w:rsid w:val="00CE51B2"/>
    <w:rsid w:val="00D03BCA"/>
    <w:rsid w:val="00D212CC"/>
    <w:rsid w:val="00D33C7C"/>
    <w:rsid w:val="00D36B71"/>
    <w:rsid w:val="00D37B97"/>
    <w:rsid w:val="00D679CB"/>
    <w:rsid w:val="00D93320"/>
    <w:rsid w:val="00DA5B5D"/>
    <w:rsid w:val="00DC4DED"/>
    <w:rsid w:val="00DC7F4F"/>
    <w:rsid w:val="00DD7776"/>
    <w:rsid w:val="00E04B45"/>
    <w:rsid w:val="00E120B4"/>
    <w:rsid w:val="00E15322"/>
    <w:rsid w:val="00E22044"/>
    <w:rsid w:val="00E27887"/>
    <w:rsid w:val="00E32BE1"/>
    <w:rsid w:val="00E37FBA"/>
    <w:rsid w:val="00E6296D"/>
    <w:rsid w:val="00E73AAF"/>
    <w:rsid w:val="00E76135"/>
    <w:rsid w:val="00E90918"/>
    <w:rsid w:val="00E935E6"/>
    <w:rsid w:val="00E9421F"/>
    <w:rsid w:val="00E9643B"/>
    <w:rsid w:val="00EA2953"/>
    <w:rsid w:val="00EC0D05"/>
    <w:rsid w:val="00EF05E6"/>
    <w:rsid w:val="00EF1070"/>
    <w:rsid w:val="00F23AA3"/>
    <w:rsid w:val="00F3250A"/>
    <w:rsid w:val="00F350B3"/>
    <w:rsid w:val="00F41097"/>
    <w:rsid w:val="00F455E6"/>
    <w:rsid w:val="00F5142D"/>
    <w:rsid w:val="00F51A3F"/>
    <w:rsid w:val="00F51E80"/>
    <w:rsid w:val="00F54C5C"/>
    <w:rsid w:val="00F74901"/>
    <w:rsid w:val="00F76AC0"/>
    <w:rsid w:val="00F77961"/>
    <w:rsid w:val="00F80FC3"/>
    <w:rsid w:val="00F842B5"/>
    <w:rsid w:val="00FB161B"/>
    <w:rsid w:val="00FC052E"/>
    <w:rsid w:val="00FC73DE"/>
    <w:rsid w:val="00FF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3CD63F"/>
  <w15:chartTrackingRefBased/>
  <w15:docId w15:val="{EA3830BA-CBA6-6947-A77D-3580D01D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rsid w:val="00A92A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92A5B"/>
    <w:pPr>
      <w:widowControl/>
      <w:spacing w:line="480" w:lineRule="auto"/>
      <w:jc w:val="left"/>
    </w:pPr>
    <w:rPr>
      <w:rFonts w:ascii="Arial" w:eastAsia="Yu Mincho" w:hAnsi="Arial" w:cs="Times New Roman"/>
      <w:kern w:val="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A5B"/>
    <w:rPr>
      <w:rFonts w:ascii="Arial" w:eastAsia="Yu Mincho" w:hAnsi="Arial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A5B"/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5B"/>
    <w:rPr>
      <w:rFonts w:ascii="MS Mincho" w:eastAsia="MS Minch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Lee, Boon</cp:lastModifiedBy>
  <cp:revision>2</cp:revision>
  <dcterms:created xsi:type="dcterms:W3CDTF">2021-09-22T21:48:00Z</dcterms:created>
  <dcterms:modified xsi:type="dcterms:W3CDTF">2021-09-22T21:48:00Z</dcterms:modified>
</cp:coreProperties>
</file>