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C52A" w14:textId="77777777" w:rsidR="009020BD" w:rsidRPr="00915D87" w:rsidRDefault="009020BD" w:rsidP="009020BD">
      <w:pPr>
        <w:ind w:left="-720"/>
        <w:contextualSpacing/>
        <w:rPr>
          <w:rFonts w:ascii="Arial" w:hAnsi="Arial" w:cs="Arial"/>
          <w:b/>
          <w:color w:val="1D2228"/>
        </w:rPr>
      </w:pPr>
    </w:p>
    <w:p w14:paraId="43AA97C0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</w:rPr>
      </w:pPr>
      <w:r w:rsidRPr="00816086">
        <w:rPr>
          <w:rFonts w:ascii="Arial" w:hAnsi="Arial" w:cs="Arial"/>
          <w:color w:val="1D2228"/>
        </w:rPr>
        <w:t>S Table 1. Sources of bacterial cultures used in the generation of standard curves for the determination of bacterial quantit</w:t>
      </w:r>
      <w:r>
        <w:rPr>
          <w:rFonts w:ascii="Arial" w:hAnsi="Arial" w:cs="Arial"/>
          <w:color w:val="1D2228"/>
        </w:rPr>
        <w:t>ies.</w:t>
      </w:r>
    </w:p>
    <w:p w14:paraId="028C8323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</w:rPr>
      </w:pPr>
    </w:p>
    <w:p w14:paraId="638F75C8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</w:rPr>
      </w:pPr>
    </w:p>
    <w:p w14:paraId="11A66FF9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  <w:szCs w:val="20"/>
        </w:rPr>
      </w:pPr>
      <w:r w:rsidRPr="00291534">
        <w:rPr>
          <w:rFonts w:ascii="Arial" w:hAnsi="Arial" w:cs="Arial"/>
          <w:color w:val="1D2228"/>
        </w:rPr>
        <w:t>S Table 2. Bacteria with innate resistance to antibiotics</w:t>
      </w:r>
      <w:r>
        <w:rPr>
          <w:rFonts w:ascii="Arial" w:hAnsi="Arial" w:cs="Arial"/>
          <w:color w:val="1D2228"/>
        </w:rPr>
        <w:t xml:space="preserve">. </w:t>
      </w:r>
      <w:r w:rsidRPr="00DC7AB8">
        <w:rPr>
          <w:rFonts w:ascii="Arial" w:hAnsi="Arial" w:cs="Arial"/>
          <w:color w:val="000000" w:themeColor="text1"/>
          <w:szCs w:val="20"/>
        </w:rPr>
        <w:t xml:space="preserve">X denotes </w:t>
      </w:r>
      <w:r>
        <w:rPr>
          <w:rFonts w:ascii="Arial" w:hAnsi="Arial" w:cs="Arial"/>
          <w:color w:val="000000" w:themeColor="text1"/>
          <w:szCs w:val="20"/>
        </w:rPr>
        <w:t xml:space="preserve">innate </w:t>
      </w:r>
      <w:r w:rsidRPr="00DC7AB8">
        <w:rPr>
          <w:rFonts w:ascii="Arial" w:hAnsi="Arial" w:cs="Arial"/>
          <w:color w:val="000000" w:themeColor="text1"/>
          <w:szCs w:val="20"/>
        </w:rPr>
        <w:t>resistance to the antibiotic</w:t>
      </w:r>
      <w:r>
        <w:rPr>
          <w:rFonts w:ascii="Arial" w:hAnsi="Arial" w:cs="Arial"/>
          <w:color w:val="000000" w:themeColor="text1"/>
          <w:szCs w:val="20"/>
        </w:rPr>
        <w:t>(s)</w:t>
      </w:r>
      <w:r w:rsidRPr="00DC7AB8">
        <w:rPr>
          <w:rFonts w:ascii="Arial" w:hAnsi="Arial" w:cs="Arial"/>
          <w:color w:val="000000" w:themeColor="text1"/>
          <w:szCs w:val="20"/>
        </w:rPr>
        <w:t xml:space="preserve"> listed in the same column; </w:t>
      </w:r>
      <w:r w:rsidRPr="00DC7AB8">
        <w:rPr>
          <w:rFonts w:ascii="Arial" w:hAnsi="Arial" w:cs="Arial"/>
          <w:color w:val="1D2228"/>
          <w:szCs w:val="20"/>
        </w:rPr>
        <w:t>these bacterial-antibiotic combinations were not included in the concordance analyses.</w:t>
      </w:r>
    </w:p>
    <w:p w14:paraId="392266AB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  <w:szCs w:val="20"/>
        </w:rPr>
      </w:pPr>
    </w:p>
    <w:p w14:paraId="77C98556" w14:textId="77777777" w:rsidR="009020BD" w:rsidRDefault="009020BD" w:rsidP="009020BD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  <w:szCs w:val="20"/>
        </w:rPr>
      </w:pPr>
    </w:p>
    <w:p w14:paraId="090D1E92" w14:textId="77777777" w:rsidR="009020BD" w:rsidRDefault="009020BD" w:rsidP="009020BD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  <w:r w:rsidRPr="00291534">
        <w:rPr>
          <w:rFonts w:ascii="Arial" w:hAnsi="Arial" w:cs="Arial"/>
        </w:rPr>
        <w:t>S Table 3. Distribution of bacteria detected in urine samples from urinary tract infection (UTI)-symptomatic patients</w:t>
      </w:r>
      <w:r>
        <w:rPr>
          <w:rFonts w:ascii="Arial" w:hAnsi="Arial" w:cs="Arial"/>
        </w:rPr>
        <w:t xml:space="preserve">. </w:t>
      </w:r>
      <w:r w:rsidRPr="00DC7AB8">
        <w:rPr>
          <w:rFonts w:ascii="Arial" w:eastAsia="Times New Roman" w:hAnsi="Arial" w:cs="Arial"/>
          <w:szCs w:val="20"/>
        </w:rPr>
        <w:t xml:space="preserve">Gram-negative bacteria are listed in gray </w:t>
      </w:r>
      <w:r>
        <w:rPr>
          <w:rFonts w:ascii="Arial" w:eastAsia="Times New Roman" w:hAnsi="Arial" w:cs="Arial"/>
          <w:szCs w:val="20"/>
        </w:rPr>
        <w:t xml:space="preserve">fonts </w:t>
      </w:r>
      <w:r w:rsidRPr="00DC7AB8">
        <w:rPr>
          <w:rFonts w:ascii="Arial" w:eastAsia="Times New Roman" w:hAnsi="Arial" w:cs="Arial"/>
          <w:szCs w:val="20"/>
        </w:rPr>
        <w:t xml:space="preserve">and </w:t>
      </w:r>
      <w:r w:rsidRPr="00DC7AB8">
        <w:rPr>
          <w:rFonts w:ascii="Arial" w:eastAsia="Times New Roman" w:hAnsi="Arial" w:cs="Arial"/>
          <w:szCs w:val="20"/>
          <w:lang w:eastAsia="ja-JP"/>
        </w:rPr>
        <w:t>G</w:t>
      </w:r>
      <w:r w:rsidRPr="00DC7AB8">
        <w:rPr>
          <w:rFonts w:ascii="Arial" w:eastAsia="Times New Roman" w:hAnsi="Arial" w:cs="Arial"/>
          <w:szCs w:val="20"/>
        </w:rPr>
        <w:t>ram-positive</w:t>
      </w:r>
      <w:r>
        <w:rPr>
          <w:rFonts w:ascii="Arial" w:eastAsia="Times New Roman" w:hAnsi="Arial" w:cs="Arial"/>
          <w:szCs w:val="20"/>
        </w:rPr>
        <w:t xml:space="preserve"> bacteria are listed in black and</w:t>
      </w:r>
      <w:r w:rsidRPr="00DC7AB8">
        <w:rPr>
          <w:rFonts w:ascii="Arial" w:eastAsia="Times New Roman" w:hAnsi="Arial" w:cs="Arial"/>
          <w:szCs w:val="20"/>
        </w:rPr>
        <w:t xml:space="preserve"> bold fonts.</w:t>
      </w:r>
    </w:p>
    <w:p w14:paraId="575A70EC" w14:textId="77777777" w:rsidR="009020BD" w:rsidRDefault="009020BD" w:rsidP="009020BD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</w:p>
    <w:p w14:paraId="43AAFC2E" w14:textId="77777777" w:rsidR="009020BD" w:rsidRDefault="009020BD" w:rsidP="009020BD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</w:p>
    <w:p w14:paraId="11994083" w14:textId="77777777" w:rsidR="009020BD" w:rsidRPr="00C91A5E" w:rsidRDefault="009020BD" w:rsidP="009020BD">
      <w:pPr>
        <w:ind w:left="-720"/>
        <w:contextualSpacing/>
        <w:rPr>
          <w:rFonts w:ascii="Arial" w:hAnsi="Arial" w:cs="Arial"/>
        </w:rPr>
      </w:pPr>
      <w:bookmarkStart w:id="0" w:name="_Hlk76558053"/>
      <w:r w:rsidRPr="00C91A5E">
        <w:rPr>
          <w:rFonts w:ascii="Arial" w:hAnsi="Arial" w:cs="Arial"/>
        </w:rPr>
        <w:t>S Table 4. Prevalence of the antibiotic resistance (ABR) genes detected in urine samples from 1,155 patients</w:t>
      </w:r>
      <w:r>
        <w:rPr>
          <w:rFonts w:ascii="Arial" w:hAnsi="Arial" w:cs="Arial"/>
        </w:rPr>
        <w:t>.</w:t>
      </w:r>
      <w:r w:rsidRPr="00C91A5E">
        <w:rPr>
          <w:rFonts w:ascii="Arial" w:hAnsi="Arial" w:cs="Arial"/>
        </w:rPr>
        <w:t xml:space="preserve"> </w:t>
      </w:r>
    </w:p>
    <w:bookmarkEnd w:id="0"/>
    <w:p w14:paraId="3F4CA639" w14:textId="77777777" w:rsidR="009020BD" w:rsidRDefault="009020BD" w:rsidP="009020BD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</w:p>
    <w:p w14:paraId="7A91C13B" w14:textId="77777777" w:rsidR="009020BD" w:rsidRDefault="009020BD" w:rsidP="009020BD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</w:p>
    <w:p w14:paraId="44AEDD2F" w14:textId="77777777" w:rsidR="009020BD" w:rsidRDefault="009020BD" w:rsidP="009020BD">
      <w:pPr>
        <w:ind w:left="-720"/>
        <w:contextualSpacing/>
        <w:rPr>
          <w:rFonts w:ascii="Arial" w:hAnsi="Arial" w:cs="Arial"/>
        </w:rPr>
      </w:pPr>
      <w:r w:rsidRPr="00C91A5E">
        <w:rPr>
          <w:rFonts w:ascii="Arial" w:hAnsi="Arial" w:cs="Arial"/>
        </w:rPr>
        <w:t>S Table 5. Prevalence of antibiotic resistance (ABR) genes in 372 patient urine samples with exclusively fastidious bacteria</w:t>
      </w:r>
      <w:r>
        <w:rPr>
          <w:rFonts w:ascii="Arial" w:hAnsi="Arial" w:cs="Arial"/>
        </w:rPr>
        <w:t>.</w:t>
      </w:r>
      <w:r w:rsidRPr="00C91A5E">
        <w:rPr>
          <w:rFonts w:ascii="Arial" w:hAnsi="Arial" w:cs="Arial"/>
        </w:rPr>
        <w:t xml:space="preserve"> </w:t>
      </w:r>
    </w:p>
    <w:p w14:paraId="03682B85" w14:textId="77777777" w:rsidR="009020BD" w:rsidRDefault="009020BD" w:rsidP="009020BD">
      <w:pPr>
        <w:ind w:left="-720"/>
        <w:contextualSpacing/>
        <w:rPr>
          <w:rFonts w:ascii="Arial" w:hAnsi="Arial" w:cs="Arial"/>
        </w:rPr>
      </w:pPr>
    </w:p>
    <w:p w14:paraId="4E5A3FD1" w14:textId="77777777" w:rsidR="009020BD" w:rsidRDefault="009020BD" w:rsidP="009020BD">
      <w:pPr>
        <w:ind w:left="-720"/>
        <w:contextualSpacing/>
        <w:rPr>
          <w:rFonts w:ascii="Arial" w:hAnsi="Arial" w:cs="Arial"/>
        </w:rPr>
      </w:pPr>
    </w:p>
    <w:p w14:paraId="43150A05" w14:textId="681844F1" w:rsidR="00AE32C7" w:rsidRDefault="009020BD" w:rsidP="00AE32C7">
      <w:pPr>
        <w:ind w:left="-720"/>
        <w:contextualSpacing/>
        <w:rPr>
          <w:rFonts w:ascii="Arial" w:hAnsi="Arial" w:cs="Arial"/>
          <w:szCs w:val="20"/>
        </w:rPr>
      </w:pPr>
      <w:bookmarkStart w:id="1" w:name="_Hlk76558136"/>
      <w:r>
        <w:rPr>
          <w:rFonts w:ascii="Arial" w:hAnsi="Arial" w:cs="Arial"/>
        </w:rPr>
        <w:t xml:space="preserve">S </w:t>
      </w:r>
      <w:r w:rsidRPr="00A44357">
        <w:rPr>
          <w:rFonts w:ascii="Arial" w:hAnsi="Arial" w:cs="Arial"/>
        </w:rPr>
        <w:t>Table 6. Detailed discordance results for meropenem, vancomycin, and piperacillin/tazobactam in monomicrobial and polymicrobial infections</w:t>
      </w:r>
      <w:r>
        <w:rPr>
          <w:rFonts w:ascii="Arial" w:hAnsi="Arial" w:cs="Arial"/>
        </w:rPr>
        <w:t xml:space="preserve">. Abbreviation: </w:t>
      </w:r>
      <w:r w:rsidRPr="00DC7AB8">
        <w:rPr>
          <w:rFonts w:ascii="Arial" w:hAnsi="Arial" w:cs="Arial"/>
          <w:szCs w:val="20"/>
        </w:rPr>
        <w:t>ABR, antibiotic resistance</w:t>
      </w:r>
      <w:bookmarkEnd w:id="1"/>
      <w:r w:rsidR="00AE32C7">
        <w:rPr>
          <w:rFonts w:ascii="Arial" w:hAnsi="Arial" w:cs="Arial"/>
          <w:szCs w:val="20"/>
        </w:rPr>
        <w:t>.</w:t>
      </w:r>
    </w:p>
    <w:p w14:paraId="28A6945D" w14:textId="199670B4" w:rsidR="005857B2" w:rsidRDefault="005857B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B6E76B8" w14:textId="77777777" w:rsidR="005857B2" w:rsidRDefault="005857B2" w:rsidP="00AE32C7">
      <w:pPr>
        <w:ind w:left="-720"/>
        <w:contextualSpacing/>
        <w:rPr>
          <w:rFonts w:ascii="Arial" w:hAnsi="Arial" w:cs="Arial"/>
          <w:szCs w:val="20"/>
        </w:rPr>
      </w:pPr>
    </w:p>
    <w:p w14:paraId="0619B163" w14:textId="22B6E2A8" w:rsidR="00AE32C7" w:rsidRDefault="00AE32C7" w:rsidP="00AE32C7">
      <w:pPr>
        <w:ind w:left="-720"/>
        <w:contextualSpacing/>
        <w:rPr>
          <w:rFonts w:ascii="Arial" w:hAnsi="Arial" w:cs="Arial"/>
          <w:szCs w:val="20"/>
        </w:rPr>
      </w:pPr>
    </w:p>
    <w:p w14:paraId="7DD8C4C5" w14:textId="77777777" w:rsidR="00AE32C7" w:rsidRPr="000B4D57" w:rsidRDefault="00AE32C7" w:rsidP="00AE32C7">
      <w:pPr>
        <w:pStyle w:val="NoSpacing"/>
      </w:pPr>
      <w:bookmarkStart w:id="2" w:name="OLE_LINK1"/>
      <w:bookmarkStart w:id="3" w:name="OLE_LINK2"/>
    </w:p>
    <w:p w14:paraId="5EE9F92C" w14:textId="77777777" w:rsidR="00AE32C7" w:rsidRPr="000B4D57" w:rsidRDefault="00AE32C7" w:rsidP="00AE32C7"/>
    <w:p w14:paraId="5108F13D" w14:textId="77777777" w:rsidR="00AE32C7" w:rsidRPr="00816086" w:rsidRDefault="00AE32C7" w:rsidP="00AE32C7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S Table 1</w:t>
      </w:r>
    </w:p>
    <w:p w14:paraId="5F1B9A35" w14:textId="77777777" w:rsidR="00AE32C7" w:rsidRPr="00816086" w:rsidRDefault="00AE32C7" w:rsidP="00AE32C7">
      <w:pPr>
        <w:shd w:val="clear" w:color="auto" w:fill="FFFFFF" w:themeFill="background1"/>
        <w:ind w:left="-720"/>
        <w:contextualSpacing/>
        <w:rPr>
          <w:rFonts w:ascii="Arial" w:eastAsia="Yu Mincho" w:hAnsi="Arial" w:cs="Arial"/>
          <w:color w:val="1D22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0"/>
        <w:gridCol w:w="1965"/>
        <w:gridCol w:w="1740"/>
      </w:tblGrid>
      <w:tr w:rsidR="00AE32C7" w:rsidRPr="00816086" w14:paraId="7C4891AD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F7D66B" w14:textId="77777777" w:rsidR="00AE32C7" w:rsidRPr="007C0732" w:rsidRDefault="00AE32C7" w:rsidP="008D2AF1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Bacterium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E9A7AD" w14:textId="77777777" w:rsidR="00AE32C7" w:rsidRPr="007C0732" w:rsidRDefault="00AE32C7" w:rsidP="008D2AF1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Vendor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4D28BC3" w14:textId="77777777" w:rsidR="00AE32C7" w:rsidRPr="007C0732" w:rsidRDefault="00AE32C7" w:rsidP="008D2AF1">
            <w:pPr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Catalog number</w:t>
            </w:r>
          </w:p>
        </w:tc>
      </w:tr>
      <w:tr w:rsidR="00AE32C7" w:rsidRPr="00816086" w14:paraId="037D138A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1E3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baumannii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4A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3B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0043930A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33B7E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Actinotignum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schaalii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E50FA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55891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7A543ABB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A60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Aerococcus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urinae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101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A3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6F8433C7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E2314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Alloscardovia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omnicolens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4759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F9B44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3A2D27FD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C59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freundii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14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CDD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316F52EB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3D63F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koseri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17B7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D7F74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05306436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9AE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Corynebacterium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riegelii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68D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DDB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150FC2E8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371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Enterococcus faecalis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965E3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6AC60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454E2749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0491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Escherichia coli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0AF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AC1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42C16C05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5E5B2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Klebsiella aerogenes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9D720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EAAF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25E4D53B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EC4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Klebsiella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oxytoca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B9A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7D7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419B6743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4EEE8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Klebsiella pneumoniae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E162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5772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5F0A104B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DB0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Morganella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morganii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9D4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3042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572755F1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FEF8E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Mycoplasma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genitalium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DA0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AF8CB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49895</w:t>
            </w:r>
          </w:p>
        </w:tc>
      </w:tr>
      <w:tr w:rsidR="00AE32C7" w:rsidRPr="00816086" w14:paraId="07C94086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25C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Mycoplasma hominis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4CD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AD9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23114</w:t>
            </w:r>
          </w:p>
        </w:tc>
      </w:tr>
      <w:tr w:rsidR="00AE32C7" w:rsidRPr="00816086" w14:paraId="72E5A061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D186A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Pantoea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agglomerans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E7C24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D3E8F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27155</w:t>
            </w:r>
          </w:p>
        </w:tc>
      </w:tr>
      <w:tr w:rsidR="00AE32C7" w:rsidRPr="00816086" w14:paraId="4142A4DF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E6C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Proteus mirabilis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8BC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5B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33EBE9E3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BD99A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Providencia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stuartii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7B393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0E4F2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25827</w:t>
            </w:r>
          </w:p>
        </w:tc>
      </w:tr>
      <w:tr w:rsidR="00AE32C7" w:rsidRPr="00816086" w14:paraId="6AE0FE84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85C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Pseudomonas aeruginosa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BE4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D71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04ADCFED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10F81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Serratia marcescens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CA3F3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A842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4EAFE7A9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6A47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Staphylococcus aureus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B98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9BA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2D4394C6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7183C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Streptococcus agalactiae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98779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Clinical isolate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EDFFC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E32C7" w:rsidRPr="00816086" w14:paraId="4C8FAE54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BAF" w14:textId="77777777" w:rsidR="00AE32C7" w:rsidRPr="007C0732" w:rsidRDefault="00AE32C7" w:rsidP="008D2AF1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Ureaplasma</w:t>
            </w:r>
            <w:proofErr w:type="spellEnd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urealyticum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48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61A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27618</w:t>
            </w:r>
          </w:p>
        </w:tc>
      </w:tr>
      <w:tr w:rsidR="00AE32C7" w:rsidRPr="00816086" w14:paraId="74120805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FA229" w14:textId="77777777" w:rsidR="00AE32C7" w:rsidRPr="007C0732" w:rsidRDefault="00AE32C7" w:rsidP="008D2AF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7C0732">
              <w:rPr>
                <w:rFonts w:ascii="Arial" w:eastAsia="Calibri" w:hAnsi="Arial" w:cs="Arial"/>
                <w:sz w:val="20"/>
                <w:szCs w:val="20"/>
              </w:rPr>
              <w:t>oagulase-negative staphylococci group (</w:t>
            </w:r>
            <w:proofErr w:type="spellStart"/>
            <w:r w:rsidRPr="007C0732">
              <w:rPr>
                <w:rFonts w:ascii="Arial" w:eastAsia="Calibri" w:hAnsi="Arial" w:cs="Arial"/>
                <w:sz w:val="20"/>
                <w:szCs w:val="20"/>
              </w:rPr>
              <w:t>CoNS</w:t>
            </w:r>
            <w:proofErr w:type="spellEnd"/>
            <w:r w:rsidRPr="007C073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CC9F9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2F73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2C7" w:rsidRPr="00816086" w14:paraId="0F3A5DF1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F53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Staphylococcus epidermidis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890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0E6E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12228</w:t>
            </w:r>
          </w:p>
        </w:tc>
      </w:tr>
      <w:tr w:rsidR="00AE32C7" w:rsidRPr="00816086" w14:paraId="5E4A28CC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2A112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Staphylococcus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haemolyticus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A040F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A8917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29970</w:t>
            </w:r>
          </w:p>
        </w:tc>
      </w:tr>
      <w:tr w:rsidR="00AE32C7" w:rsidRPr="00816086" w14:paraId="7EE077C0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F419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Staphylococcus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lugdunesis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42B2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173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49576</w:t>
            </w:r>
          </w:p>
        </w:tc>
      </w:tr>
      <w:tr w:rsidR="00AE32C7" w:rsidRPr="00816086" w14:paraId="2A18F114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EEBD4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Staphylococcus saprophyticus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9C6DB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EAB27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15305</w:t>
            </w:r>
          </w:p>
        </w:tc>
      </w:tr>
      <w:tr w:rsidR="00AE32C7" w:rsidRPr="00816086" w14:paraId="60D6D142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40D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</w:t>
            </w: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iridans</w:t>
            </w:r>
            <w:proofErr w:type="spellEnd"/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group streptococci (VGS)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AA7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F76C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2C7" w:rsidRPr="00816086" w14:paraId="7E4E685A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6C7E4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anginosus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F336B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4758D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33397</w:t>
            </w:r>
          </w:p>
        </w:tc>
      </w:tr>
      <w:tr w:rsidR="00AE32C7" w:rsidRPr="00816086" w14:paraId="7B5B2F9A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580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oralis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C4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275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35037</w:t>
            </w:r>
          </w:p>
        </w:tc>
      </w:tr>
      <w:tr w:rsidR="00AE32C7" w:rsidRPr="00816086" w14:paraId="1B4BD5AF" w14:textId="77777777" w:rsidTr="008D2AF1">
        <w:trPr>
          <w:trHeight w:val="30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E23A0" w14:textId="77777777" w:rsidR="00AE32C7" w:rsidRPr="007C0732" w:rsidRDefault="00AE32C7" w:rsidP="008D2AF1">
            <w:pPr>
              <w:ind w:left="7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Streptococcus </w:t>
            </w:r>
            <w:proofErr w:type="spellStart"/>
            <w:r w:rsidRPr="007C073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pasteuranus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9948F" w14:textId="77777777" w:rsidR="00AE32C7" w:rsidRPr="007C0732" w:rsidRDefault="00AE32C7" w:rsidP="008D2AF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ATCC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4E6ED" w14:textId="77777777" w:rsidR="00AE32C7" w:rsidRPr="007C0732" w:rsidRDefault="00AE32C7" w:rsidP="008D2AF1">
            <w:pPr>
              <w:rPr>
                <w:rFonts w:ascii="Arial" w:hAnsi="Arial" w:cs="Arial"/>
                <w:color w:val="1D2228"/>
                <w:sz w:val="20"/>
                <w:szCs w:val="20"/>
              </w:rPr>
            </w:pPr>
            <w:r w:rsidRPr="007C073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43144</w:t>
            </w:r>
            <w:r w:rsidRPr="007C0732">
              <w:rPr>
                <w:rFonts w:ascii="Arial" w:hAnsi="Arial" w:cs="Arial"/>
                <w:color w:val="1D2228"/>
                <w:sz w:val="20"/>
                <w:szCs w:val="20"/>
              </w:rPr>
              <w:t xml:space="preserve"> </w:t>
            </w:r>
          </w:p>
        </w:tc>
      </w:tr>
    </w:tbl>
    <w:p w14:paraId="47516E45" w14:textId="77777777" w:rsidR="00AE32C7" w:rsidRPr="000B4D57" w:rsidRDefault="00AE32C7" w:rsidP="00AE32C7">
      <w:pPr>
        <w:shd w:val="clear" w:color="auto" w:fill="FFFFFF" w:themeFill="background1"/>
        <w:ind w:left="-720"/>
        <w:contextualSpacing/>
        <w:rPr>
          <w:color w:val="1D2228"/>
        </w:rPr>
      </w:pPr>
    </w:p>
    <w:p w14:paraId="1A0022C9" w14:textId="77777777" w:rsidR="00AE32C7" w:rsidRPr="000B4D57" w:rsidRDefault="00AE32C7" w:rsidP="00AE32C7">
      <w:pPr>
        <w:shd w:val="clear" w:color="auto" w:fill="FFFFFF" w:themeFill="background1"/>
        <w:ind w:left="-720"/>
        <w:contextualSpacing/>
        <w:rPr>
          <w:color w:val="1D2228"/>
        </w:rPr>
      </w:pPr>
    </w:p>
    <w:p w14:paraId="12434B12" w14:textId="77777777" w:rsidR="00AE32C7" w:rsidRPr="000B4D57" w:rsidRDefault="00AE32C7" w:rsidP="00AE32C7">
      <w:pPr>
        <w:contextualSpacing/>
      </w:pPr>
      <w:r>
        <w:br w:type="page"/>
      </w:r>
    </w:p>
    <w:p w14:paraId="3AA3A10B" w14:textId="77777777" w:rsidR="00AE32C7" w:rsidRPr="00291534" w:rsidRDefault="00AE32C7" w:rsidP="00AE32C7">
      <w:pPr>
        <w:shd w:val="clear" w:color="auto" w:fill="FFFFFF" w:themeFill="background1"/>
        <w:ind w:left="-720"/>
        <w:contextualSpacing/>
        <w:rPr>
          <w:rFonts w:ascii="Arial" w:hAnsi="Arial" w:cs="Arial"/>
          <w:color w:val="1D2228"/>
          <w:sz w:val="20"/>
          <w:szCs w:val="20"/>
        </w:rPr>
      </w:pPr>
      <w:r w:rsidRPr="00291534">
        <w:rPr>
          <w:rFonts w:ascii="Arial" w:hAnsi="Arial" w:cs="Arial"/>
          <w:color w:val="1D2228"/>
        </w:rPr>
        <w:lastRenderedPageBreak/>
        <w:t>S Table 2</w:t>
      </w:r>
    </w:p>
    <w:p w14:paraId="326602FB" w14:textId="77777777" w:rsidR="00AE32C7" w:rsidRPr="00291534" w:rsidRDefault="00AE32C7" w:rsidP="00AE32C7">
      <w:pPr>
        <w:shd w:val="clear" w:color="auto" w:fill="FFFFFF" w:themeFill="background1"/>
        <w:rPr>
          <w:rFonts w:ascii="Arial" w:eastAsia="Yu Mincho" w:hAnsi="Arial" w:cs="Arial"/>
          <w:color w:val="1D2228"/>
        </w:rPr>
      </w:pPr>
    </w:p>
    <w:tbl>
      <w:tblPr>
        <w:tblW w:w="10530" w:type="dxa"/>
        <w:tblInd w:w="-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60"/>
        <w:gridCol w:w="1080"/>
        <w:gridCol w:w="1170"/>
        <w:gridCol w:w="990"/>
        <w:gridCol w:w="1080"/>
        <w:gridCol w:w="1260"/>
        <w:gridCol w:w="1350"/>
      </w:tblGrid>
      <w:tr w:rsidR="00AE32C7" w:rsidRPr="00291534" w14:paraId="475FE605" w14:textId="77777777" w:rsidTr="008D2AF1">
        <w:trPr>
          <w:trHeight w:val="476"/>
        </w:trPr>
        <w:tc>
          <w:tcPr>
            <w:tcW w:w="234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D24D0" w14:textId="77777777" w:rsidR="00AE32C7" w:rsidRPr="00291534" w:rsidRDefault="00AE32C7" w:rsidP="008D2AF1">
            <w:pPr>
              <w:ind w:left="75"/>
              <w:contextualSpacing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595959" w:themeFill="text1" w:themeFillTint="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9F9EE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Amoxicillin/</w:t>
            </w:r>
          </w:p>
          <w:p w14:paraId="7A860C67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Clavulanate</w:t>
            </w:r>
          </w:p>
        </w:tc>
        <w:tc>
          <w:tcPr>
            <w:tcW w:w="108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6CFA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Ampicillin</w:t>
            </w:r>
          </w:p>
        </w:tc>
        <w:tc>
          <w:tcPr>
            <w:tcW w:w="1170" w:type="dxa"/>
            <w:vMerge w:val="restart"/>
            <w:shd w:val="clear" w:color="auto" w:fill="595959" w:themeFill="text1" w:themeFillTint="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99D8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Ampicillin/ Sulbactam</w:t>
            </w:r>
          </w:p>
        </w:tc>
        <w:tc>
          <w:tcPr>
            <w:tcW w:w="99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D05AE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Cefazolin</w:t>
            </w:r>
          </w:p>
        </w:tc>
        <w:tc>
          <w:tcPr>
            <w:tcW w:w="108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C28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Cefoxitin</w:t>
            </w:r>
          </w:p>
        </w:tc>
        <w:tc>
          <w:tcPr>
            <w:tcW w:w="126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42A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Ceftriaxone</w:t>
            </w:r>
          </w:p>
        </w:tc>
        <w:tc>
          <w:tcPr>
            <w:tcW w:w="1350" w:type="dxa"/>
            <w:vMerge w:val="restart"/>
            <w:shd w:val="clear" w:color="auto" w:fill="595959" w:themeFill="text1" w:themeFillTint="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2F84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Vancomycin</w:t>
            </w:r>
          </w:p>
        </w:tc>
      </w:tr>
      <w:tr w:rsidR="00AE32C7" w:rsidRPr="00291534" w14:paraId="63D8821B" w14:textId="77777777" w:rsidTr="008D2AF1">
        <w:trPr>
          <w:trHeight w:val="476"/>
        </w:trPr>
        <w:tc>
          <w:tcPr>
            <w:tcW w:w="2340" w:type="dxa"/>
            <w:vMerge/>
            <w:shd w:val="clear" w:color="auto" w:fill="595959" w:themeFill="text1" w:themeFillTint="A6"/>
            <w:vAlign w:val="center"/>
            <w:hideMark/>
          </w:tcPr>
          <w:p w14:paraId="45082C73" w14:textId="77777777" w:rsidR="00AE32C7" w:rsidRPr="00291534" w:rsidRDefault="00AE32C7" w:rsidP="008D2AF1">
            <w:pPr>
              <w:ind w:left="75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595959" w:themeFill="text1" w:themeFillTint="A6"/>
            <w:vAlign w:val="center"/>
            <w:hideMark/>
          </w:tcPr>
          <w:p w14:paraId="659E216D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595959" w:themeFill="text1" w:themeFillTint="A6"/>
            <w:vAlign w:val="center"/>
            <w:hideMark/>
          </w:tcPr>
          <w:p w14:paraId="7E7530C7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595959" w:themeFill="text1" w:themeFillTint="A6"/>
            <w:vAlign w:val="center"/>
            <w:hideMark/>
          </w:tcPr>
          <w:p w14:paraId="70DD4EDB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595959" w:themeFill="text1" w:themeFillTint="A6"/>
            <w:vAlign w:val="center"/>
            <w:hideMark/>
          </w:tcPr>
          <w:p w14:paraId="75271E78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595959" w:themeFill="text1" w:themeFillTint="A6"/>
            <w:vAlign w:val="center"/>
            <w:hideMark/>
          </w:tcPr>
          <w:p w14:paraId="78C8C59F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595959" w:themeFill="text1" w:themeFillTint="A6"/>
            <w:vAlign w:val="center"/>
            <w:hideMark/>
          </w:tcPr>
          <w:p w14:paraId="4952517C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595959" w:themeFill="text1" w:themeFillTint="A6"/>
            <w:vAlign w:val="center"/>
            <w:hideMark/>
          </w:tcPr>
          <w:p w14:paraId="760CCB19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2C7" w:rsidRPr="00291534" w14:paraId="3435DE2A" w14:textId="77777777" w:rsidTr="008D2AF1">
        <w:trPr>
          <w:trHeight w:val="484"/>
        </w:trPr>
        <w:tc>
          <w:tcPr>
            <w:tcW w:w="2340" w:type="dxa"/>
            <w:vMerge/>
            <w:shd w:val="clear" w:color="auto" w:fill="595959" w:themeFill="text1" w:themeFillTint="A6"/>
            <w:vAlign w:val="center"/>
            <w:hideMark/>
          </w:tcPr>
          <w:p w14:paraId="040421C0" w14:textId="77777777" w:rsidR="00AE32C7" w:rsidRPr="00291534" w:rsidRDefault="00AE32C7" w:rsidP="008D2AF1">
            <w:pPr>
              <w:ind w:left="75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595959" w:themeFill="text1" w:themeFillTint="A6"/>
            <w:vAlign w:val="center"/>
            <w:hideMark/>
          </w:tcPr>
          <w:p w14:paraId="2D8F715B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595959" w:themeFill="text1" w:themeFillTint="A6"/>
            <w:vAlign w:val="center"/>
            <w:hideMark/>
          </w:tcPr>
          <w:p w14:paraId="72FC8925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595959" w:themeFill="text1" w:themeFillTint="A6"/>
            <w:vAlign w:val="center"/>
            <w:hideMark/>
          </w:tcPr>
          <w:p w14:paraId="5D264F85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595959" w:themeFill="text1" w:themeFillTint="A6"/>
            <w:vAlign w:val="center"/>
            <w:hideMark/>
          </w:tcPr>
          <w:p w14:paraId="21C57D8E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595959" w:themeFill="text1" w:themeFillTint="A6"/>
            <w:vAlign w:val="center"/>
            <w:hideMark/>
          </w:tcPr>
          <w:p w14:paraId="306E7B11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595959" w:themeFill="text1" w:themeFillTint="A6"/>
            <w:vAlign w:val="center"/>
            <w:hideMark/>
          </w:tcPr>
          <w:p w14:paraId="197403C9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595959" w:themeFill="text1" w:themeFillTint="A6"/>
            <w:vAlign w:val="center"/>
            <w:hideMark/>
          </w:tcPr>
          <w:p w14:paraId="12C1E9DF" w14:textId="77777777" w:rsidR="00AE32C7" w:rsidRPr="00291534" w:rsidRDefault="00AE32C7" w:rsidP="008D2AF1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E32C7" w:rsidRPr="00291534" w14:paraId="476BEB6B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8B60C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Acinetobacter </w:t>
            </w: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baumannii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C941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A3D3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BB21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CC67E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7C66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28C1F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6580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11357F25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350C6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freundii</w:t>
            </w:r>
            <w:proofErr w:type="spellEnd"/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E7AC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A6C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ACEA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6477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FAB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322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D60C1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3BDBE898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564E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Citrobacter </w:t>
            </w: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koseri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ABA1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D05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2DC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665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DAD1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305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E77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57B91378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6EEC0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22C4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0C7E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100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A60C5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F3944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950F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3280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08C43D72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BA8F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Klebsiella </w:t>
            </w:r>
            <w:r w:rsidRPr="0029153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aerogenes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E33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1BD5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AC9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2FF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B34F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0B29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435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4D79A18E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5F3FC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Klebsiella </w:t>
            </w: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oxytoca</w:t>
            </w:r>
            <w:proofErr w:type="spellEnd"/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E05E1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461FA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9A7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E7F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046F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7A85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F1A8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56025AAE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7AFBC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Klebsiella pneumoniae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D8F65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F63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DA91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CD6ED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0B74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3450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5AC5E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38B4C564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9875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Morganella</w:t>
            </w:r>
            <w:proofErr w:type="spellEnd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morganii</w:t>
            </w: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92C7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1A0B4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EED04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5AD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C04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112E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FCB3D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3DC012EC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56C31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Proteus mirabilis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45A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034F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D507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3387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D8E8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55CC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2AC7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287AC44D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2C0AD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Providencia </w:t>
            </w:r>
            <w:proofErr w:type="spellStart"/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stuartii</w:t>
            </w:r>
            <w:proofErr w:type="spellEnd"/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77A0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8199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B190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C644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FFB3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5DC0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506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4A2B1E95" w14:textId="77777777" w:rsidTr="008D2AF1">
        <w:trPr>
          <w:trHeight w:val="300"/>
        </w:trPr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98BD4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Pseudomonas aeruginosa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5ECED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F20AD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5923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7547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6F8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3C2D9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6BDC6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AE32C7" w:rsidRPr="00291534" w14:paraId="35D33C34" w14:textId="77777777" w:rsidTr="008D2AF1">
        <w:trPr>
          <w:trHeight w:val="300"/>
        </w:trPr>
        <w:tc>
          <w:tcPr>
            <w:tcW w:w="234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292B" w14:textId="77777777" w:rsidR="00AE32C7" w:rsidRPr="00291534" w:rsidRDefault="00AE32C7" w:rsidP="008D2AF1">
            <w:pPr>
              <w:ind w:left="75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1534">
              <w:rPr>
                <w:rFonts w:ascii="Arial" w:hAnsi="Arial" w:cs="Arial"/>
                <w:i/>
                <w:iCs/>
                <w:sz w:val="20"/>
                <w:szCs w:val="20"/>
              </w:rPr>
              <w:t>Serratia marcescens</w:t>
            </w: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5E2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61B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7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3E8B3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9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E37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8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D852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6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BE8B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AC4F8" w14:textId="77777777" w:rsidR="00AE32C7" w:rsidRPr="00DC7AB8" w:rsidRDefault="00AE32C7" w:rsidP="008D2AF1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3B97621" w14:textId="77777777" w:rsidR="00AE32C7" w:rsidRDefault="00AE32C7" w:rsidP="00AE32C7">
      <w:pPr>
        <w:shd w:val="clear" w:color="auto" w:fill="FFFFFF" w:themeFill="background1"/>
        <w:ind w:lef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CF57E4A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</w:p>
    <w:p w14:paraId="70FAE6D3" w14:textId="77777777" w:rsidR="00AE32C7" w:rsidRPr="001F738B" w:rsidRDefault="00AE32C7" w:rsidP="00AE32C7">
      <w:pPr>
        <w:ind w:left="-720"/>
        <w:contextualSpacing/>
        <w:jc w:val="both"/>
        <w:rPr>
          <w:rFonts w:cs="Times New Roman"/>
        </w:rPr>
      </w:pPr>
    </w:p>
    <w:p w14:paraId="647615ED" w14:textId="77777777" w:rsidR="00AE32C7" w:rsidRPr="001F738B" w:rsidRDefault="00AE32C7" w:rsidP="00AE32C7">
      <w:pPr>
        <w:ind w:left="-720"/>
        <w:contextualSpacing/>
        <w:rPr>
          <w:rFonts w:cs="Times New Roman"/>
        </w:rPr>
      </w:pPr>
    </w:p>
    <w:p w14:paraId="213406E2" w14:textId="77777777" w:rsidR="00AE32C7" w:rsidRPr="001F738B" w:rsidRDefault="00AE32C7" w:rsidP="00AE32C7">
      <w:pPr>
        <w:contextualSpacing/>
      </w:pPr>
      <w:r>
        <w:br w:type="page"/>
      </w:r>
    </w:p>
    <w:p w14:paraId="63F8C126" w14:textId="77777777" w:rsidR="00AE32C7" w:rsidRPr="00DC7AB8" w:rsidRDefault="00AE32C7" w:rsidP="00AE32C7">
      <w:pPr>
        <w:ind w:left="-720"/>
        <w:contextualSpacing/>
        <w:jc w:val="both"/>
        <w:rPr>
          <w:rFonts w:ascii="Arial" w:eastAsia="Times New Roman" w:hAnsi="Arial" w:cs="Arial"/>
          <w:szCs w:val="20"/>
        </w:rPr>
      </w:pPr>
      <w:r w:rsidRPr="00291534">
        <w:rPr>
          <w:rFonts w:ascii="Arial" w:hAnsi="Arial" w:cs="Arial"/>
        </w:rPr>
        <w:lastRenderedPageBreak/>
        <w:t>S Table 3</w:t>
      </w:r>
    </w:p>
    <w:p w14:paraId="5916BFB8" w14:textId="77777777" w:rsidR="00AE32C7" w:rsidRPr="00291534" w:rsidRDefault="00AE32C7" w:rsidP="00AE32C7">
      <w:pPr>
        <w:contextualSpacing/>
        <w:rPr>
          <w:rFonts w:ascii="Arial" w:hAnsi="Arial" w:cs="Arial"/>
        </w:rPr>
      </w:pPr>
    </w:p>
    <w:tbl>
      <w:tblPr>
        <w:tblW w:w="47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1620"/>
      </w:tblGrid>
      <w:tr w:rsidR="00AE32C7" w:rsidRPr="00291534" w14:paraId="52517E0E" w14:textId="77777777" w:rsidTr="008D2AF1">
        <w:trPr>
          <w:trHeight w:val="32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14:paraId="58C5EBC8" w14:textId="77777777" w:rsidR="00AE32C7" w:rsidRPr="00291534" w:rsidRDefault="00AE32C7" w:rsidP="008D2AF1">
            <w:pPr>
              <w:rPr>
                <w:rFonts w:ascii="Arial" w:eastAsia="Yu Mincho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Bacteria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  <w:hideMark/>
          </w:tcPr>
          <w:p w14:paraId="3BF32DC0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  <w:hideMark/>
          </w:tcPr>
          <w:p w14:paraId="7B2EED4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AE32C7" w:rsidRPr="00291534" w14:paraId="0303D635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C105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 xml:space="preserve">A. </w:t>
            </w:r>
            <w:proofErr w:type="spellStart"/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baumannii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9FCD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9642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0.17</w:t>
            </w:r>
          </w:p>
        </w:tc>
      </w:tr>
      <w:tr w:rsidR="00AE32C7" w:rsidRPr="00291534" w14:paraId="24E1BF36" w14:textId="77777777" w:rsidTr="008D2AF1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3D5EE9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 xml:space="preserve">C. </w:t>
            </w:r>
            <w:proofErr w:type="spellStart"/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freundii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ED834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691F4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0.09</w:t>
            </w:r>
          </w:p>
        </w:tc>
      </w:tr>
      <w:tr w:rsidR="00AE32C7" w:rsidRPr="00291534" w14:paraId="2873C4F2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3AFC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 xml:space="preserve">C. </w:t>
            </w:r>
            <w:proofErr w:type="spellStart"/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koseri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08A2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09AEA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0.78</w:t>
            </w:r>
          </w:p>
        </w:tc>
      </w:tr>
      <w:tr w:rsidR="00AE32C7" w:rsidRPr="00291534" w14:paraId="62004BE3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574BC1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23522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D234E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24.4</w:t>
            </w:r>
          </w:p>
        </w:tc>
      </w:tr>
      <w:tr w:rsidR="00AE32C7" w:rsidRPr="00291534" w14:paraId="64BAED33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3A8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E. coli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1893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67A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48.8</w:t>
            </w:r>
          </w:p>
        </w:tc>
      </w:tr>
      <w:tr w:rsidR="00AE32C7" w:rsidRPr="00291534" w14:paraId="7EBB16E3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2AB748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E. faecalis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64BBA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54011A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</w:tr>
      <w:tr w:rsidR="00AE32C7" w:rsidRPr="00291534" w14:paraId="646806A8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F780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K. aerogenes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8DF35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022B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1.4</w:t>
            </w:r>
          </w:p>
        </w:tc>
      </w:tr>
      <w:tr w:rsidR="00AE32C7" w:rsidRPr="00291534" w14:paraId="5740B3F0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D44F79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 xml:space="preserve">K. </w:t>
            </w:r>
            <w:proofErr w:type="spellStart"/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oxytoca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F992C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08A2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2.3</w:t>
            </w:r>
          </w:p>
        </w:tc>
      </w:tr>
      <w:tr w:rsidR="00AE32C7" w:rsidRPr="00291534" w14:paraId="0DE62067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D9BF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K. pneumoniae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733E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D8DC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12.6</w:t>
            </w:r>
          </w:p>
        </w:tc>
      </w:tr>
      <w:tr w:rsidR="00AE32C7" w:rsidRPr="00291534" w14:paraId="768494A4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75D6E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M. morganii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23156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B8CC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1.9</w:t>
            </w:r>
          </w:p>
        </w:tc>
      </w:tr>
      <w:tr w:rsidR="00AE32C7" w:rsidRPr="00291534" w14:paraId="3BC008F8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5C6D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P. aeruginosa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9D62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FA600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3.9</w:t>
            </w:r>
          </w:p>
        </w:tc>
      </w:tr>
      <w:tr w:rsidR="00AE32C7" w:rsidRPr="00291534" w14:paraId="1BC1BA34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24EA0F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P. mirabilis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424BC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1E743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3.5</w:t>
            </w:r>
          </w:p>
        </w:tc>
      </w:tr>
      <w:tr w:rsidR="00AE32C7" w:rsidRPr="00291534" w14:paraId="50C145CE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10D9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 xml:space="preserve">P. </w:t>
            </w:r>
            <w:proofErr w:type="spellStart"/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stuartii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5C9C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7ECD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0.1</w:t>
            </w:r>
          </w:p>
        </w:tc>
      </w:tr>
      <w:tr w:rsidR="00AE32C7" w:rsidRPr="00291534" w14:paraId="2585CBDF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9FC6AE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S. agalactiae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5C8B2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411314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8.6</w:t>
            </w:r>
          </w:p>
        </w:tc>
      </w:tr>
      <w:tr w:rsidR="00AE32C7" w:rsidRPr="00291534" w14:paraId="3C5516AC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E92E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S. aureus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41E9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43F7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1.8</w:t>
            </w:r>
          </w:p>
        </w:tc>
      </w:tr>
      <w:tr w:rsidR="00AE32C7" w:rsidRPr="00291534" w14:paraId="609B4BAA" w14:textId="77777777" w:rsidTr="008D2AF1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53AA50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</w:rPr>
              <w:t>S. marcescens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99322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E518D" w14:textId="77777777" w:rsidR="00AE32C7" w:rsidRPr="00291534" w:rsidRDefault="00AE32C7" w:rsidP="008D2AF1">
            <w:pPr>
              <w:contextualSpacing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29153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  <w:t>0.5</w:t>
            </w:r>
          </w:p>
        </w:tc>
      </w:tr>
    </w:tbl>
    <w:p w14:paraId="40B29080" w14:textId="77777777" w:rsidR="00AE32C7" w:rsidRDefault="00AE32C7" w:rsidP="00AE32C7">
      <w:pPr>
        <w:ind w:left="-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D5E4CE1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</w:p>
    <w:p w14:paraId="45B80710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</w:p>
    <w:p w14:paraId="3FF3DAE9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  <w:r w:rsidRPr="000B4D57">
        <w:rPr>
          <w:rFonts w:cs="Times New Roman"/>
        </w:rPr>
        <w:br w:type="page"/>
      </w:r>
    </w:p>
    <w:p w14:paraId="0921FE48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</w:p>
    <w:p w14:paraId="7824B744" w14:textId="77777777" w:rsidR="00AE32C7" w:rsidRPr="00C91A5E" w:rsidRDefault="00AE32C7" w:rsidP="00AE32C7">
      <w:pPr>
        <w:ind w:left="-720"/>
        <w:contextualSpacing/>
        <w:rPr>
          <w:rFonts w:ascii="Arial" w:hAnsi="Arial" w:cs="Arial"/>
        </w:rPr>
      </w:pPr>
      <w:r w:rsidRPr="00C91A5E">
        <w:rPr>
          <w:rFonts w:ascii="Arial" w:hAnsi="Arial" w:cs="Arial"/>
        </w:rPr>
        <w:t>S Table 4</w:t>
      </w:r>
    </w:p>
    <w:p w14:paraId="3397A4DD" w14:textId="77777777" w:rsidR="00AE32C7" w:rsidRPr="00C91A5E" w:rsidRDefault="00AE32C7" w:rsidP="00AE32C7">
      <w:pPr>
        <w:ind w:left="-720"/>
        <w:contextualSpacing/>
        <w:rPr>
          <w:rFonts w:ascii="Arial" w:hAnsi="Arial" w:cs="Arial"/>
        </w:rPr>
      </w:pPr>
    </w:p>
    <w:tbl>
      <w:tblPr>
        <w:tblW w:w="62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150"/>
        <w:gridCol w:w="1530"/>
        <w:gridCol w:w="1530"/>
      </w:tblGrid>
      <w:tr w:rsidR="00AE32C7" w:rsidRPr="00C91A5E" w14:paraId="0A8F3AA0" w14:textId="77777777" w:rsidTr="008D2AF1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B9C812F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ABR genes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E14CC2E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ja-JP"/>
              </w:rPr>
              <w:t>Number</w:t>
            </w:r>
            <w:r w:rsidRPr="00DC7A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of patients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EE9CDF7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AE32C7" w:rsidRPr="00C91A5E" w14:paraId="0E14ED43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0F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CTX-M </w:t>
            </w: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group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064A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0D1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4.1</w:t>
            </w:r>
          </w:p>
        </w:tc>
      </w:tr>
      <w:tr w:rsidR="00AE32C7" w:rsidRPr="00C91A5E" w14:paraId="4AA293A7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ED611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CTX-M </w:t>
            </w: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group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C722E5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926111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AE32C7" w:rsidRPr="00C91A5E" w14:paraId="72658A51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CA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CTX-M </w:t>
            </w: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group 8/25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B36D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511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AE32C7" w:rsidRPr="00C91A5E" w14:paraId="2C250F47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783BE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CTX-M</w:t>
            </w: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group 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E540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B2F5F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AE32C7" w:rsidRPr="00C91A5E" w14:paraId="63E982C3" w14:textId="77777777" w:rsidTr="008D2AF1">
        <w:trPr>
          <w:trHeight w:val="323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E060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DHA, </w:t>
            </w: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MOX/CMY,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BIL/LAT/CMY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497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53C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AE32C7" w:rsidRPr="00C91A5E" w14:paraId="344F5462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A61E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KPC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99FC49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0468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AE32C7" w:rsidRPr="00C91A5E" w14:paraId="5052A31F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040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OXA-1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907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AD8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AE32C7" w:rsidRPr="00C91A5E" w14:paraId="52194435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48AE0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OXA-40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86316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0E0D19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</w:t>
            </w:r>
          </w:p>
        </w:tc>
      </w:tr>
      <w:tr w:rsidR="00AE32C7" w:rsidRPr="00C91A5E" w14:paraId="6D7C2FD7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941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OXA-48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692D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01A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AE32C7" w:rsidRPr="00C91A5E" w14:paraId="00008EBD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4489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QnrA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26C1A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9FCB6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</w:t>
            </w:r>
          </w:p>
        </w:tc>
      </w:tr>
      <w:tr w:rsidR="00AE32C7" w:rsidRPr="00C91A5E" w14:paraId="60C9C745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A1E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QnrB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2E40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3E2C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0.3</w:t>
            </w:r>
          </w:p>
        </w:tc>
      </w:tr>
      <w:tr w:rsidR="00AE32C7" w:rsidRPr="00C91A5E" w14:paraId="4CAC5FDA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E7F21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SHV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8FDF64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9E754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8.7</w:t>
            </w:r>
          </w:p>
        </w:tc>
      </w:tr>
      <w:tr w:rsidR="00AE32C7" w:rsidRPr="00C91A5E" w14:paraId="405EFB21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BF9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47C4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88B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17.7</w:t>
            </w:r>
          </w:p>
        </w:tc>
      </w:tr>
      <w:tr w:rsidR="00AE32C7" w:rsidRPr="00C91A5E" w14:paraId="10EDDC87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D50AA4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VEB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5ED67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14842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0.6</w:t>
            </w:r>
          </w:p>
        </w:tc>
      </w:tr>
      <w:tr w:rsidR="00AE32C7" w:rsidRPr="00C91A5E" w14:paraId="2EBBB393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4A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087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78B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AE32C7" w:rsidRPr="00C91A5E" w14:paraId="353D35E2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4CB17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AmpC</w:t>
            </w:r>
            <w:proofErr w:type="spellEnd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, FOX, ACC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03680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7C429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E32C7" w:rsidRPr="00C91A5E" w14:paraId="2297B3D5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E28A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mecA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DE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1C9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AE32C7" w:rsidRPr="00C91A5E" w14:paraId="0031AEE9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AB6DD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vanA1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616DF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C85A00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AE32C7" w:rsidRPr="00C91A5E" w14:paraId="69E88E50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C55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vanA2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8863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05F6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</w:t>
            </w:r>
          </w:p>
        </w:tc>
      </w:tr>
      <w:tr w:rsidR="00AE32C7" w:rsidRPr="00C91A5E" w14:paraId="1CF38DA5" w14:textId="77777777" w:rsidTr="008D2AF1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8706D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C7AB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vanB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DC582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BF0A1B" w14:textId="77777777" w:rsidR="00AE32C7" w:rsidRPr="00DC7AB8" w:rsidRDefault="00AE32C7" w:rsidP="008D2AF1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7AB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</w:tbl>
    <w:p w14:paraId="468DB2A1" w14:textId="77777777" w:rsidR="00AE32C7" w:rsidRPr="000B4D57" w:rsidRDefault="00AE32C7" w:rsidP="00AE32C7">
      <w:pPr>
        <w:contextualSpacing/>
        <w:jc w:val="both"/>
        <w:rPr>
          <w:rFonts w:cs="Times New Roman"/>
        </w:rPr>
      </w:pPr>
      <w:r w:rsidRPr="000B4D57">
        <w:rPr>
          <w:rFonts w:cs="Times New Roman"/>
        </w:rPr>
        <w:br w:type="page"/>
      </w:r>
    </w:p>
    <w:p w14:paraId="450AB376" w14:textId="77777777" w:rsidR="00AE32C7" w:rsidRPr="00C91A5E" w:rsidRDefault="00AE32C7" w:rsidP="00AE32C7">
      <w:pPr>
        <w:ind w:left="-720"/>
        <w:contextualSpacing/>
        <w:rPr>
          <w:rFonts w:ascii="Arial" w:hAnsi="Arial" w:cs="Arial"/>
        </w:rPr>
      </w:pPr>
      <w:r w:rsidRPr="00C91A5E">
        <w:rPr>
          <w:rFonts w:ascii="Arial" w:hAnsi="Arial" w:cs="Arial"/>
        </w:rPr>
        <w:lastRenderedPageBreak/>
        <w:t>S Table 5</w:t>
      </w:r>
    </w:p>
    <w:p w14:paraId="4693A210" w14:textId="77777777" w:rsidR="00AE32C7" w:rsidRPr="00C91A5E" w:rsidRDefault="00AE32C7" w:rsidP="00AE32C7">
      <w:pPr>
        <w:ind w:left="-1080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Print: Data Set WORK.GENES_FREQ"/>
      </w:tblPr>
      <w:tblGrid>
        <w:gridCol w:w="3060"/>
        <w:gridCol w:w="1530"/>
        <w:gridCol w:w="1080"/>
      </w:tblGrid>
      <w:tr w:rsidR="00AE32C7" w:rsidRPr="00C91A5E" w14:paraId="3EAC91F2" w14:textId="77777777" w:rsidTr="008D2AF1">
        <w:trPr>
          <w:tblHeader/>
        </w:trPr>
        <w:tc>
          <w:tcPr>
            <w:tcW w:w="3060" w:type="dxa"/>
            <w:shd w:val="clear" w:color="auto" w:fill="595959" w:themeFill="text1" w:themeFillTint="A6"/>
            <w:vAlign w:val="center"/>
            <w:hideMark/>
          </w:tcPr>
          <w:p w14:paraId="28BD24BE" w14:textId="77777777" w:rsidR="00AE32C7" w:rsidRPr="00F918CA" w:rsidRDefault="00AE32C7" w:rsidP="008D2AF1">
            <w:pPr>
              <w:ind w:left="15"/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918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ABR genes</w:t>
            </w:r>
          </w:p>
        </w:tc>
        <w:tc>
          <w:tcPr>
            <w:tcW w:w="1530" w:type="dxa"/>
            <w:shd w:val="clear" w:color="auto" w:fill="595959" w:themeFill="text1" w:themeFillTint="A6"/>
            <w:vAlign w:val="center"/>
            <w:hideMark/>
          </w:tcPr>
          <w:p w14:paraId="7B375A32" w14:textId="77777777" w:rsidR="00AE32C7" w:rsidRPr="00F918CA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918C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ja-JP"/>
              </w:rPr>
              <w:t>Number</w:t>
            </w:r>
            <w:r w:rsidRPr="00F918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of patients</w:t>
            </w:r>
          </w:p>
        </w:tc>
        <w:tc>
          <w:tcPr>
            <w:tcW w:w="1080" w:type="dxa"/>
            <w:shd w:val="clear" w:color="auto" w:fill="595959" w:themeFill="text1" w:themeFillTint="A6"/>
            <w:vAlign w:val="center"/>
            <w:hideMark/>
          </w:tcPr>
          <w:p w14:paraId="158C33D1" w14:textId="77777777" w:rsidR="00AE32C7" w:rsidRPr="00F918CA" w:rsidRDefault="00AE32C7" w:rsidP="008D2AF1">
            <w:pPr>
              <w:contextualSpacing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918C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AE32C7" w:rsidRPr="00C91A5E" w14:paraId="0A9180F8" w14:textId="77777777" w:rsidTr="008D2AF1">
        <w:trPr>
          <w:trHeight w:val="275"/>
        </w:trPr>
        <w:tc>
          <w:tcPr>
            <w:tcW w:w="3060" w:type="dxa"/>
            <w:vAlign w:val="center"/>
            <w:hideMark/>
          </w:tcPr>
          <w:p w14:paraId="7D67D384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CTX-M </w:t>
            </w: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group 2</w:t>
            </w:r>
          </w:p>
        </w:tc>
        <w:tc>
          <w:tcPr>
            <w:tcW w:w="1530" w:type="dxa"/>
            <w:vAlign w:val="center"/>
            <w:hideMark/>
          </w:tcPr>
          <w:p w14:paraId="132A70A8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14:paraId="5E30A0B1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E32C7" w:rsidRPr="00C91A5E" w14:paraId="0B15A927" w14:textId="77777777" w:rsidTr="008D2AF1">
        <w:tc>
          <w:tcPr>
            <w:tcW w:w="3060" w:type="dxa"/>
            <w:shd w:val="clear" w:color="auto" w:fill="F2F2F2" w:themeFill="background1" w:themeFillShade="F2"/>
            <w:vAlign w:val="center"/>
            <w:hideMark/>
          </w:tcPr>
          <w:p w14:paraId="0B0D5555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DHA,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MOX/CMY,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BIL/LAT/CMY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198F49F0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29144E89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1.6</w:t>
            </w:r>
          </w:p>
        </w:tc>
      </w:tr>
      <w:tr w:rsidR="00AE32C7" w:rsidRPr="00C91A5E" w14:paraId="4C2C9AEA" w14:textId="77777777" w:rsidTr="008D2AF1">
        <w:tc>
          <w:tcPr>
            <w:tcW w:w="3060" w:type="dxa"/>
            <w:vAlign w:val="center"/>
            <w:hideMark/>
          </w:tcPr>
          <w:p w14:paraId="5906E64D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KPC</w:t>
            </w:r>
          </w:p>
        </w:tc>
        <w:tc>
          <w:tcPr>
            <w:tcW w:w="1530" w:type="dxa"/>
            <w:vAlign w:val="center"/>
            <w:hideMark/>
          </w:tcPr>
          <w:p w14:paraId="78BE0D75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14:paraId="2E173A84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E32C7" w:rsidRPr="00C91A5E" w14:paraId="1B7275ED" w14:textId="77777777" w:rsidTr="008D2AF1">
        <w:tc>
          <w:tcPr>
            <w:tcW w:w="3060" w:type="dxa"/>
            <w:shd w:val="clear" w:color="auto" w:fill="F2F2F2" w:themeFill="background1" w:themeFillShade="F2"/>
            <w:noWrap/>
            <w:vAlign w:val="center"/>
            <w:hideMark/>
          </w:tcPr>
          <w:p w14:paraId="663FEF5A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OXA-1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3DCE4290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2CDC533F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E32C7" w:rsidRPr="00C91A5E" w14:paraId="0BF41A37" w14:textId="77777777" w:rsidTr="008D2AF1">
        <w:tc>
          <w:tcPr>
            <w:tcW w:w="3060" w:type="dxa"/>
            <w:vAlign w:val="center"/>
            <w:hideMark/>
          </w:tcPr>
          <w:p w14:paraId="1122B701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QnrA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14:paraId="7BD353C9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14:paraId="75424F96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E32C7" w:rsidRPr="00C91A5E" w14:paraId="2841CF49" w14:textId="77777777" w:rsidTr="008D2AF1">
        <w:tc>
          <w:tcPr>
            <w:tcW w:w="3060" w:type="dxa"/>
            <w:shd w:val="clear" w:color="auto" w:fill="F2F2F2" w:themeFill="background1" w:themeFillShade="F2"/>
            <w:vAlign w:val="center"/>
            <w:hideMark/>
          </w:tcPr>
          <w:p w14:paraId="2E9E7909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SHV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10962BEF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6C20253F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E32C7" w:rsidRPr="00C91A5E" w14:paraId="76C7BA98" w14:textId="77777777" w:rsidTr="008D2AF1">
        <w:tc>
          <w:tcPr>
            <w:tcW w:w="3060" w:type="dxa"/>
            <w:vAlign w:val="center"/>
            <w:hideMark/>
          </w:tcPr>
          <w:p w14:paraId="7FB9DE7C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TEM</w:t>
            </w:r>
          </w:p>
        </w:tc>
        <w:tc>
          <w:tcPr>
            <w:tcW w:w="1530" w:type="dxa"/>
            <w:vAlign w:val="center"/>
            <w:hideMark/>
          </w:tcPr>
          <w:p w14:paraId="18993961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14:paraId="493AFB4E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1.3</w:t>
            </w:r>
          </w:p>
        </w:tc>
      </w:tr>
      <w:tr w:rsidR="00AE32C7" w:rsidRPr="00C91A5E" w14:paraId="5539FD56" w14:textId="77777777" w:rsidTr="008D2AF1">
        <w:tc>
          <w:tcPr>
            <w:tcW w:w="3060" w:type="dxa"/>
            <w:shd w:val="clear" w:color="auto" w:fill="F2F2F2" w:themeFill="background1" w:themeFillShade="F2"/>
            <w:vAlign w:val="center"/>
            <w:hideMark/>
          </w:tcPr>
          <w:p w14:paraId="674E628F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AmpC</w:t>
            </w:r>
            <w:proofErr w:type="spellEnd"/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FOX, ACC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45280634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2B82D534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</w:t>
            </w:r>
          </w:p>
        </w:tc>
      </w:tr>
      <w:tr w:rsidR="00AE32C7" w:rsidRPr="00C91A5E" w14:paraId="4383000A" w14:textId="77777777" w:rsidTr="008D2AF1">
        <w:tc>
          <w:tcPr>
            <w:tcW w:w="3060" w:type="dxa"/>
            <w:vAlign w:val="center"/>
            <w:hideMark/>
          </w:tcPr>
          <w:p w14:paraId="2CB8B717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vanA1</w:t>
            </w:r>
          </w:p>
        </w:tc>
        <w:tc>
          <w:tcPr>
            <w:tcW w:w="1530" w:type="dxa"/>
            <w:vAlign w:val="center"/>
            <w:hideMark/>
          </w:tcPr>
          <w:p w14:paraId="4554C7F2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  <w:hideMark/>
          </w:tcPr>
          <w:p w14:paraId="6087598A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E32C7" w:rsidRPr="00C91A5E" w14:paraId="76BC9DAC" w14:textId="77777777" w:rsidTr="008D2AF1">
        <w:tc>
          <w:tcPr>
            <w:tcW w:w="3060" w:type="dxa"/>
            <w:shd w:val="clear" w:color="auto" w:fill="F2F2F2" w:themeFill="background1" w:themeFillShade="F2"/>
            <w:vAlign w:val="center"/>
            <w:hideMark/>
          </w:tcPr>
          <w:p w14:paraId="13A5519B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vanA2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14:paraId="48387635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14:paraId="391BB35C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E32C7" w:rsidRPr="00C91A5E" w14:paraId="2DBBC230" w14:textId="77777777" w:rsidTr="008D2AF1">
        <w:tc>
          <w:tcPr>
            <w:tcW w:w="3060" w:type="dxa"/>
            <w:vAlign w:val="center"/>
            <w:hideMark/>
          </w:tcPr>
          <w:p w14:paraId="3CF9B3BD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C91A5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vanB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14:paraId="527134FF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  <w:hideMark/>
          </w:tcPr>
          <w:p w14:paraId="5C0B0495" w14:textId="77777777" w:rsidR="00AE32C7" w:rsidRPr="00C91A5E" w:rsidRDefault="00AE32C7" w:rsidP="008D2AF1">
            <w:pPr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A5E">
              <w:rPr>
                <w:rFonts w:ascii="Arial" w:eastAsia="Times New Roman" w:hAnsi="Arial" w:cs="Arial"/>
                <w:sz w:val="20"/>
                <w:szCs w:val="20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17158129" w14:textId="77777777" w:rsidR="00AE32C7" w:rsidRPr="000B4D57" w:rsidRDefault="00AE32C7" w:rsidP="00AE32C7">
      <w:pPr>
        <w:ind w:left="-1080"/>
        <w:contextualSpacing/>
        <w:jc w:val="both"/>
        <w:rPr>
          <w:rFonts w:cs="Times New Roman"/>
        </w:rPr>
      </w:pPr>
    </w:p>
    <w:p w14:paraId="2F08AD94" w14:textId="77777777" w:rsidR="00AE32C7" w:rsidRDefault="00AE32C7" w:rsidP="00AE32C7">
      <w:pPr>
        <w:jc w:val="both"/>
        <w:rPr>
          <w:rFonts w:cs="Times New Roman"/>
        </w:rPr>
      </w:pPr>
      <w:r>
        <w:rPr>
          <w:rFonts w:cs="Times New Roman"/>
        </w:rPr>
        <w:br w:type="page"/>
      </w:r>
    </w:p>
    <w:p w14:paraId="7AF7DCA1" w14:textId="77777777" w:rsidR="00AE32C7" w:rsidRPr="00C66501" w:rsidRDefault="00AE32C7" w:rsidP="00AE32C7">
      <w:pPr>
        <w:ind w:left="-720"/>
        <w:contextualSpacing/>
        <w:jc w:val="both"/>
        <w:rPr>
          <w:rFonts w:ascii="Arial" w:hAnsi="Arial" w:cs="Arial"/>
          <w:szCs w:val="20"/>
        </w:rPr>
      </w:pPr>
      <w:r w:rsidRPr="00A44357">
        <w:rPr>
          <w:rFonts w:ascii="Arial" w:hAnsi="Arial" w:cs="Arial"/>
        </w:rPr>
        <w:lastRenderedPageBreak/>
        <w:t xml:space="preserve">S Table 6. </w:t>
      </w:r>
    </w:p>
    <w:p w14:paraId="11D812D6" w14:textId="77777777" w:rsidR="00AE32C7" w:rsidRPr="00A44357" w:rsidRDefault="00AE32C7" w:rsidP="00AE32C7">
      <w:pPr>
        <w:ind w:left="-720"/>
        <w:contextualSpacing/>
        <w:jc w:val="both"/>
        <w:rPr>
          <w:rFonts w:ascii="Arial" w:hAnsi="Arial" w:cs="Arial"/>
        </w:rPr>
      </w:pPr>
    </w:p>
    <w:tbl>
      <w:tblPr>
        <w:tblW w:w="972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061"/>
        <w:gridCol w:w="1547"/>
        <w:gridCol w:w="1504"/>
        <w:gridCol w:w="1183"/>
        <w:gridCol w:w="1530"/>
        <w:gridCol w:w="1530"/>
      </w:tblGrid>
      <w:tr w:rsidR="00AE32C7" w:rsidRPr="00A44357" w14:paraId="48432EA9" w14:textId="77777777" w:rsidTr="008D2AF1">
        <w:trPr>
          <w:trHeight w:val="460"/>
        </w:trPr>
        <w:tc>
          <w:tcPr>
            <w:tcW w:w="1365" w:type="dxa"/>
            <w:vMerge w:val="restart"/>
            <w:shd w:val="clear" w:color="auto" w:fill="595959" w:themeFill="text1" w:themeFillTint="A6"/>
            <w:noWrap/>
            <w:vAlign w:val="center"/>
            <w:hideMark/>
          </w:tcPr>
          <w:p w14:paraId="29576972" w14:textId="77777777" w:rsidR="00AE32C7" w:rsidRPr="00C66501" w:rsidRDefault="00AE32C7" w:rsidP="008D2AF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Antibiotics</w:t>
            </w:r>
          </w:p>
        </w:tc>
        <w:tc>
          <w:tcPr>
            <w:tcW w:w="4112" w:type="dxa"/>
            <w:gridSpan w:val="3"/>
            <w:shd w:val="clear" w:color="auto" w:fill="595959" w:themeFill="text1" w:themeFillTint="A6"/>
            <w:vAlign w:val="center"/>
            <w:hideMark/>
          </w:tcPr>
          <w:p w14:paraId="1974FBC1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Monomicrobial</w:t>
            </w:r>
          </w:p>
        </w:tc>
        <w:tc>
          <w:tcPr>
            <w:tcW w:w="4243" w:type="dxa"/>
            <w:gridSpan w:val="3"/>
            <w:shd w:val="clear" w:color="auto" w:fill="595959" w:themeFill="text1" w:themeFillTint="A6"/>
            <w:vAlign w:val="center"/>
            <w:hideMark/>
          </w:tcPr>
          <w:p w14:paraId="37EADD93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Polymicrobial</w:t>
            </w:r>
          </w:p>
        </w:tc>
      </w:tr>
      <w:tr w:rsidR="00AE32C7" w:rsidRPr="00A44357" w14:paraId="5AE39B7D" w14:textId="77777777" w:rsidTr="008D2AF1">
        <w:trPr>
          <w:trHeight w:val="740"/>
        </w:trPr>
        <w:tc>
          <w:tcPr>
            <w:tcW w:w="1365" w:type="dxa"/>
            <w:vMerge/>
            <w:shd w:val="clear" w:color="auto" w:fill="595959" w:themeFill="text1" w:themeFillTint="A6"/>
            <w:vAlign w:val="center"/>
            <w:hideMark/>
          </w:tcPr>
          <w:p w14:paraId="5461F690" w14:textId="77777777" w:rsidR="00AE32C7" w:rsidRPr="00C66501" w:rsidRDefault="00AE32C7" w:rsidP="008D2AF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  <w:hideMark/>
          </w:tcPr>
          <w:p w14:paraId="4D3CE51A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  <w:hideMark/>
          </w:tcPr>
          <w:p w14:paraId="342DFAC6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Sensitive, ABR genes present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  <w:hideMark/>
          </w:tcPr>
          <w:p w14:paraId="62FA6015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Resistant, ABR genes absent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  <w:hideMark/>
          </w:tcPr>
          <w:p w14:paraId="3A4503E2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14:paraId="04B2D16B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Sensitive, ABR genes present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14:paraId="5B18A0F4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Resistant, ABR genes absent</w:t>
            </w:r>
          </w:p>
        </w:tc>
      </w:tr>
      <w:tr w:rsidR="00AE32C7" w:rsidRPr="00A44357" w14:paraId="381F67E3" w14:textId="77777777" w:rsidTr="008D2AF1">
        <w:trPr>
          <w:trHeight w:val="480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14:paraId="68D0E4FF" w14:textId="77777777" w:rsidR="00AE32C7" w:rsidRPr="00C66501" w:rsidRDefault="00AE32C7" w:rsidP="008D2AF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30EDFBA1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DB2608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564ED2E0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21.70%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28FCD0A4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5DCE153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5BCD40B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31.20%</w:t>
            </w:r>
          </w:p>
        </w:tc>
      </w:tr>
      <w:tr w:rsidR="00AE32C7" w:rsidRPr="00A44357" w14:paraId="060655AA" w14:textId="77777777" w:rsidTr="008D2AF1">
        <w:trPr>
          <w:trHeight w:val="580"/>
        </w:trPr>
        <w:tc>
          <w:tcPr>
            <w:tcW w:w="1365" w:type="dxa"/>
            <w:shd w:val="clear" w:color="auto" w:fill="auto"/>
            <w:vAlign w:val="center"/>
            <w:hideMark/>
          </w:tcPr>
          <w:p w14:paraId="27E14AA8" w14:textId="77777777" w:rsidR="00AE32C7" w:rsidRPr="00C66501" w:rsidRDefault="00AE32C7" w:rsidP="008D2AF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Piperacillin/ Tazobactam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14:paraId="08F9C4AF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0FB2325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D803DC5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3.40%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6BCEAE2B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2FC8E58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43.50%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DEDC75E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2.20%</w:t>
            </w:r>
          </w:p>
        </w:tc>
      </w:tr>
      <w:tr w:rsidR="00AE32C7" w:rsidRPr="00A44357" w14:paraId="7FDFE590" w14:textId="77777777" w:rsidTr="008D2AF1">
        <w:trPr>
          <w:trHeight w:val="500"/>
        </w:trPr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3C111F8B" w14:textId="77777777" w:rsidR="00AE32C7" w:rsidRPr="00C66501" w:rsidRDefault="00AE32C7" w:rsidP="008D2AF1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1061" w:type="dxa"/>
            <w:shd w:val="clear" w:color="auto" w:fill="FFFFFF" w:themeFill="background1"/>
            <w:vAlign w:val="center"/>
            <w:hideMark/>
          </w:tcPr>
          <w:p w14:paraId="77F3E797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14:paraId="630892B9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1504" w:type="dxa"/>
            <w:shd w:val="clear" w:color="auto" w:fill="FFFFFF" w:themeFill="background1"/>
            <w:noWrap/>
            <w:vAlign w:val="center"/>
            <w:hideMark/>
          </w:tcPr>
          <w:p w14:paraId="5AF1C19C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41.50%</w:t>
            </w:r>
          </w:p>
        </w:tc>
        <w:tc>
          <w:tcPr>
            <w:tcW w:w="1183" w:type="dxa"/>
            <w:shd w:val="clear" w:color="auto" w:fill="FFFFFF" w:themeFill="background1"/>
            <w:vAlign w:val="center"/>
            <w:hideMark/>
          </w:tcPr>
          <w:p w14:paraId="079D67ED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CA891F1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9F38FC9" w14:textId="77777777" w:rsidR="00AE32C7" w:rsidRPr="00C66501" w:rsidRDefault="00AE32C7" w:rsidP="008D2A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5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58.10%</w:t>
            </w:r>
          </w:p>
        </w:tc>
      </w:tr>
    </w:tbl>
    <w:p w14:paraId="4B76B375" w14:textId="77777777" w:rsidR="00AE32C7" w:rsidRDefault="00AE32C7" w:rsidP="00AE32C7">
      <w:pPr>
        <w:ind w:left="-720"/>
        <w:contextualSpacing/>
        <w:jc w:val="both"/>
        <w:rPr>
          <w:rFonts w:cs="Times New Roman"/>
        </w:rPr>
      </w:pPr>
    </w:p>
    <w:p w14:paraId="23CF69F2" w14:textId="77777777" w:rsidR="00AE32C7" w:rsidRDefault="00AE32C7" w:rsidP="00AE32C7">
      <w:pPr>
        <w:ind w:left="-720"/>
        <w:contextualSpacing/>
        <w:jc w:val="both"/>
        <w:rPr>
          <w:rFonts w:cs="Times New Roman"/>
        </w:rPr>
      </w:pPr>
    </w:p>
    <w:p w14:paraId="6720259B" w14:textId="77777777" w:rsidR="00AE32C7" w:rsidRDefault="00AE32C7" w:rsidP="00AE32C7">
      <w:pPr>
        <w:ind w:left="-720"/>
        <w:contextualSpacing/>
        <w:jc w:val="both"/>
        <w:rPr>
          <w:rFonts w:cs="Times New Roman"/>
        </w:rPr>
      </w:pPr>
    </w:p>
    <w:p w14:paraId="574F8A17" w14:textId="77777777" w:rsidR="00AE32C7" w:rsidRDefault="00AE32C7" w:rsidP="00AE32C7">
      <w:pPr>
        <w:ind w:left="-720"/>
        <w:contextualSpacing/>
        <w:jc w:val="both"/>
        <w:rPr>
          <w:rFonts w:cs="Times New Roman"/>
        </w:rPr>
      </w:pPr>
    </w:p>
    <w:p w14:paraId="21718BF1" w14:textId="77777777" w:rsidR="00AE32C7" w:rsidRDefault="00AE32C7" w:rsidP="00AE32C7">
      <w:pPr>
        <w:ind w:left="-720"/>
        <w:contextualSpacing/>
        <w:jc w:val="both"/>
        <w:rPr>
          <w:rFonts w:cs="Times New Roman"/>
        </w:rPr>
      </w:pPr>
    </w:p>
    <w:p w14:paraId="1C12727F" w14:textId="77777777" w:rsidR="00AE32C7" w:rsidRPr="000B4D57" w:rsidRDefault="00AE32C7" w:rsidP="00AE32C7">
      <w:pPr>
        <w:ind w:left="-1080"/>
        <w:contextualSpacing/>
        <w:jc w:val="both"/>
        <w:rPr>
          <w:rFonts w:cs="Times New Roman"/>
        </w:rPr>
      </w:pPr>
    </w:p>
    <w:bookmarkEnd w:id="2"/>
    <w:bookmarkEnd w:id="3"/>
    <w:p w14:paraId="0ABF32BA" w14:textId="77777777" w:rsidR="00AE32C7" w:rsidRDefault="00AE32C7" w:rsidP="00AE32C7"/>
    <w:p w14:paraId="5D2209A4" w14:textId="77777777" w:rsidR="00AE32C7" w:rsidRPr="00AE32C7" w:rsidRDefault="00AE32C7" w:rsidP="00AE32C7">
      <w:pPr>
        <w:ind w:left="-720"/>
        <w:contextualSpacing/>
        <w:rPr>
          <w:rFonts w:ascii="Arial" w:hAnsi="Arial" w:cs="Arial"/>
        </w:rPr>
      </w:pPr>
    </w:p>
    <w:sectPr w:rsidR="00AE32C7" w:rsidRPr="00AE32C7" w:rsidSect="004030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0BD"/>
    <w:rsid w:val="00174CEF"/>
    <w:rsid w:val="004030B8"/>
    <w:rsid w:val="005857B2"/>
    <w:rsid w:val="009020BD"/>
    <w:rsid w:val="00A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9F1A2"/>
  <w14:defaultImageDpi w14:val="300"/>
  <w15:docId w15:val="{2AF8D165-26C5-4501-92E7-F56BF855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0BD"/>
    <w:rPr>
      <w:rFonts w:cs="Calibri (Body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0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BD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E32C7"/>
    <w:rPr>
      <w:rFonts w:cs="Calibri (Body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</dc:creator>
  <cp:keywords/>
  <dc:description/>
  <cp:lastModifiedBy>Lee, Boon</cp:lastModifiedBy>
  <cp:revision>2</cp:revision>
  <dcterms:created xsi:type="dcterms:W3CDTF">2021-08-09T01:42:00Z</dcterms:created>
  <dcterms:modified xsi:type="dcterms:W3CDTF">2021-08-09T01:42:00Z</dcterms:modified>
</cp:coreProperties>
</file>