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228" w:rsidRDefault="00B642FC">
      <w:pPr>
        <w:rPr>
          <w:lang w:val="en"/>
        </w:rPr>
      </w:pPr>
      <w:r>
        <w:rPr>
          <w:lang w:val="en"/>
        </w:rPr>
        <w:t>Supplemental data</w:t>
      </w:r>
    </w:p>
    <w:p w:rsidR="00B642FC" w:rsidRDefault="00B642FC"/>
    <w:p w:rsidR="00B642FC" w:rsidRDefault="00B642FC">
      <w:r w:rsidRPr="00E31C56">
        <w:rPr>
          <w:b/>
          <w:noProof/>
        </w:rPr>
        <w:drawing>
          <wp:inline distT="0" distB="0" distL="0" distR="0" wp14:anchorId="31D13009" wp14:editId="412C8D88">
            <wp:extent cx="5274310" cy="2966720"/>
            <wp:effectExtent l="0" t="0" r="2540" b="5080"/>
            <wp:docPr id="9" name="圖片 9" descr="D:\NHRI 080607\2020 CoV paper\20201222 JCI\20210105 Figures\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HRI 080607\2020 CoV paper\20201222 JCI\20210105 Figures\Figure S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rsidR="00B642FC" w:rsidRPr="00EF7BD3" w:rsidRDefault="00B642FC" w:rsidP="00B642FC">
      <w:pPr>
        <w:jc w:val="both"/>
        <w:rPr>
          <w:b/>
        </w:rPr>
      </w:pPr>
    </w:p>
    <w:p w:rsidR="00AE32AD" w:rsidRPr="00C22BEB" w:rsidRDefault="00AE32AD" w:rsidP="00AE32AD">
      <w:pPr>
        <w:jc w:val="both"/>
        <w:rPr>
          <w:color w:val="000000"/>
        </w:rPr>
      </w:pPr>
      <w:r w:rsidRPr="00C22BEB">
        <w:rPr>
          <w:b/>
          <w:color w:val="000000"/>
        </w:rPr>
        <w:t xml:space="preserve">Figure S1. H&amp;E staining of trachea, heart, and kidney post SARS-CoV-2 infection on day 14. </w:t>
      </w:r>
      <w:r w:rsidRPr="00C22BEB">
        <w:rPr>
          <w:color w:val="000000"/>
        </w:rPr>
        <w:t>Syrian hamsters aged 6 to 8 weeks (n=5) were infected with 10</w:t>
      </w:r>
      <w:r w:rsidRPr="00C22BEB">
        <w:rPr>
          <w:color w:val="000000"/>
          <w:vertAlign w:val="superscript"/>
        </w:rPr>
        <w:t>5</w:t>
      </w:r>
      <w:r w:rsidRPr="00C22BEB">
        <w:rPr>
          <w:color w:val="000000"/>
        </w:rPr>
        <w:t>, 5</w:t>
      </w:r>
      <w:r w:rsidRPr="00C22BEB">
        <w:rPr>
          <w:rFonts w:cs="Calibri"/>
          <w:color w:val="000000"/>
        </w:rPr>
        <w:t>×</w:t>
      </w:r>
      <w:r w:rsidRPr="00C22BEB">
        <w:rPr>
          <w:color w:val="000000"/>
        </w:rPr>
        <w:t>10</w:t>
      </w:r>
      <w:r w:rsidRPr="00C22BEB">
        <w:rPr>
          <w:color w:val="000000"/>
          <w:vertAlign w:val="superscript"/>
        </w:rPr>
        <w:t>5</w:t>
      </w:r>
      <w:r w:rsidRPr="00C22BEB">
        <w:rPr>
          <w:color w:val="000000"/>
        </w:rPr>
        <w:t>, and 10</w:t>
      </w:r>
      <w:r w:rsidRPr="00C22BEB">
        <w:rPr>
          <w:color w:val="000000"/>
          <w:vertAlign w:val="superscript"/>
        </w:rPr>
        <w:t>6</w:t>
      </w:r>
      <w:r w:rsidRPr="00C22BEB">
        <w:rPr>
          <w:color w:val="000000"/>
        </w:rPr>
        <w:t xml:space="preserve"> TCID</w:t>
      </w:r>
      <w:r w:rsidRPr="00C22BEB">
        <w:rPr>
          <w:color w:val="000000"/>
          <w:vertAlign w:val="subscript"/>
        </w:rPr>
        <w:t>50</w:t>
      </w:r>
      <w:r w:rsidRPr="00C22BEB">
        <w:rPr>
          <w:color w:val="000000"/>
        </w:rPr>
        <w:t xml:space="preserve"> of SARS-CoV-2 on day 0. On day 14, samples of trachea, heart, and kidney were fixed in formalin and embedded in paraffin using routine methods, and the sections were then stained with hematoxylin and eosin (H&amp;E). Scale bar = 200 </w:t>
      </w:r>
      <w:r w:rsidRPr="00C22BEB">
        <w:rPr>
          <w:rFonts w:cs="Calibri"/>
          <w:color w:val="000000"/>
        </w:rPr>
        <w:t>µ</w:t>
      </w:r>
      <w:r w:rsidRPr="00C22BEB">
        <w:rPr>
          <w:color w:val="000000"/>
        </w:rPr>
        <w:t>m.</w:t>
      </w:r>
    </w:p>
    <w:p w:rsidR="00B642FC" w:rsidRDefault="00B642FC">
      <w:pPr>
        <w:widowControl/>
      </w:pPr>
      <w:r>
        <w:br w:type="page"/>
      </w:r>
    </w:p>
    <w:p w:rsidR="00B642FC" w:rsidRDefault="00B642FC">
      <w:r w:rsidRPr="00E31C56">
        <w:rPr>
          <w:b/>
          <w:noProof/>
          <w:szCs w:val="24"/>
        </w:rPr>
        <w:lastRenderedPageBreak/>
        <w:drawing>
          <wp:inline distT="0" distB="0" distL="0" distR="0" wp14:anchorId="63E9897F" wp14:editId="114CA8DA">
            <wp:extent cx="5274310" cy="2966720"/>
            <wp:effectExtent l="0" t="0" r="2540" b="5080"/>
            <wp:docPr id="10" name="圖片 10" descr="D:\NHRI 080607\2020 CoV paper\20201222 JCI\20210105 Figures\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HRI 080607\2020 CoV paper\20201222 JCI\20210105 Figures\Figure S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rsidR="00B642FC" w:rsidRPr="00EF7BD3" w:rsidRDefault="00B642FC" w:rsidP="00B642FC">
      <w:pPr>
        <w:spacing w:line="260" w:lineRule="atLeast"/>
        <w:jc w:val="both"/>
        <w:rPr>
          <w:b/>
          <w:szCs w:val="24"/>
        </w:rPr>
      </w:pPr>
    </w:p>
    <w:p w:rsidR="00AE32AD" w:rsidRPr="00C22BEB" w:rsidRDefault="00AE32AD" w:rsidP="00AE32AD">
      <w:pPr>
        <w:jc w:val="both"/>
        <w:rPr>
          <w:rFonts w:cs="Arial"/>
          <w:color w:val="000000"/>
          <w:szCs w:val="20"/>
        </w:rPr>
      </w:pPr>
      <w:r w:rsidRPr="00C22BEB">
        <w:rPr>
          <w:rFonts w:cs="Arial"/>
          <w:b/>
          <w:color w:val="000000"/>
          <w:szCs w:val="20"/>
        </w:rPr>
        <w:t xml:space="preserve">Figure S2. Cytokine expression in heart of SARS-CoV-2-infected hamsters on days 3, 6, and 9 post-infection. </w:t>
      </w:r>
      <w:r w:rsidRPr="00C22BEB">
        <w:rPr>
          <w:rFonts w:cs="Arial"/>
          <w:color w:val="000000"/>
          <w:szCs w:val="20"/>
        </w:rPr>
        <w:t>Hamsters infected with 5×10</w:t>
      </w:r>
      <w:r w:rsidRPr="00C22BEB">
        <w:rPr>
          <w:rFonts w:cs="Arial"/>
          <w:color w:val="000000"/>
          <w:szCs w:val="20"/>
          <w:vertAlign w:val="superscript"/>
        </w:rPr>
        <w:t>5</w:t>
      </w:r>
      <w:r w:rsidRPr="00C22BEB">
        <w:rPr>
          <w:rFonts w:cs="Arial"/>
          <w:color w:val="000000"/>
          <w:szCs w:val="20"/>
        </w:rPr>
        <w:t xml:space="preserve"> TCID</w:t>
      </w:r>
      <w:r w:rsidRPr="00C22BEB">
        <w:rPr>
          <w:rFonts w:cs="Arial"/>
          <w:color w:val="000000"/>
          <w:szCs w:val="20"/>
          <w:vertAlign w:val="subscript"/>
        </w:rPr>
        <w:t>50</w:t>
      </w:r>
      <w:r w:rsidRPr="00C22BEB">
        <w:rPr>
          <w:rFonts w:cs="Arial"/>
          <w:color w:val="000000"/>
          <w:szCs w:val="20"/>
        </w:rPr>
        <w:t xml:space="preserve"> of SARS-CoV-2 (n=5 per group, and non-infected control). On days 3, 6, and 9, the hamsters were sacrificed, heart RNA was extracted, and cytokine gene expression profiles were determined by using qPCR. Relative index is presented as 2</w:t>
      </w:r>
      <w:r w:rsidRPr="00C22BEB">
        <w:rPr>
          <w:rFonts w:cs="Arial"/>
          <w:color w:val="000000"/>
          <w:szCs w:val="20"/>
          <w:vertAlign w:val="superscript"/>
        </w:rPr>
        <w:t>-ΔΔCT</w:t>
      </w:r>
      <w:r w:rsidRPr="00C22BEB">
        <w:rPr>
          <w:rFonts w:cs="Arial"/>
          <w:color w:val="000000"/>
          <w:szCs w:val="20"/>
        </w:rPr>
        <w:t xml:space="preserve"> and the mean ± SEM of the numeric values in each SARS-CoV-2 group is presented below at 3, 6, and 9 d.p.i., respectively. </w:t>
      </w:r>
      <w:r w:rsidRPr="00C22BEB">
        <w:rPr>
          <w:rFonts w:cs="Arial"/>
          <w:b/>
          <w:color w:val="000000"/>
          <w:szCs w:val="20"/>
        </w:rPr>
        <w:t>(A)</w:t>
      </w:r>
      <w:r w:rsidRPr="00C22BEB">
        <w:rPr>
          <w:rFonts w:cs="Arial"/>
          <w:color w:val="000000"/>
          <w:szCs w:val="20"/>
        </w:rPr>
        <w:t xml:space="preserve"> IL-1β (4.619±1.831, 0.821±0.205, 3.359±1.293), </w:t>
      </w:r>
      <w:r w:rsidRPr="00C22BEB">
        <w:rPr>
          <w:rFonts w:cs="Arial"/>
          <w:b/>
          <w:color w:val="000000"/>
          <w:szCs w:val="20"/>
        </w:rPr>
        <w:t>(B)</w:t>
      </w:r>
      <w:r w:rsidRPr="00C22BEB">
        <w:rPr>
          <w:rFonts w:cs="Arial"/>
          <w:color w:val="000000"/>
          <w:szCs w:val="20"/>
        </w:rPr>
        <w:t xml:space="preserve"> IL-4 (8.829±3.422, 2.764±0.624, 1.135±0.296), </w:t>
      </w:r>
      <w:r w:rsidRPr="00C22BEB">
        <w:rPr>
          <w:rFonts w:cs="Arial"/>
          <w:b/>
          <w:color w:val="000000"/>
          <w:szCs w:val="20"/>
        </w:rPr>
        <w:t>(C)</w:t>
      </w:r>
      <w:r w:rsidRPr="00C22BEB">
        <w:rPr>
          <w:rFonts w:cs="Arial"/>
          <w:color w:val="000000"/>
          <w:szCs w:val="20"/>
        </w:rPr>
        <w:t xml:space="preserve"> IL-6 (3.536±1.079, 0.523±0.202, 1.926±0.864), </w:t>
      </w:r>
      <w:r w:rsidRPr="00C22BEB">
        <w:rPr>
          <w:rFonts w:cs="Arial"/>
          <w:b/>
          <w:color w:val="000000"/>
          <w:szCs w:val="20"/>
        </w:rPr>
        <w:t>(D)</w:t>
      </w:r>
      <w:r w:rsidRPr="00C22BEB">
        <w:rPr>
          <w:rFonts w:cs="Arial"/>
          <w:color w:val="000000"/>
          <w:szCs w:val="20"/>
        </w:rPr>
        <w:t xml:space="preserve"> IL-10 (3.522±0.948, 1.158±0.335, 2.169±0.505), </w:t>
      </w:r>
      <w:r w:rsidRPr="00C22BEB">
        <w:rPr>
          <w:rFonts w:cs="Arial"/>
          <w:b/>
          <w:color w:val="000000"/>
          <w:szCs w:val="20"/>
        </w:rPr>
        <w:t>(E)</w:t>
      </w:r>
      <w:r w:rsidRPr="00C22BEB">
        <w:rPr>
          <w:rFonts w:cs="Arial"/>
          <w:color w:val="000000"/>
          <w:szCs w:val="20"/>
        </w:rPr>
        <w:t xml:space="preserve"> IL-12 (3.788±1.1046, 1.376±0.442, 1.015±0.273), </w:t>
      </w:r>
      <w:r w:rsidRPr="00C22BEB">
        <w:rPr>
          <w:rFonts w:cs="Arial"/>
          <w:b/>
          <w:color w:val="000000"/>
          <w:szCs w:val="20"/>
        </w:rPr>
        <w:t>(F)</w:t>
      </w:r>
      <w:r w:rsidRPr="00C22BEB">
        <w:rPr>
          <w:rFonts w:cs="Arial"/>
          <w:color w:val="000000"/>
          <w:szCs w:val="20"/>
        </w:rPr>
        <w:t xml:space="preserve"> IL-17 (2.684±0.579, 0.747±0.074, 1.286±0.152),</w:t>
      </w:r>
      <w:r w:rsidRPr="00C22BEB">
        <w:rPr>
          <w:rFonts w:cs="Arial"/>
          <w:b/>
          <w:color w:val="000000"/>
          <w:szCs w:val="20"/>
        </w:rPr>
        <w:t xml:space="preserve"> (G) </w:t>
      </w:r>
      <w:r w:rsidRPr="00C22BEB">
        <w:rPr>
          <w:rFonts w:cs="Arial"/>
          <w:color w:val="000000"/>
          <w:szCs w:val="20"/>
        </w:rPr>
        <w:t xml:space="preserve">IFN-γ (2.835±0.154, 0.999±0.116, 1.116±0.163), </w:t>
      </w:r>
      <w:r w:rsidRPr="00C22BEB">
        <w:rPr>
          <w:rFonts w:cs="Arial"/>
          <w:b/>
          <w:color w:val="000000"/>
          <w:szCs w:val="20"/>
        </w:rPr>
        <w:t>(H)</w:t>
      </w:r>
      <w:r w:rsidRPr="00C22BEB">
        <w:rPr>
          <w:rFonts w:cs="Arial"/>
          <w:color w:val="000000"/>
          <w:szCs w:val="20"/>
        </w:rPr>
        <w:t xml:space="preserve"> iNOS (2.266±0.274, 1.402±0.208, 1.058±0.108), </w:t>
      </w:r>
      <w:r w:rsidRPr="00C22BEB">
        <w:rPr>
          <w:rFonts w:cs="Arial"/>
          <w:b/>
          <w:color w:val="000000"/>
          <w:szCs w:val="20"/>
        </w:rPr>
        <w:t xml:space="preserve">(I) </w:t>
      </w:r>
      <w:r w:rsidRPr="00C22BEB">
        <w:rPr>
          <w:rFonts w:cs="Arial"/>
          <w:color w:val="000000"/>
          <w:szCs w:val="20"/>
        </w:rPr>
        <w:t>MCP-1 (2.445±0.277, 0.859±0.189, 2.463±1.145),</w:t>
      </w:r>
      <w:r w:rsidRPr="00C22BEB">
        <w:rPr>
          <w:rFonts w:cs="Arial"/>
          <w:b/>
          <w:color w:val="000000"/>
          <w:szCs w:val="20"/>
        </w:rPr>
        <w:t xml:space="preserve"> (J)</w:t>
      </w:r>
      <w:r w:rsidRPr="00C22BEB">
        <w:rPr>
          <w:rFonts w:cs="Arial"/>
          <w:color w:val="000000"/>
          <w:szCs w:val="20"/>
        </w:rPr>
        <w:t xml:space="preserve"> MIP-1α (2.045±0.418, 1.098±0.082, 1.197±0.182),</w:t>
      </w:r>
      <w:r w:rsidRPr="00C22BEB">
        <w:rPr>
          <w:rFonts w:cs="Arial"/>
          <w:b/>
          <w:color w:val="000000"/>
          <w:szCs w:val="20"/>
        </w:rPr>
        <w:t xml:space="preserve"> (K) </w:t>
      </w:r>
      <w:r w:rsidRPr="00C22BEB">
        <w:rPr>
          <w:rFonts w:cs="Arial"/>
          <w:color w:val="000000"/>
          <w:szCs w:val="20"/>
        </w:rPr>
        <w:t>PD-L1 (5.105±1.739, 2.0516±0.292, 1.602±0.235),</w:t>
      </w:r>
      <w:r w:rsidRPr="00C22BEB">
        <w:rPr>
          <w:rFonts w:cs="Arial"/>
          <w:b/>
          <w:color w:val="000000"/>
          <w:szCs w:val="20"/>
        </w:rPr>
        <w:t xml:space="preserve"> (L)</w:t>
      </w:r>
      <w:r w:rsidRPr="00C22BEB">
        <w:rPr>
          <w:rFonts w:cs="Arial"/>
          <w:color w:val="000000"/>
          <w:szCs w:val="20"/>
        </w:rPr>
        <w:t xml:space="preserve"> RANTES (3.677±0.748, 0.482±0.0793, 1.425±0.146), </w:t>
      </w:r>
      <w:r w:rsidRPr="00C22BEB">
        <w:rPr>
          <w:rFonts w:cs="Arial"/>
          <w:b/>
          <w:color w:val="000000"/>
          <w:szCs w:val="20"/>
        </w:rPr>
        <w:t>(M)</w:t>
      </w:r>
      <w:r w:rsidRPr="00C22BEB">
        <w:rPr>
          <w:rFonts w:cs="Arial"/>
          <w:color w:val="000000"/>
          <w:szCs w:val="20"/>
        </w:rPr>
        <w:t xml:space="preserve"> TGF-β (2.186±0.206, 1.048±0.092, 1.031±0.117), </w:t>
      </w:r>
      <w:r w:rsidRPr="00C22BEB">
        <w:rPr>
          <w:rFonts w:cs="Arial"/>
          <w:b/>
          <w:color w:val="000000"/>
          <w:szCs w:val="20"/>
        </w:rPr>
        <w:t>(N)</w:t>
      </w:r>
      <w:r w:rsidRPr="00C22BEB">
        <w:rPr>
          <w:rFonts w:cs="Arial"/>
          <w:color w:val="000000"/>
          <w:szCs w:val="20"/>
        </w:rPr>
        <w:t xml:space="preserve"> TNF-α (4.089±0.866, 0.643±0.161, 1.159±0.328). Differences among groups were determined using two-way ANOVA with a Bonferroni post hoc test in panels </w:t>
      </w:r>
      <w:r w:rsidRPr="00C22BEB">
        <w:rPr>
          <w:rFonts w:cs="Arial"/>
          <w:b/>
          <w:color w:val="000000"/>
          <w:szCs w:val="20"/>
        </w:rPr>
        <w:t xml:space="preserve">(A-N) </w:t>
      </w:r>
      <w:r w:rsidRPr="00C22BEB">
        <w:rPr>
          <w:rFonts w:cs="Arial"/>
          <w:color w:val="000000"/>
          <w:szCs w:val="20"/>
        </w:rPr>
        <w:t>(*</w:t>
      </w:r>
      <w:r w:rsidRPr="00C22BEB">
        <w:rPr>
          <w:rFonts w:cs="Arial"/>
          <w:i/>
          <w:color w:val="000000"/>
          <w:szCs w:val="20"/>
        </w:rPr>
        <w:t xml:space="preserve">P </w:t>
      </w:r>
      <w:r w:rsidRPr="00C22BEB">
        <w:rPr>
          <w:rFonts w:cs="Arial"/>
          <w:color w:val="000000"/>
          <w:szCs w:val="20"/>
        </w:rPr>
        <w:t>&lt; 0.05; **</w:t>
      </w:r>
      <w:r w:rsidRPr="00C22BEB">
        <w:rPr>
          <w:rFonts w:cs="Arial"/>
          <w:i/>
          <w:color w:val="000000"/>
          <w:szCs w:val="20"/>
        </w:rPr>
        <w:t xml:space="preserve">P </w:t>
      </w:r>
      <w:r w:rsidRPr="00C22BEB">
        <w:rPr>
          <w:rFonts w:cs="Arial"/>
          <w:color w:val="000000"/>
          <w:szCs w:val="20"/>
        </w:rPr>
        <w:t>&lt; 0.01), no significance among groups is not shown.</w:t>
      </w:r>
    </w:p>
    <w:p w:rsidR="00B642FC" w:rsidRDefault="00B642FC">
      <w:r w:rsidRPr="00E31C56">
        <w:rPr>
          <w:noProof/>
        </w:rPr>
        <w:lastRenderedPageBreak/>
        <w:drawing>
          <wp:inline distT="0" distB="0" distL="0" distR="0" wp14:anchorId="57AFCC20" wp14:editId="0E36BDF2">
            <wp:extent cx="5274310" cy="2966720"/>
            <wp:effectExtent l="0" t="0" r="2540" b="5080"/>
            <wp:docPr id="11" name="圖片 11" descr="D:\NHRI 080607\2020 CoV paper\20201222 JCI\20210105 Figures\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HRI 080607\2020 CoV paper\20201222 JCI\20210105 Figures\Figure S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rsidR="00B642FC" w:rsidRDefault="00B642FC" w:rsidP="00B642FC">
      <w:pPr>
        <w:jc w:val="both"/>
      </w:pPr>
    </w:p>
    <w:p w:rsidR="00AE32AD" w:rsidRPr="00C22BEB" w:rsidRDefault="00AE32AD" w:rsidP="00AE32AD">
      <w:pPr>
        <w:jc w:val="both"/>
        <w:rPr>
          <w:rFonts w:cs="Arial"/>
          <w:color w:val="000000"/>
          <w:szCs w:val="20"/>
        </w:rPr>
      </w:pPr>
      <w:r w:rsidRPr="00C22BEB">
        <w:rPr>
          <w:rFonts w:cs="Arial"/>
          <w:b/>
          <w:color w:val="000000"/>
          <w:szCs w:val="20"/>
        </w:rPr>
        <w:t xml:space="preserve">Figure S3. Cytokine expression in kidney of SARS-CoV-2-infected hamsters on days 3, 6, and 9. </w:t>
      </w:r>
      <w:r w:rsidRPr="00C22BEB">
        <w:rPr>
          <w:rFonts w:cs="Arial"/>
          <w:color w:val="000000"/>
          <w:szCs w:val="20"/>
        </w:rPr>
        <w:t>Hamsters were infected with 5×10</w:t>
      </w:r>
      <w:r w:rsidRPr="00C22BEB">
        <w:rPr>
          <w:rFonts w:cs="Arial"/>
          <w:color w:val="000000"/>
          <w:szCs w:val="20"/>
          <w:vertAlign w:val="superscript"/>
        </w:rPr>
        <w:t>5</w:t>
      </w:r>
      <w:r w:rsidRPr="00C22BEB">
        <w:rPr>
          <w:rFonts w:cs="Arial"/>
          <w:color w:val="000000"/>
          <w:szCs w:val="20"/>
        </w:rPr>
        <w:t xml:space="preserve"> TCID</w:t>
      </w:r>
      <w:r w:rsidRPr="00C22BEB">
        <w:rPr>
          <w:rFonts w:cs="Arial"/>
          <w:color w:val="000000"/>
          <w:szCs w:val="20"/>
          <w:vertAlign w:val="subscript"/>
        </w:rPr>
        <w:t>50</w:t>
      </w:r>
      <w:r w:rsidRPr="00C22BEB">
        <w:rPr>
          <w:rFonts w:cs="Arial"/>
          <w:color w:val="000000"/>
          <w:szCs w:val="20"/>
        </w:rPr>
        <w:t xml:space="preserve"> of SARS-CoV-2 (n=5 per group, and non-infected control). On days 3, 6, and 9, the hamsters were sacrificed, kidney RNA was extracted, and cytokine gene expression profiles were determined by using qPCR. Relative index is presented as 2</w:t>
      </w:r>
      <w:r w:rsidRPr="00C22BEB">
        <w:rPr>
          <w:rFonts w:cs="Arial"/>
          <w:color w:val="000000"/>
          <w:szCs w:val="20"/>
          <w:vertAlign w:val="superscript"/>
        </w:rPr>
        <w:t>-ΔΔCT</w:t>
      </w:r>
      <w:r w:rsidRPr="00C22BEB">
        <w:rPr>
          <w:rFonts w:cs="Arial"/>
          <w:color w:val="000000"/>
          <w:szCs w:val="20"/>
        </w:rPr>
        <w:t xml:space="preserve"> and the mean ± SEM of the numeric values in each SARS-CoV-2 group is presented below at 3, 6, and 9 d.p.i., respectively. </w:t>
      </w:r>
      <w:r w:rsidRPr="00C22BEB">
        <w:rPr>
          <w:rFonts w:cs="Arial"/>
          <w:b/>
          <w:color w:val="000000"/>
          <w:szCs w:val="20"/>
        </w:rPr>
        <w:t>(A)</w:t>
      </w:r>
      <w:r w:rsidRPr="00C22BEB">
        <w:rPr>
          <w:rFonts w:cs="Arial"/>
          <w:color w:val="000000"/>
          <w:szCs w:val="20"/>
        </w:rPr>
        <w:t xml:space="preserve"> IL-1β (2.085±0.845, 1.526±0.549, 1.485±0.611), </w:t>
      </w:r>
      <w:r w:rsidRPr="00C22BEB">
        <w:rPr>
          <w:rFonts w:cs="Arial"/>
          <w:b/>
          <w:color w:val="000000"/>
          <w:szCs w:val="20"/>
        </w:rPr>
        <w:t>(B)</w:t>
      </w:r>
      <w:r w:rsidRPr="00C22BEB">
        <w:rPr>
          <w:rFonts w:cs="Arial"/>
          <w:color w:val="000000"/>
          <w:szCs w:val="20"/>
        </w:rPr>
        <w:t xml:space="preserve"> IL-4 (4.897±2.568, 0.538±0.089, 0.565±0.150), </w:t>
      </w:r>
      <w:r w:rsidRPr="00C22BEB">
        <w:rPr>
          <w:rFonts w:cs="Arial"/>
          <w:b/>
          <w:color w:val="000000"/>
          <w:szCs w:val="20"/>
        </w:rPr>
        <w:t>(C)</w:t>
      </w:r>
      <w:r w:rsidRPr="00C22BEB">
        <w:rPr>
          <w:rFonts w:cs="Arial"/>
          <w:color w:val="000000"/>
          <w:szCs w:val="20"/>
        </w:rPr>
        <w:t xml:space="preserve"> IL-6 (2.384±1.185, 0.748±0.312, 0.450±0.084), </w:t>
      </w:r>
      <w:r w:rsidRPr="00C22BEB">
        <w:rPr>
          <w:rFonts w:cs="Arial"/>
          <w:b/>
          <w:color w:val="000000"/>
          <w:szCs w:val="20"/>
        </w:rPr>
        <w:t>(D)</w:t>
      </w:r>
      <w:r w:rsidRPr="00C22BEB">
        <w:rPr>
          <w:rFonts w:cs="Arial"/>
          <w:color w:val="000000"/>
          <w:szCs w:val="20"/>
        </w:rPr>
        <w:t xml:space="preserve"> IL-10 (2.353±1.329, 0.519±0.210, 0.691±0.119), </w:t>
      </w:r>
      <w:r w:rsidRPr="00C22BEB">
        <w:rPr>
          <w:rFonts w:cs="Arial"/>
          <w:b/>
          <w:color w:val="000000"/>
          <w:szCs w:val="20"/>
        </w:rPr>
        <w:t>(E)</w:t>
      </w:r>
      <w:r w:rsidRPr="00C22BEB">
        <w:rPr>
          <w:rFonts w:cs="Arial"/>
          <w:color w:val="000000"/>
          <w:szCs w:val="20"/>
        </w:rPr>
        <w:t xml:space="preserve"> IL-12 (1.772±0.955, 0.429±0.1461, 0.708±0.086), </w:t>
      </w:r>
      <w:r w:rsidRPr="00C22BEB">
        <w:rPr>
          <w:rFonts w:cs="Arial"/>
          <w:b/>
          <w:color w:val="000000"/>
          <w:szCs w:val="20"/>
        </w:rPr>
        <w:t>(F)</w:t>
      </w:r>
      <w:r w:rsidRPr="00C22BEB">
        <w:rPr>
          <w:rFonts w:cs="Arial"/>
          <w:color w:val="000000"/>
          <w:szCs w:val="20"/>
        </w:rPr>
        <w:t xml:space="preserve"> IL-17 (0.43±0.103, 0.627±0.077, 0.907±0.052), </w:t>
      </w:r>
      <w:r w:rsidRPr="00C22BEB">
        <w:rPr>
          <w:rFonts w:cs="Arial"/>
          <w:b/>
          <w:color w:val="000000"/>
          <w:szCs w:val="20"/>
        </w:rPr>
        <w:t>(G)</w:t>
      </w:r>
      <w:r w:rsidRPr="00C22BEB">
        <w:rPr>
          <w:rFonts w:cs="Arial"/>
          <w:color w:val="000000"/>
          <w:szCs w:val="20"/>
        </w:rPr>
        <w:t xml:space="preserve"> IFN-γ (2.701±1.682, 1.791±0.455, 0.972±0.334),</w:t>
      </w:r>
      <w:r w:rsidRPr="00C22BEB">
        <w:rPr>
          <w:rFonts w:cs="Arial"/>
          <w:b/>
          <w:color w:val="000000"/>
          <w:szCs w:val="20"/>
        </w:rPr>
        <w:t xml:space="preserve"> (H)</w:t>
      </w:r>
      <w:r w:rsidRPr="00C22BEB">
        <w:rPr>
          <w:rFonts w:cs="Arial"/>
          <w:color w:val="000000"/>
          <w:szCs w:val="20"/>
        </w:rPr>
        <w:t xml:space="preserve"> iNOS (0.678±0.304, 0.694±0.093, 2.736±0.710), </w:t>
      </w:r>
      <w:r w:rsidRPr="00C22BEB">
        <w:rPr>
          <w:rFonts w:cs="Arial"/>
          <w:b/>
          <w:color w:val="000000"/>
          <w:szCs w:val="20"/>
        </w:rPr>
        <w:t>(I)</w:t>
      </w:r>
      <w:r w:rsidRPr="00C22BEB">
        <w:rPr>
          <w:rFonts w:cs="Arial"/>
          <w:color w:val="000000"/>
          <w:szCs w:val="20"/>
        </w:rPr>
        <w:t xml:space="preserve"> MCP-1 (0.564±0.165, 0.893±0.128, 1.416±0.327), </w:t>
      </w:r>
      <w:r w:rsidRPr="00C22BEB">
        <w:rPr>
          <w:rFonts w:cs="Arial"/>
          <w:b/>
          <w:color w:val="000000"/>
          <w:szCs w:val="20"/>
        </w:rPr>
        <w:t>(J)</w:t>
      </w:r>
      <w:r w:rsidRPr="00C22BEB">
        <w:rPr>
          <w:rFonts w:cs="Arial"/>
          <w:color w:val="000000"/>
          <w:szCs w:val="20"/>
        </w:rPr>
        <w:t xml:space="preserve"> MIP-1α (1.460±0.758, 0.654±0.210, 0.793±0.112), </w:t>
      </w:r>
      <w:r w:rsidRPr="00C22BEB">
        <w:rPr>
          <w:rFonts w:cs="Arial"/>
          <w:b/>
          <w:color w:val="000000"/>
          <w:szCs w:val="20"/>
        </w:rPr>
        <w:t xml:space="preserve">(K) </w:t>
      </w:r>
      <w:r w:rsidRPr="00C22BEB">
        <w:rPr>
          <w:rFonts w:cs="Arial"/>
          <w:color w:val="000000"/>
          <w:szCs w:val="20"/>
        </w:rPr>
        <w:t>PD-L1 (1.397±0.547, 1.043±0.328, 1.044±0.181),</w:t>
      </w:r>
      <w:r w:rsidRPr="00C22BEB">
        <w:rPr>
          <w:rFonts w:cs="Arial"/>
          <w:b/>
          <w:color w:val="000000"/>
          <w:szCs w:val="20"/>
        </w:rPr>
        <w:t xml:space="preserve"> (L) </w:t>
      </w:r>
      <w:r w:rsidRPr="00C22BEB">
        <w:rPr>
          <w:rFonts w:cs="Arial"/>
          <w:color w:val="000000"/>
          <w:szCs w:val="20"/>
        </w:rPr>
        <w:t xml:space="preserve">RANTES (0.918±0.307, 1.126±0.183, 3.199±0.555), </w:t>
      </w:r>
      <w:r w:rsidRPr="00C22BEB">
        <w:rPr>
          <w:rFonts w:cs="Arial"/>
          <w:b/>
          <w:color w:val="000000"/>
          <w:szCs w:val="20"/>
        </w:rPr>
        <w:t>(M)</w:t>
      </w:r>
      <w:r w:rsidRPr="00C22BEB">
        <w:rPr>
          <w:rFonts w:cs="Arial"/>
          <w:color w:val="000000"/>
          <w:szCs w:val="20"/>
        </w:rPr>
        <w:t xml:space="preserve"> TGF-β (1.404±0.161, 1.122±0.040, 0.913±0.0634), </w:t>
      </w:r>
      <w:r w:rsidRPr="00C22BEB">
        <w:rPr>
          <w:rFonts w:cs="Arial"/>
          <w:b/>
          <w:color w:val="000000"/>
          <w:szCs w:val="20"/>
        </w:rPr>
        <w:t xml:space="preserve">(N) </w:t>
      </w:r>
      <w:r w:rsidRPr="00C22BEB">
        <w:rPr>
          <w:rFonts w:cs="Arial"/>
          <w:color w:val="000000"/>
          <w:szCs w:val="20"/>
        </w:rPr>
        <w:t xml:space="preserve">TNF-α (2.625±1.548, 0.498±0.215, 0.645±0.119). Differences among groups were determined using two-way ANOVA with a Bonferroni post hoc test in panels </w:t>
      </w:r>
      <w:r w:rsidRPr="00C22BEB">
        <w:rPr>
          <w:rFonts w:cs="Arial"/>
          <w:b/>
          <w:color w:val="000000"/>
          <w:szCs w:val="20"/>
        </w:rPr>
        <w:t xml:space="preserve">(A-N) </w:t>
      </w:r>
      <w:r w:rsidRPr="00C22BEB">
        <w:rPr>
          <w:rFonts w:cs="Arial"/>
          <w:color w:val="000000"/>
          <w:szCs w:val="20"/>
        </w:rPr>
        <w:t>(*</w:t>
      </w:r>
      <w:r w:rsidRPr="00C22BEB">
        <w:rPr>
          <w:rFonts w:cs="Arial"/>
          <w:i/>
          <w:color w:val="000000"/>
          <w:szCs w:val="20"/>
        </w:rPr>
        <w:t xml:space="preserve">P </w:t>
      </w:r>
      <w:r w:rsidRPr="00C22BEB">
        <w:rPr>
          <w:rFonts w:cs="Arial"/>
          <w:color w:val="000000"/>
          <w:szCs w:val="20"/>
        </w:rPr>
        <w:t>&lt; 0.05; **</w:t>
      </w:r>
      <w:r w:rsidRPr="00C22BEB">
        <w:rPr>
          <w:rFonts w:cs="Arial"/>
          <w:i/>
          <w:color w:val="000000"/>
          <w:szCs w:val="20"/>
        </w:rPr>
        <w:t xml:space="preserve">P </w:t>
      </w:r>
      <w:r w:rsidRPr="00C22BEB">
        <w:rPr>
          <w:rFonts w:cs="Arial"/>
          <w:color w:val="000000"/>
          <w:szCs w:val="20"/>
        </w:rPr>
        <w:t>&lt; 0.01), no significance among groups is not shown.</w:t>
      </w:r>
    </w:p>
    <w:p w:rsidR="00B642FC" w:rsidRDefault="00B642FC" w:rsidP="00B642FC">
      <w:pPr>
        <w:widowControl/>
        <w:rPr>
          <w:szCs w:val="24"/>
        </w:rPr>
      </w:pPr>
      <w:r>
        <w:rPr>
          <w:szCs w:val="24"/>
        </w:rPr>
        <w:br w:type="page"/>
      </w:r>
    </w:p>
    <w:p w:rsidR="00B642FC" w:rsidRDefault="00B642FC">
      <w:r w:rsidRPr="00E31C56">
        <w:rPr>
          <w:noProof/>
          <w:szCs w:val="24"/>
        </w:rPr>
        <w:lastRenderedPageBreak/>
        <w:drawing>
          <wp:inline distT="0" distB="0" distL="0" distR="0" wp14:anchorId="4407A7C4" wp14:editId="74BBE96F">
            <wp:extent cx="5274310" cy="2966720"/>
            <wp:effectExtent l="0" t="0" r="2540" b="5080"/>
            <wp:docPr id="12" name="圖片 12" descr="D:\NHRI 080607\2020 CoV paper\20201222 JCI\20210105 Figures\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HRI 080607\2020 CoV paper\20201222 JCI\20210105 Figures\Figure S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rsidR="00B642FC" w:rsidRDefault="00B642FC" w:rsidP="00B642FC">
      <w:pPr>
        <w:spacing w:line="260" w:lineRule="atLeast"/>
        <w:jc w:val="both"/>
        <w:rPr>
          <w:szCs w:val="24"/>
        </w:rPr>
      </w:pPr>
    </w:p>
    <w:p w:rsidR="00AE32AD" w:rsidRPr="00C22BEB" w:rsidRDefault="00AE32AD" w:rsidP="00AE32AD">
      <w:pPr>
        <w:jc w:val="both"/>
        <w:rPr>
          <w:color w:val="000000"/>
        </w:rPr>
      </w:pPr>
      <w:r w:rsidRPr="00C22BEB">
        <w:rPr>
          <w:b/>
          <w:color w:val="000000"/>
        </w:rPr>
        <w:t xml:space="preserve">Figure S4. Blood </w:t>
      </w:r>
      <w:r w:rsidRPr="00C22BEB">
        <w:rPr>
          <w:rFonts w:hint="eastAsia"/>
          <w:b/>
          <w:color w:val="000000"/>
        </w:rPr>
        <w:t xml:space="preserve">cytokine and </w:t>
      </w:r>
      <w:r w:rsidRPr="00C22BEB">
        <w:rPr>
          <w:b/>
          <w:color w:val="000000"/>
        </w:rPr>
        <w:t xml:space="preserve">chemokine expression in SARS-CoV-2-infected hamsters on day 3 post-infection. </w:t>
      </w:r>
      <w:r w:rsidRPr="00C22BEB">
        <w:rPr>
          <w:color w:val="000000"/>
        </w:rPr>
        <w:t>Hamsters were infected with 5</w:t>
      </w:r>
      <w:r w:rsidRPr="00C22BEB">
        <w:rPr>
          <w:rFonts w:cs="Calibri"/>
          <w:color w:val="000000"/>
        </w:rPr>
        <w:t>×</w:t>
      </w:r>
      <w:r w:rsidRPr="00C22BEB">
        <w:rPr>
          <w:color w:val="000000"/>
        </w:rPr>
        <w:t>10</w:t>
      </w:r>
      <w:r w:rsidRPr="00C22BEB">
        <w:rPr>
          <w:color w:val="000000"/>
          <w:vertAlign w:val="superscript"/>
        </w:rPr>
        <w:t>5</w:t>
      </w:r>
      <w:r w:rsidRPr="00C22BEB">
        <w:rPr>
          <w:color w:val="000000"/>
        </w:rPr>
        <w:t xml:space="preserve"> TCID</w:t>
      </w:r>
      <w:r w:rsidRPr="00C22BEB">
        <w:rPr>
          <w:color w:val="000000"/>
          <w:vertAlign w:val="subscript"/>
        </w:rPr>
        <w:t>50</w:t>
      </w:r>
      <w:r w:rsidRPr="00C22BEB">
        <w:rPr>
          <w:color w:val="000000"/>
        </w:rPr>
        <w:t xml:space="preserve"> of SARS-CoV-2 (n=5 for SARS-CoV-2, and n=3 for non-infected control). On day 3 post-infection, plasma was collected and stored at -80</w:t>
      </w:r>
      <w:r w:rsidRPr="00C22BEB">
        <w:rPr>
          <w:rFonts w:cs="Calibri"/>
          <w:color w:val="000000"/>
        </w:rPr>
        <w:t>°</w:t>
      </w:r>
      <w:r w:rsidRPr="00C22BEB">
        <w:rPr>
          <w:color w:val="000000"/>
        </w:rPr>
        <w:t>C</w:t>
      </w:r>
      <w:r w:rsidRPr="00C22BEB">
        <w:rPr>
          <w:rFonts w:hint="eastAsia"/>
          <w:color w:val="000000"/>
        </w:rPr>
        <w:t xml:space="preserve"> until use.</w:t>
      </w:r>
      <w:r w:rsidRPr="00C22BEB">
        <w:rPr>
          <w:color w:val="000000"/>
        </w:rPr>
        <w:t xml:space="preserve"> The expression levels of cytokines and chemokines were quantified by Multi-Plex immunoassay by the Inflammation Core Facility (</w:t>
      </w:r>
      <w:r w:rsidRPr="00C22BEB">
        <w:rPr>
          <w:rFonts w:eastAsia="標楷體" w:cs="Arial"/>
          <w:color w:val="000000"/>
        </w:rPr>
        <w:t>Institute of Biomedical Sciences, Academia Sinica, Taiwan)</w:t>
      </w:r>
      <w:r w:rsidRPr="00C22BEB">
        <w:rPr>
          <w:color w:val="000000"/>
        </w:rPr>
        <w:t xml:space="preserve">. </w:t>
      </w:r>
      <w:r w:rsidRPr="00C22BEB">
        <w:rPr>
          <w:b/>
          <w:color w:val="000000"/>
        </w:rPr>
        <w:t>(A)</w:t>
      </w:r>
      <w:r w:rsidRPr="00C22BEB">
        <w:rPr>
          <w:color w:val="000000"/>
        </w:rPr>
        <w:t xml:space="preserve"> IL-1</w:t>
      </w:r>
      <w:r w:rsidRPr="00C22BEB">
        <w:rPr>
          <w:rFonts w:cs="Arial"/>
          <w:color w:val="000000"/>
        </w:rPr>
        <w:t>β</w:t>
      </w:r>
      <w:r w:rsidRPr="00C22BEB">
        <w:rPr>
          <w:color w:val="000000"/>
        </w:rPr>
        <w:t xml:space="preserve">. </w:t>
      </w:r>
      <w:r w:rsidRPr="00C22BEB">
        <w:rPr>
          <w:b/>
          <w:color w:val="000000"/>
        </w:rPr>
        <w:t>(B)</w:t>
      </w:r>
      <w:r w:rsidRPr="00C22BEB">
        <w:rPr>
          <w:color w:val="000000"/>
        </w:rPr>
        <w:t xml:space="preserve"> IL-6.</w:t>
      </w:r>
      <w:r w:rsidRPr="00C22BEB">
        <w:rPr>
          <w:b/>
          <w:color w:val="000000"/>
        </w:rPr>
        <w:t xml:space="preserve"> (C)</w:t>
      </w:r>
      <w:r w:rsidRPr="00C22BEB">
        <w:rPr>
          <w:color w:val="000000"/>
        </w:rPr>
        <w:t xml:space="preserve"> IL-12.</w:t>
      </w:r>
      <w:r w:rsidRPr="00C22BEB">
        <w:rPr>
          <w:b/>
          <w:color w:val="000000"/>
        </w:rPr>
        <w:t xml:space="preserve"> (D)</w:t>
      </w:r>
      <w:r w:rsidRPr="00C22BEB">
        <w:rPr>
          <w:color w:val="000000"/>
        </w:rPr>
        <w:t xml:space="preserve"> TNF-</w:t>
      </w:r>
      <w:r w:rsidRPr="00C22BEB">
        <w:rPr>
          <w:rFonts w:cs="Arial"/>
          <w:color w:val="000000"/>
        </w:rPr>
        <w:t>α</w:t>
      </w:r>
      <w:r w:rsidRPr="00C22BEB">
        <w:rPr>
          <w:color w:val="000000"/>
        </w:rPr>
        <w:t>.</w:t>
      </w:r>
      <w:r w:rsidRPr="00C22BEB">
        <w:rPr>
          <w:b/>
          <w:color w:val="000000"/>
        </w:rPr>
        <w:t xml:space="preserve"> (E) </w:t>
      </w:r>
      <w:r w:rsidRPr="00C22BEB">
        <w:rPr>
          <w:color w:val="000000"/>
        </w:rPr>
        <w:t>IFN-</w:t>
      </w:r>
      <w:r w:rsidRPr="00C22BEB">
        <w:rPr>
          <w:rFonts w:cs="Arial"/>
          <w:color w:val="000000"/>
        </w:rPr>
        <w:t>γ</w:t>
      </w:r>
      <w:r w:rsidRPr="00C22BEB">
        <w:rPr>
          <w:color w:val="000000"/>
        </w:rPr>
        <w:t xml:space="preserve">. </w:t>
      </w:r>
      <w:r w:rsidRPr="00C22BEB">
        <w:rPr>
          <w:b/>
          <w:color w:val="000000"/>
        </w:rPr>
        <w:t>(F)</w:t>
      </w:r>
      <w:r w:rsidRPr="00C22BEB">
        <w:rPr>
          <w:color w:val="000000"/>
        </w:rPr>
        <w:t xml:space="preserve"> IL-17. The dotted lines represent the limit of measurement (undetectable). Differences between two groups were determined using a </w:t>
      </w:r>
      <w:r w:rsidRPr="00C22BEB">
        <w:rPr>
          <w:rFonts w:cs="Arial"/>
          <w:color w:val="000000"/>
        </w:rPr>
        <w:t xml:space="preserve">two-tailed unpaired Student’s </w:t>
      </w:r>
      <w:r w:rsidRPr="00C22BEB">
        <w:rPr>
          <w:rFonts w:cs="Arial"/>
          <w:i/>
          <w:color w:val="000000"/>
        </w:rPr>
        <w:t>t</w:t>
      </w:r>
      <w:r w:rsidRPr="00C22BEB">
        <w:rPr>
          <w:rFonts w:cs="Arial"/>
          <w:color w:val="000000"/>
        </w:rPr>
        <w:t xml:space="preserve">-test; </w:t>
      </w:r>
      <w:r w:rsidRPr="00C22BEB">
        <w:rPr>
          <w:color w:val="000000"/>
        </w:rPr>
        <w:t>however, there is no significance among all groups in panels</w:t>
      </w:r>
      <w:r w:rsidRPr="00C22BEB">
        <w:rPr>
          <w:b/>
          <w:color w:val="000000"/>
        </w:rPr>
        <w:t xml:space="preserve"> (A-F)</w:t>
      </w:r>
      <w:r w:rsidRPr="00C22BEB">
        <w:rPr>
          <w:color w:val="000000"/>
        </w:rPr>
        <w:t>.</w:t>
      </w:r>
    </w:p>
    <w:p w:rsidR="00B642FC" w:rsidRPr="00AE32AD" w:rsidRDefault="00B642FC" w:rsidP="00B642FC">
      <w:pPr>
        <w:widowControl/>
      </w:pPr>
      <w:bookmarkStart w:id="0" w:name="_GoBack"/>
      <w:bookmarkEnd w:id="0"/>
    </w:p>
    <w:sectPr w:rsidR="00B642FC" w:rsidRPr="00AE32A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AEB" w:rsidRDefault="00D82AEB" w:rsidP="00E51468">
      <w:r>
        <w:separator/>
      </w:r>
    </w:p>
  </w:endnote>
  <w:endnote w:type="continuationSeparator" w:id="0">
    <w:p w:rsidR="00D82AEB" w:rsidRDefault="00D82AEB" w:rsidP="00E5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AEB" w:rsidRDefault="00D82AEB" w:rsidP="00E51468">
      <w:r>
        <w:separator/>
      </w:r>
    </w:p>
  </w:footnote>
  <w:footnote w:type="continuationSeparator" w:id="0">
    <w:p w:rsidR="00D82AEB" w:rsidRDefault="00D82AEB" w:rsidP="00E514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2FC"/>
    <w:rsid w:val="00195B3C"/>
    <w:rsid w:val="002E6719"/>
    <w:rsid w:val="004A7228"/>
    <w:rsid w:val="004D50E5"/>
    <w:rsid w:val="0065425F"/>
    <w:rsid w:val="006B794D"/>
    <w:rsid w:val="00A0179C"/>
    <w:rsid w:val="00AE32AD"/>
    <w:rsid w:val="00B642FC"/>
    <w:rsid w:val="00D82AEB"/>
    <w:rsid w:val="00E514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57F447-97D9-40C3-BCC2-09276C7E8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1468"/>
    <w:pPr>
      <w:tabs>
        <w:tab w:val="center" w:pos="4153"/>
        <w:tab w:val="right" w:pos="8306"/>
      </w:tabs>
      <w:snapToGrid w:val="0"/>
    </w:pPr>
    <w:rPr>
      <w:sz w:val="20"/>
      <w:szCs w:val="20"/>
    </w:rPr>
  </w:style>
  <w:style w:type="character" w:customStyle="1" w:styleId="a4">
    <w:name w:val="頁首 字元"/>
    <w:basedOn w:val="a0"/>
    <w:link w:val="a3"/>
    <w:uiPriority w:val="99"/>
    <w:rsid w:val="00E51468"/>
    <w:rPr>
      <w:sz w:val="20"/>
      <w:szCs w:val="20"/>
    </w:rPr>
  </w:style>
  <w:style w:type="paragraph" w:styleId="a5">
    <w:name w:val="footer"/>
    <w:basedOn w:val="a"/>
    <w:link w:val="a6"/>
    <w:uiPriority w:val="99"/>
    <w:unhideWhenUsed/>
    <w:rsid w:val="00E51468"/>
    <w:pPr>
      <w:tabs>
        <w:tab w:val="center" w:pos="4153"/>
        <w:tab w:val="right" w:pos="8306"/>
      </w:tabs>
      <w:snapToGrid w:val="0"/>
    </w:pPr>
    <w:rPr>
      <w:sz w:val="20"/>
      <w:szCs w:val="20"/>
    </w:rPr>
  </w:style>
  <w:style w:type="character" w:customStyle="1" w:styleId="a6">
    <w:name w:val="頁尾 字元"/>
    <w:basedOn w:val="a0"/>
    <w:link w:val="a5"/>
    <w:uiPriority w:val="99"/>
    <w:rsid w:val="00E5146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598</Words>
  <Characters>3413</Characters>
  <Application>Microsoft Office Word</Application>
  <DocSecurity>0</DocSecurity>
  <Lines>28</Lines>
  <Paragraphs>8</Paragraphs>
  <ScaleCrop>false</ScaleCrop>
  <Company/>
  <LinksUpToDate>false</LinksUpToDate>
  <CharactersWithSpaces>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2021-07-29T02:58:00Z</dcterms:created>
  <dcterms:modified xsi:type="dcterms:W3CDTF">2021-07-29T02:58:00Z</dcterms:modified>
</cp:coreProperties>
</file>