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191" w:rsidRPr="00A170B1" w:rsidRDefault="00781E62" w:rsidP="00A170B1">
      <w:pPr>
        <w:autoSpaceDE w:val="0"/>
        <w:autoSpaceDN w:val="0"/>
        <w:adjustRightInd w:val="0"/>
        <w:spacing w:line="480" w:lineRule="auto"/>
        <w:rPr>
          <w:rFonts w:ascii="Arial" w:hAnsi="Arial" w:cs="Arial" w:hint="eastAsia"/>
          <w:color w:val="000000"/>
          <w:szCs w:val="21"/>
        </w:rPr>
      </w:pPr>
      <w:r w:rsidRPr="00794CBB">
        <w:rPr>
          <w:rFonts w:ascii="Arial" w:hAnsi="Arial" w:cs="Arial"/>
          <w:b/>
          <w:color w:val="000000"/>
          <w:szCs w:val="21"/>
        </w:rPr>
        <w:t>Supplementary Materials Figure S1.</w:t>
      </w:r>
      <w:r w:rsidRPr="00794CBB">
        <w:rPr>
          <w:rFonts w:ascii="Arial" w:hAnsi="Arial" w:cs="Arial"/>
          <w:color w:val="000000"/>
          <w:szCs w:val="21"/>
        </w:rPr>
        <w:t xml:space="preserve"> Immobilization efficiency curves of aptamer Eppc6 (A) and Eppc14 (B) on GoldMag nanoparticles</w:t>
      </w:r>
      <w:r w:rsidRPr="00794CBB">
        <w:rPr>
          <w:rFonts w:ascii="Arial" w:hAnsi="Arial" w:cs="Arial" w:hint="eastAsia"/>
          <w:color w:val="000000"/>
          <w:szCs w:val="21"/>
        </w:rPr>
        <w:t>.</w:t>
      </w:r>
      <w:r w:rsidRPr="00794CBB">
        <w:rPr>
          <w:rFonts w:ascii="Arial" w:hAnsi="Arial" w:cs="Arial"/>
          <w:color w:val="000000"/>
          <w:szCs w:val="21"/>
        </w:rPr>
        <w:t xml:space="preserve"> </w:t>
      </w:r>
      <w:bookmarkStart w:id="0" w:name="_GoBack"/>
      <w:bookmarkEnd w:id="0"/>
    </w:p>
    <w:sectPr w:rsidR="00784191" w:rsidRPr="00A170B1" w:rsidSect="00867BCE">
      <w:footerReference w:type="default" r:id="rId6"/>
      <w:pgSz w:w="11906" w:h="16838" w:code="9"/>
      <w:pgMar w:top="1701" w:right="1701" w:bottom="1701" w:left="1701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692" w:rsidRDefault="00C82692" w:rsidP="00781E62">
      <w:r>
        <w:separator/>
      </w:r>
    </w:p>
  </w:endnote>
  <w:endnote w:type="continuationSeparator" w:id="0">
    <w:p w:rsidR="00C82692" w:rsidRDefault="00C82692" w:rsidP="0078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9086904"/>
      <w:docPartObj>
        <w:docPartGallery w:val="Page Numbers (Bottom of Page)"/>
        <w:docPartUnique/>
      </w:docPartObj>
    </w:sdtPr>
    <w:sdtEndPr/>
    <w:sdtContent>
      <w:p w:rsidR="00267DCB" w:rsidRDefault="00B825B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0B1" w:rsidRPr="00A170B1">
          <w:rPr>
            <w:noProof/>
            <w:lang w:val="zh-CN"/>
          </w:rPr>
          <w:t>1</w:t>
        </w:r>
        <w:r>
          <w:fldChar w:fldCharType="end"/>
        </w:r>
      </w:p>
    </w:sdtContent>
  </w:sdt>
  <w:p w:rsidR="00267DCB" w:rsidRDefault="00C8269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692" w:rsidRDefault="00C82692" w:rsidP="00781E62">
      <w:r>
        <w:separator/>
      </w:r>
    </w:p>
  </w:footnote>
  <w:footnote w:type="continuationSeparator" w:id="0">
    <w:p w:rsidR="00C82692" w:rsidRDefault="00C82692" w:rsidP="00781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33D"/>
    <w:rsid w:val="001E533D"/>
    <w:rsid w:val="00781E62"/>
    <w:rsid w:val="00784191"/>
    <w:rsid w:val="00A170B1"/>
    <w:rsid w:val="00B825B8"/>
    <w:rsid w:val="00C8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7C935F-C89D-4347-BD86-7F47088B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E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1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1E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1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1E62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781E6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781E6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781E62"/>
  </w:style>
  <w:style w:type="paragraph" w:styleId="a7">
    <w:name w:val="Balloon Text"/>
    <w:basedOn w:val="a"/>
    <w:link w:val="Char2"/>
    <w:uiPriority w:val="99"/>
    <w:semiHidden/>
    <w:unhideWhenUsed/>
    <w:rsid w:val="00781E6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81E62"/>
    <w:rPr>
      <w:sz w:val="18"/>
      <w:szCs w:val="18"/>
    </w:rPr>
  </w:style>
  <w:style w:type="character" w:styleId="a8">
    <w:name w:val="line number"/>
    <w:basedOn w:val="a0"/>
    <w:uiPriority w:val="99"/>
    <w:semiHidden/>
    <w:unhideWhenUsed/>
    <w:rsid w:val="00781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Windows User</Company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2021-07-30T02:41:00Z</dcterms:created>
  <dcterms:modified xsi:type="dcterms:W3CDTF">2021-07-30T02:42:00Z</dcterms:modified>
</cp:coreProperties>
</file>