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b/>
          <w:i/>
          <w:sz w:val="24"/>
          <w:szCs w:val="24"/>
        </w:rPr>
      </w:pPr>
      <w:r>
        <w:rPr>
          <w:b/>
          <w:bCs/>
          <w:sz w:val="24"/>
          <w:szCs w:val="24"/>
        </w:rPr>
        <w:t xml:space="preserve">Appendix 1. </w:t>
      </w:r>
      <w:r>
        <w:rPr>
          <w:b/>
          <w:i/>
          <w:sz w:val="24"/>
          <w:szCs w:val="24"/>
        </w:rPr>
        <w:t>Schematic diagram of mouse experiment</w:t>
      </w:r>
    </w:p>
    <w:p>
      <w:pPr>
        <w:spacing w:line="360" w:lineRule="auto"/>
        <w:outlineLvl w:val="0"/>
        <w:rPr>
          <w:bCs/>
          <w:i/>
          <w:sz w:val="24"/>
          <w:szCs w:val="24"/>
        </w:rPr>
      </w:pPr>
    </w:p>
    <w:p>
      <w:pPr>
        <w:spacing w:line="360" w:lineRule="auto"/>
        <w:outlineLvl w:val="0"/>
        <w:rPr>
          <w:bCs/>
          <w:i/>
          <w:sz w:val="24"/>
          <w:szCs w:val="24"/>
        </w:rPr>
      </w:pPr>
      <w:r>
        <w:object>
          <v:shape id="_x0000_i1025" o:spt="75" alt="" type="#_x0000_t75" style="height:117pt;width:415.2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pPr>
        <w:spacing w:line="360" w:lineRule="auto"/>
        <w:outlineLvl w:val="0"/>
        <w:rPr>
          <w:bCs/>
          <w:i/>
          <w:sz w:val="24"/>
          <w:szCs w:val="24"/>
        </w:rPr>
      </w:pPr>
    </w:p>
    <w:p>
      <w:pPr>
        <w:spacing w:line="360" w:lineRule="auto"/>
        <w:outlineLvl w:val="0"/>
        <w:rPr>
          <w:sz w:val="24"/>
          <w:szCs w:val="24"/>
        </w:rPr>
      </w:pPr>
      <w:r>
        <w:rPr>
          <w:sz w:val="24"/>
          <w:szCs w:val="24"/>
        </w:rPr>
        <w:t xml:space="preserve">The main steps in developing the animal model are shown in the diagram. </w:t>
      </w:r>
    </w:p>
    <w:p>
      <w:pPr>
        <w:spacing w:line="360" w:lineRule="auto"/>
        <w:outlineLvl w:val="0"/>
        <w:rPr>
          <w:sz w:val="24"/>
          <w:szCs w:val="24"/>
        </w:rPr>
      </w:pPr>
    </w:p>
    <w:p>
      <w:pPr>
        <w:spacing w:line="360" w:lineRule="auto"/>
        <w:outlineLvl w:val="0"/>
        <w:rPr>
          <w:bCs/>
          <w:i/>
          <w:sz w:val="24"/>
          <w:szCs w:val="24"/>
        </w:rPr>
      </w:pPr>
      <w:r>
        <w:rPr>
          <w:b/>
          <w:bCs/>
          <w:sz w:val="24"/>
          <w:szCs w:val="24"/>
        </w:rPr>
        <w:t xml:space="preserve">Appendix 2. </w:t>
      </w:r>
      <w:r>
        <w:rPr>
          <w:b/>
          <w:i/>
          <w:sz w:val="24"/>
          <w:szCs w:val="24"/>
        </w:rPr>
        <w:t>Thermal cycling program and primer sequences of qPCR</w:t>
      </w:r>
    </w:p>
    <w:p>
      <w:pPr>
        <w:spacing w:line="360" w:lineRule="auto"/>
        <w:outlineLvl w:val="0"/>
        <w:rPr>
          <w:bCs/>
          <w:sz w:val="24"/>
          <w:szCs w:val="24"/>
        </w:rPr>
      </w:pPr>
      <w:r>
        <w:rPr>
          <w:bCs/>
          <w:sz w:val="24"/>
          <w:szCs w:val="24"/>
        </w:rPr>
        <w:t xml:space="preserve">The following primer sequences were used in PCR: </w:t>
      </w:r>
    </w:p>
    <w:p>
      <w:pPr>
        <w:spacing w:line="360" w:lineRule="auto"/>
        <w:outlineLvl w:val="0"/>
        <w:rPr>
          <w:bCs/>
          <w:sz w:val="24"/>
          <w:szCs w:val="24"/>
        </w:rPr>
      </w:pPr>
      <w:r>
        <w:rPr>
          <w:bCs/>
          <w:sz w:val="24"/>
          <w:szCs w:val="24"/>
        </w:rPr>
        <w:t xml:space="preserve">GAPDH: Forward-5′AGGTCGGTGTGAACGGATTTG3′, Reverse-5′GGGGTCGTTGATGGCAACA3′; </w:t>
      </w:r>
    </w:p>
    <w:p>
      <w:pPr>
        <w:spacing w:line="360" w:lineRule="auto"/>
        <w:outlineLvl w:val="0"/>
        <w:rPr>
          <w:bCs/>
          <w:sz w:val="24"/>
          <w:szCs w:val="24"/>
        </w:rPr>
      </w:pPr>
      <w:r>
        <w:rPr>
          <w:bCs/>
          <w:sz w:val="24"/>
          <w:szCs w:val="24"/>
        </w:rPr>
        <w:t xml:space="preserve">Atg-5: Forward-5′TGTGCTTCGAGATGTGTGGTT3′, Reverse-5′GTCAAATAGCTGACTCTTGGCAA3′; </w:t>
      </w:r>
    </w:p>
    <w:p>
      <w:pPr>
        <w:spacing w:line="360" w:lineRule="auto"/>
        <w:outlineLvl w:val="0"/>
        <w:rPr>
          <w:bCs/>
          <w:sz w:val="24"/>
          <w:szCs w:val="24"/>
        </w:rPr>
      </w:pPr>
      <w:r>
        <w:rPr>
          <w:bCs/>
          <w:sz w:val="24"/>
          <w:szCs w:val="24"/>
        </w:rPr>
        <w:t xml:space="preserve">Beclin-1: Forward-5′ATGGAGGGGTCTAAGGCGTC3′, Reverse-5′TCCTCTCCTGAGTTAGCCTCT3′; </w:t>
      </w:r>
    </w:p>
    <w:p>
      <w:pPr>
        <w:spacing w:line="360" w:lineRule="auto"/>
        <w:outlineLvl w:val="0"/>
        <w:rPr>
          <w:bCs/>
          <w:sz w:val="24"/>
          <w:szCs w:val="24"/>
        </w:rPr>
      </w:pPr>
      <w:r>
        <w:rPr>
          <w:bCs/>
          <w:sz w:val="24"/>
          <w:szCs w:val="24"/>
        </w:rPr>
        <w:t xml:space="preserve">LL37: Forward-5′GCTGTGGCGGTCACTATCAC3′, Reverse-5′TGTCTAGGGACTGCTGGTTGA′; </w:t>
      </w:r>
    </w:p>
    <w:p>
      <w:pPr>
        <w:spacing w:line="360" w:lineRule="auto"/>
        <w:outlineLvl w:val="0"/>
        <w:rPr>
          <w:bCs/>
          <w:sz w:val="24"/>
          <w:szCs w:val="24"/>
        </w:rPr>
      </w:pPr>
      <w:r>
        <w:rPr>
          <w:bCs/>
          <w:sz w:val="24"/>
          <w:szCs w:val="24"/>
        </w:rPr>
        <w:t xml:space="preserve">NF-κB: Forward-5′ATGGCAGACGATGATCCCTAC3′, Reverse-5′TGTTGACAGTGGTATTTCTGGTG3′; </w:t>
      </w:r>
    </w:p>
    <w:p>
      <w:pPr>
        <w:spacing w:line="360" w:lineRule="auto"/>
        <w:outlineLvl w:val="0"/>
        <w:rPr>
          <w:bCs/>
          <w:sz w:val="24"/>
          <w:szCs w:val="24"/>
        </w:rPr>
      </w:pPr>
      <w:r>
        <w:rPr>
          <w:bCs/>
          <w:sz w:val="24"/>
          <w:szCs w:val="24"/>
        </w:rPr>
        <w:t xml:space="preserve">LC3B: Forward-5′TTATAGAGCGATACAAGGGGGAG3′, Reverse-5′CGCCGTCTGATTATCTTGATGAG3′. </w:t>
      </w:r>
    </w:p>
    <w:p>
      <w:pPr>
        <w:spacing w:line="360" w:lineRule="auto"/>
        <w:outlineLvl w:val="0"/>
        <w:rPr>
          <w:bCs/>
          <w:sz w:val="24"/>
          <w:szCs w:val="24"/>
        </w:rPr>
      </w:pPr>
      <w:r>
        <w:rPr>
          <w:bCs/>
          <w:sz w:val="24"/>
          <w:szCs w:val="24"/>
        </w:rPr>
        <w:t>The thermal cycling program of qPCR was as follows:</w:t>
      </w:r>
    </w:p>
    <w:p>
      <w:pPr>
        <w:spacing w:line="360" w:lineRule="auto"/>
        <w:outlineLvl w:val="0"/>
        <w:rPr>
          <w:bCs/>
          <w:sz w:val="24"/>
          <w:szCs w:val="24"/>
        </w:rPr>
      </w:pPr>
      <w:r>
        <w:rPr>
          <w:bCs/>
          <w:sz w:val="24"/>
          <w:szCs w:val="24"/>
        </w:rPr>
        <w:t xml:space="preserve">Step 1: 30 sec at 95°C, Step 2: 40 cycles of 5 sec at 95°C, 30 sec at 60°C (depending upon the primer annealing temperatures) and 30 sec at 72°C. Real-time PCR was carried out using 10 individual samples in duplicate and the threshold cycle values were averaged. Calculation of relative normalized gene expression was done using the BioRad CFX manager software based on the </w:t>
      </w:r>
      <w:r>
        <w:rPr>
          <w:bCs/>
          <w:sz w:val="24"/>
          <w:szCs w:val="24"/>
          <w:vertAlign w:val="subscript"/>
        </w:rPr>
        <w:t>ΔΔ</w:t>
      </w:r>
      <w:r>
        <w:rPr>
          <w:bCs/>
          <w:sz w:val="24"/>
          <w:szCs w:val="24"/>
        </w:rPr>
        <w:t>Ct method. Relative gene expression was normalized to that of glyceraldehyde-3-phosphate dehydrogenase (GAPDH). The results were calculated as relative quantification values (RQ).</w:t>
      </w:r>
    </w:p>
    <w:p>
      <w:pPr>
        <w:spacing w:line="360" w:lineRule="auto"/>
        <w:outlineLvl w:val="0"/>
        <w:rPr>
          <w:bCs/>
          <w:i/>
          <w:sz w:val="24"/>
          <w:szCs w:val="24"/>
        </w:rPr>
      </w:pPr>
    </w:p>
    <w:p>
      <w:pPr>
        <w:spacing w:line="360" w:lineRule="auto"/>
        <w:outlineLvl w:val="0"/>
        <w:rPr>
          <w:b/>
          <w:i/>
          <w:sz w:val="24"/>
          <w:szCs w:val="24"/>
        </w:rPr>
      </w:pPr>
      <w:r>
        <w:rPr>
          <w:b/>
          <w:bCs/>
          <w:sz w:val="24"/>
          <w:szCs w:val="24"/>
        </w:rPr>
        <w:t>T</w:t>
      </w:r>
      <w:r>
        <w:rPr>
          <w:rFonts w:hint="eastAsia"/>
          <w:b/>
          <w:bCs/>
          <w:sz w:val="24"/>
          <w:szCs w:val="24"/>
          <w:lang w:eastAsia="zh-Hans"/>
        </w:rPr>
        <w:t>able</w:t>
      </w:r>
      <w:r>
        <w:rPr>
          <w:b/>
          <w:bCs/>
          <w:sz w:val="24"/>
          <w:szCs w:val="24"/>
        </w:rPr>
        <w:t xml:space="preserve"> 1. </w:t>
      </w:r>
      <w:r>
        <w:rPr>
          <w:b/>
          <w:bCs/>
          <w:i/>
          <w:iCs/>
          <w:sz w:val="24"/>
          <w:szCs w:val="24"/>
        </w:rPr>
        <w:t>B</w:t>
      </w:r>
      <w:r>
        <w:rPr>
          <w:b/>
          <w:i/>
          <w:sz w:val="24"/>
          <w:szCs w:val="24"/>
        </w:rPr>
        <w:t>ody weights of mice</w:t>
      </w:r>
    </w:p>
    <w:tbl>
      <w:tblPr>
        <w:tblStyle w:val="7"/>
        <w:tblW w:w="11361" w:type="dxa"/>
        <w:jc w:val="center"/>
        <w:tblLayout w:type="autofit"/>
        <w:tblCellMar>
          <w:top w:w="0" w:type="dxa"/>
          <w:left w:w="108" w:type="dxa"/>
          <w:bottom w:w="0" w:type="dxa"/>
          <w:right w:w="108" w:type="dxa"/>
        </w:tblCellMar>
      </w:tblPr>
      <w:tblGrid>
        <w:gridCol w:w="1843"/>
        <w:gridCol w:w="1559"/>
        <w:gridCol w:w="1560"/>
        <w:gridCol w:w="1428"/>
        <w:gridCol w:w="425"/>
        <w:gridCol w:w="1559"/>
        <w:gridCol w:w="1428"/>
        <w:gridCol w:w="1559"/>
      </w:tblGrid>
      <w:tr>
        <w:trPr>
          <w:trHeight w:val="276" w:hRule="atLeast"/>
          <w:jc w:val="center"/>
        </w:trPr>
        <w:tc>
          <w:tcPr>
            <w:tcW w:w="1843" w:type="dxa"/>
            <w:tcBorders>
              <w:top w:val="single" w:color="auto" w:sz="8" w:space="0"/>
              <w:left w:val="nil"/>
              <w:bottom w:val="nil"/>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559"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560"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8 weeks</w:t>
            </w:r>
          </w:p>
        </w:tc>
        <w:tc>
          <w:tcPr>
            <w:tcW w:w="1428"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425" w:type="dxa"/>
            <w:tcBorders>
              <w:top w:val="single" w:color="auto" w:sz="8" w:space="0"/>
              <w:left w:val="nil"/>
              <w:bottom w:val="nil"/>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559"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428"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12 weeks</w:t>
            </w:r>
          </w:p>
        </w:tc>
        <w:tc>
          <w:tcPr>
            <w:tcW w:w="1559" w:type="dxa"/>
            <w:tcBorders>
              <w:top w:val="single" w:color="auto" w:sz="8" w:space="0"/>
              <w:left w:val="nil"/>
              <w:bottom w:val="single" w:color="auto" w:sz="4"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r>
      <w:tr>
        <w:trPr>
          <w:trHeight w:val="288" w:hRule="atLeast"/>
          <w:jc w:val="center"/>
        </w:trPr>
        <w:tc>
          <w:tcPr>
            <w:tcW w:w="1843"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559"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Total</w:t>
            </w:r>
          </w:p>
        </w:tc>
        <w:tc>
          <w:tcPr>
            <w:tcW w:w="1560"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Male</w:t>
            </w:r>
          </w:p>
        </w:tc>
        <w:tc>
          <w:tcPr>
            <w:tcW w:w="1428"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Female</w:t>
            </w:r>
          </w:p>
        </w:tc>
        <w:tc>
          <w:tcPr>
            <w:tcW w:w="425"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　</w:t>
            </w:r>
          </w:p>
        </w:tc>
        <w:tc>
          <w:tcPr>
            <w:tcW w:w="1559"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Total</w:t>
            </w:r>
          </w:p>
        </w:tc>
        <w:tc>
          <w:tcPr>
            <w:tcW w:w="1428"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Male</w:t>
            </w:r>
          </w:p>
        </w:tc>
        <w:tc>
          <w:tcPr>
            <w:tcW w:w="1559" w:type="dxa"/>
            <w:tcBorders>
              <w:top w:val="nil"/>
              <w:left w:val="nil"/>
              <w:bottom w:val="single" w:color="auto" w:sz="8" w:space="0"/>
              <w:right w:val="nil"/>
            </w:tcBorders>
            <w:shd w:val="clear" w:color="auto" w:fill="auto"/>
            <w:noWrap/>
            <w:vAlign w:val="bottom"/>
          </w:tcPr>
          <w:p>
            <w:pPr>
              <w:widowControl/>
              <w:spacing w:line="276" w:lineRule="auto"/>
              <w:jc w:val="left"/>
              <w:rPr>
                <w:rFonts w:eastAsia="等线"/>
                <w:color w:val="000000"/>
                <w:kern w:val="0"/>
                <w:sz w:val="24"/>
                <w:szCs w:val="24"/>
              </w:rPr>
            </w:pPr>
            <w:r>
              <w:rPr>
                <w:rFonts w:eastAsia="等线"/>
                <w:color w:val="000000"/>
                <w:kern w:val="0"/>
                <w:sz w:val="24"/>
                <w:szCs w:val="24"/>
              </w:rPr>
              <w:t>Female</w:t>
            </w:r>
          </w:p>
        </w:tc>
      </w:tr>
      <w:tr>
        <w:trPr>
          <w:trHeight w:val="288" w:hRule="atLeast"/>
          <w:jc w:val="center"/>
        </w:trPr>
        <w:tc>
          <w:tcPr>
            <w:tcW w:w="1843" w:type="dxa"/>
            <w:tcBorders>
              <w:top w:val="nil"/>
              <w:left w:val="nil"/>
              <w:bottom w:val="nil"/>
              <w:right w:val="nil"/>
            </w:tcBorders>
            <w:shd w:val="clear" w:color="auto" w:fill="auto"/>
            <w:noWrap/>
            <w:vAlign w:val="bottom"/>
          </w:tcPr>
          <w:p>
            <w:pPr>
              <w:widowControl/>
              <w:spacing w:line="360" w:lineRule="auto"/>
              <w:rPr>
                <w:rFonts w:eastAsia="等线"/>
                <w:kern w:val="0"/>
                <w:sz w:val="24"/>
                <w:szCs w:val="24"/>
              </w:rPr>
            </w:pPr>
            <w:r>
              <w:rPr>
                <w:rFonts w:eastAsia="等线"/>
                <w:kern w:val="0"/>
                <w:sz w:val="24"/>
                <w:szCs w:val="24"/>
              </w:rPr>
              <w:t>NVD (g)</w:t>
            </w:r>
          </w:p>
        </w:tc>
        <w:tc>
          <w:tcPr>
            <w:tcW w:w="1559"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22.59±3.28  (n=11)</w:t>
            </w:r>
          </w:p>
        </w:tc>
        <w:tc>
          <w:tcPr>
            <w:tcW w:w="1560"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24.26±2.34 (n=6)</w:t>
            </w:r>
          </w:p>
        </w:tc>
        <w:tc>
          <w:tcPr>
            <w:tcW w:w="1428"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20.23±1.60 (n=5)</w:t>
            </w:r>
          </w:p>
        </w:tc>
        <w:tc>
          <w:tcPr>
            <w:tcW w:w="425"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26.31±3.85 (n=7)</w:t>
            </w:r>
          </w:p>
        </w:tc>
        <w:tc>
          <w:tcPr>
            <w:tcW w:w="1428"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29.25±1.10 (n=4)</w:t>
            </w: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22.38±1.48 (n=3)</w:t>
            </w:r>
          </w:p>
        </w:tc>
      </w:tr>
      <w:tr>
        <w:trPr>
          <w:trHeight w:val="300" w:hRule="atLeast"/>
          <w:jc w:val="center"/>
        </w:trPr>
        <w:tc>
          <w:tcPr>
            <w:tcW w:w="1843"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r>
              <w:rPr>
                <w:rFonts w:eastAsia="等线"/>
                <w:kern w:val="0"/>
                <w:sz w:val="24"/>
                <w:szCs w:val="24"/>
              </w:rPr>
              <w:t>LVD (g)</w:t>
            </w:r>
          </w:p>
        </w:tc>
        <w:tc>
          <w:tcPr>
            <w:tcW w:w="1559"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22.37±3.04 (n=12)</w:t>
            </w:r>
          </w:p>
        </w:tc>
        <w:tc>
          <w:tcPr>
            <w:tcW w:w="1560"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25.10±2.19 (n=5)</w:t>
            </w:r>
          </w:p>
        </w:tc>
        <w:tc>
          <w:tcPr>
            <w:tcW w:w="1428"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20.42±1.76 (n=7)</w:t>
            </w:r>
          </w:p>
        </w:tc>
        <w:tc>
          <w:tcPr>
            <w:tcW w:w="425"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27.06±4.84 (n=8)</w:t>
            </w:r>
          </w:p>
        </w:tc>
        <w:tc>
          <w:tcPr>
            <w:tcW w:w="1428"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31.20±1.84 (n=4)</w:t>
            </w: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22.92±2.34 (n=4)</w:t>
            </w:r>
          </w:p>
        </w:tc>
      </w:tr>
      <w:tr>
        <w:trPr>
          <w:trHeight w:val="288" w:hRule="atLeast"/>
          <w:jc w:val="center"/>
        </w:trPr>
        <w:tc>
          <w:tcPr>
            <w:tcW w:w="1843"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r>
              <w:rPr>
                <w:rFonts w:eastAsia="等线"/>
                <w:kern w:val="0"/>
                <w:sz w:val="24"/>
                <w:szCs w:val="24"/>
              </w:rPr>
              <w:t>HVD (g)</w:t>
            </w:r>
          </w:p>
        </w:tc>
        <w:tc>
          <w:tcPr>
            <w:tcW w:w="1559"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22.32±3.32  (n=12)</w:t>
            </w:r>
          </w:p>
        </w:tc>
        <w:tc>
          <w:tcPr>
            <w:tcW w:w="1560"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24.69±2.90 (n=6)</w:t>
            </w:r>
          </w:p>
        </w:tc>
        <w:tc>
          <w:tcPr>
            <w:tcW w:w="1428"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19.95±1.55 (n=6)</w:t>
            </w:r>
          </w:p>
        </w:tc>
        <w:tc>
          <w:tcPr>
            <w:tcW w:w="425"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26.43±3.82 (n=9)</w:t>
            </w:r>
          </w:p>
        </w:tc>
        <w:tc>
          <w:tcPr>
            <w:tcW w:w="1428"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29.19±2.14 (n=5)</w:t>
            </w: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22.98±2.42 (n=4)</w:t>
            </w:r>
          </w:p>
        </w:tc>
      </w:tr>
      <w:tr>
        <w:trPr>
          <w:trHeight w:val="288" w:hRule="atLeast"/>
          <w:jc w:val="center"/>
        </w:trPr>
        <w:tc>
          <w:tcPr>
            <w:tcW w:w="1843"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r>
              <w:rPr>
                <w:rFonts w:eastAsia="等线"/>
                <w:kern w:val="0"/>
                <w:sz w:val="24"/>
                <w:szCs w:val="24"/>
              </w:rPr>
              <w:t>NVD+OVA (g)</w:t>
            </w:r>
          </w:p>
        </w:tc>
        <w:tc>
          <w:tcPr>
            <w:tcW w:w="1559"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22.55±3.34  (n=10)</w:t>
            </w:r>
          </w:p>
        </w:tc>
        <w:tc>
          <w:tcPr>
            <w:tcW w:w="1560"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25.11±2.17 (n=5)</w:t>
            </w:r>
          </w:p>
        </w:tc>
        <w:tc>
          <w:tcPr>
            <w:tcW w:w="1428"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19.98±2.00 (n=5)</w:t>
            </w:r>
          </w:p>
        </w:tc>
        <w:tc>
          <w:tcPr>
            <w:tcW w:w="425"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27.06±3.95 (n=7)</w:t>
            </w:r>
          </w:p>
        </w:tc>
        <w:tc>
          <w:tcPr>
            <w:tcW w:w="1428"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29.68±2.69 (n=4)</w:t>
            </w: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23.57±2.02 (n=3)</w:t>
            </w:r>
          </w:p>
        </w:tc>
      </w:tr>
      <w:tr>
        <w:trPr>
          <w:trHeight w:val="288" w:hRule="atLeast"/>
          <w:jc w:val="center"/>
        </w:trPr>
        <w:tc>
          <w:tcPr>
            <w:tcW w:w="1843"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r>
              <w:rPr>
                <w:rFonts w:eastAsia="等线"/>
                <w:kern w:val="0"/>
                <w:sz w:val="24"/>
                <w:szCs w:val="24"/>
              </w:rPr>
              <w:t>LVD+OVA (g)</w:t>
            </w:r>
          </w:p>
        </w:tc>
        <w:tc>
          <w:tcPr>
            <w:tcW w:w="1559"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23.04±3.83 (n=10)</w:t>
            </w:r>
          </w:p>
        </w:tc>
        <w:tc>
          <w:tcPr>
            <w:tcW w:w="1560"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26.18±2.57 (n=5)</w:t>
            </w:r>
          </w:p>
        </w:tc>
        <w:tc>
          <w:tcPr>
            <w:tcW w:w="1428" w:type="dxa"/>
            <w:tcBorders>
              <w:top w:val="nil"/>
              <w:left w:val="nil"/>
              <w:bottom w:val="nil"/>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19.90±1.32 (n=5)</w:t>
            </w:r>
          </w:p>
        </w:tc>
        <w:tc>
          <w:tcPr>
            <w:tcW w:w="425" w:type="dxa"/>
            <w:tcBorders>
              <w:top w:val="nil"/>
              <w:left w:val="nil"/>
              <w:bottom w:val="nil"/>
              <w:right w:val="nil"/>
            </w:tcBorders>
            <w:shd w:val="clear" w:color="auto" w:fill="auto"/>
            <w:noWrap/>
            <w:vAlign w:val="bottom"/>
          </w:tcPr>
          <w:p>
            <w:pPr>
              <w:widowControl/>
              <w:spacing w:line="360" w:lineRule="auto"/>
              <w:jc w:val="left"/>
              <w:rPr>
                <w:rFonts w:eastAsia="等线"/>
                <w:kern w:val="0"/>
                <w:sz w:val="24"/>
                <w:szCs w:val="24"/>
              </w:rPr>
            </w:pP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25.91±4.27 (n=7)</w:t>
            </w:r>
          </w:p>
        </w:tc>
        <w:tc>
          <w:tcPr>
            <w:tcW w:w="1428"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28.53±3.30 (n=4)</w:t>
            </w:r>
          </w:p>
        </w:tc>
        <w:tc>
          <w:tcPr>
            <w:tcW w:w="1559" w:type="dxa"/>
            <w:tcBorders>
              <w:top w:val="nil"/>
              <w:left w:val="nil"/>
              <w:bottom w:val="nil"/>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22.42±2.54 (n=3)</w:t>
            </w:r>
          </w:p>
        </w:tc>
      </w:tr>
      <w:tr>
        <w:trPr>
          <w:trHeight w:val="300" w:hRule="atLeast"/>
          <w:jc w:val="center"/>
        </w:trPr>
        <w:tc>
          <w:tcPr>
            <w:tcW w:w="1843" w:type="dxa"/>
            <w:tcBorders>
              <w:top w:val="nil"/>
              <w:left w:val="nil"/>
              <w:bottom w:val="single" w:color="auto" w:sz="8" w:space="0"/>
              <w:right w:val="nil"/>
            </w:tcBorders>
            <w:shd w:val="clear" w:color="auto" w:fill="auto"/>
            <w:noWrap/>
            <w:vAlign w:val="bottom"/>
          </w:tcPr>
          <w:p>
            <w:pPr>
              <w:widowControl/>
              <w:spacing w:line="360" w:lineRule="auto"/>
              <w:jc w:val="left"/>
              <w:rPr>
                <w:rFonts w:eastAsia="等线"/>
                <w:kern w:val="0"/>
                <w:sz w:val="24"/>
                <w:szCs w:val="24"/>
              </w:rPr>
            </w:pPr>
            <w:r>
              <w:rPr>
                <w:rFonts w:eastAsia="等线"/>
                <w:kern w:val="0"/>
                <w:sz w:val="24"/>
                <w:szCs w:val="24"/>
              </w:rPr>
              <w:t>HVD+OVA (g)</w:t>
            </w:r>
          </w:p>
        </w:tc>
        <w:tc>
          <w:tcPr>
            <w:tcW w:w="1559" w:type="dxa"/>
            <w:tcBorders>
              <w:top w:val="nil"/>
              <w:left w:val="nil"/>
              <w:bottom w:val="single" w:color="auto" w:sz="8" w:space="0"/>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 xml:space="preserve">22.59±3.50 (n=10) </w:t>
            </w:r>
          </w:p>
        </w:tc>
        <w:tc>
          <w:tcPr>
            <w:tcW w:w="1560" w:type="dxa"/>
            <w:tcBorders>
              <w:top w:val="nil"/>
              <w:left w:val="nil"/>
              <w:bottom w:val="single" w:color="auto" w:sz="8" w:space="0"/>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25.01±2.94 (n=5)</w:t>
            </w:r>
          </w:p>
        </w:tc>
        <w:tc>
          <w:tcPr>
            <w:tcW w:w="1428" w:type="dxa"/>
            <w:tcBorders>
              <w:top w:val="nil"/>
              <w:left w:val="nil"/>
              <w:bottom w:val="single" w:color="auto" w:sz="8" w:space="0"/>
              <w:right w:val="nil"/>
            </w:tcBorders>
            <w:shd w:val="clear" w:color="auto" w:fill="auto"/>
            <w:noWrap/>
            <w:vAlign w:val="center"/>
          </w:tcPr>
          <w:p>
            <w:pPr>
              <w:widowControl/>
              <w:spacing w:line="360" w:lineRule="auto"/>
              <w:jc w:val="left"/>
              <w:rPr>
                <w:rFonts w:eastAsia="等线"/>
                <w:kern w:val="0"/>
                <w:sz w:val="24"/>
                <w:szCs w:val="24"/>
              </w:rPr>
            </w:pPr>
            <w:r>
              <w:rPr>
                <w:rFonts w:eastAsia="等线"/>
                <w:color w:val="000000"/>
                <w:sz w:val="24"/>
                <w:szCs w:val="24"/>
              </w:rPr>
              <w:t>20.17±2.06 (n=5)</w:t>
            </w:r>
          </w:p>
        </w:tc>
        <w:tc>
          <w:tcPr>
            <w:tcW w:w="425" w:type="dxa"/>
            <w:tcBorders>
              <w:top w:val="nil"/>
              <w:left w:val="nil"/>
              <w:bottom w:val="single" w:color="auto" w:sz="8" w:space="0"/>
              <w:right w:val="nil"/>
            </w:tcBorders>
            <w:shd w:val="clear" w:color="auto" w:fill="auto"/>
            <w:noWrap/>
            <w:vAlign w:val="bottom"/>
          </w:tcPr>
          <w:p>
            <w:pPr>
              <w:widowControl/>
              <w:spacing w:line="360" w:lineRule="auto"/>
              <w:jc w:val="left"/>
              <w:rPr>
                <w:rFonts w:eastAsia="等线"/>
                <w:b/>
                <w:bCs/>
                <w:kern w:val="0"/>
                <w:sz w:val="24"/>
                <w:szCs w:val="24"/>
              </w:rPr>
            </w:pPr>
          </w:p>
        </w:tc>
        <w:tc>
          <w:tcPr>
            <w:tcW w:w="1559" w:type="dxa"/>
            <w:tcBorders>
              <w:top w:val="nil"/>
              <w:left w:val="nil"/>
              <w:bottom w:val="single" w:color="auto" w:sz="8" w:space="0"/>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26.57±2.78 (n=7)</w:t>
            </w:r>
          </w:p>
        </w:tc>
        <w:tc>
          <w:tcPr>
            <w:tcW w:w="1428" w:type="dxa"/>
            <w:tcBorders>
              <w:top w:val="nil"/>
              <w:left w:val="nil"/>
              <w:bottom w:val="single" w:color="auto" w:sz="8" w:space="0"/>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28.65±1.18 (n=4)</w:t>
            </w:r>
          </w:p>
        </w:tc>
        <w:tc>
          <w:tcPr>
            <w:tcW w:w="1559" w:type="dxa"/>
            <w:tcBorders>
              <w:top w:val="nil"/>
              <w:left w:val="nil"/>
              <w:bottom w:val="single" w:color="auto" w:sz="8" w:space="0"/>
              <w:right w:val="nil"/>
            </w:tcBorders>
            <w:shd w:val="clear" w:color="auto" w:fill="auto"/>
            <w:noWrap/>
            <w:vAlign w:val="bottom"/>
          </w:tcPr>
          <w:p>
            <w:pPr>
              <w:widowControl/>
              <w:spacing w:line="360" w:lineRule="auto"/>
              <w:jc w:val="left"/>
              <w:rPr>
                <w:rFonts w:eastAsia="等线"/>
                <w:color w:val="000000"/>
                <w:sz w:val="24"/>
                <w:szCs w:val="24"/>
              </w:rPr>
            </w:pPr>
            <w:r>
              <w:rPr>
                <w:rFonts w:eastAsia="等线"/>
                <w:color w:val="000000"/>
                <w:sz w:val="24"/>
                <w:szCs w:val="24"/>
              </w:rPr>
              <w:t>23.78±0.89 (n=3)</w:t>
            </w:r>
          </w:p>
        </w:tc>
      </w:tr>
      <w:tr>
        <w:trPr>
          <w:trHeight w:val="288" w:hRule="atLeast"/>
          <w:jc w:val="center"/>
        </w:trPr>
        <w:tc>
          <w:tcPr>
            <w:tcW w:w="4962" w:type="dxa"/>
            <w:gridSpan w:val="3"/>
            <w:tcBorders>
              <w:top w:val="nil"/>
              <w:left w:val="nil"/>
              <w:bottom w:val="nil"/>
              <w:right w:val="nil"/>
            </w:tcBorders>
            <w:shd w:val="clear" w:color="auto" w:fill="auto"/>
            <w:noWrap/>
            <w:vAlign w:val="bottom"/>
          </w:tcPr>
          <w:p>
            <w:pPr>
              <w:widowControl/>
              <w:jc w:val="left"/>
              <w:rPr>
                <w:rFonts w:eastAsia="等线"/>
                <w:color w:val="000000"/>
                <w:kern w:val="0"/>
                <w:sz w:val="24"/>
                <w:szCs w:val="24"/>
              </w:rPr>
            </w:pPr>
            <w:r>
              <w:rPr>
                <w:rFonts w:eastAsia="等线"/>
                <w:color w:val="000000"/>
                <w:kern w:val="0"/>
                <w:sz w:val="24"/>
                <w:szCs w:val="24"/>
              </w:rPr>
              <w:t>Data were expressed as mean ± SD</w:t>
            </w:r>
          </w:p>
        </w:tc>
        <w:tc>
          <w:tcPr>
            <w:tcW w:w="1428" w:type="dxa"/>
            <w:tcBorders>
              <w:top w:val="nil"/>
              <w:left w:val="nil"/>
              <w:bottom w:val="nil"/>
              <w:right w:val="nil"/>
            </w:tcBorders>
            <w:shd w:val="clear" w:color="auto" w:fill="auto"/>
            <w:noWrap/>
            <w:vAlign w:val="bottom"/>
          </w:tcPr>
          <w:p>
            <w:pPr>
              <w:widowControl/>
              <w:jc w:val="left"/>
              <w:rPr>
                <w:rFonts w:eastAsia="等线"/>
                <w:color w:val="000000"/>
                <w:kern w:val="0"/>
                <w:sz w:val="24"/>
                <w:szCs w:val="24"/>
              </w:rPr>
            </w:pPr>
          </w:p>
        </w:tc>
        <w:tc>
          <w:tcPr>
            <w:tcW w:w="425" w:type="dxa"/>
            <w:tcBorders>
              <w:top w:val="nil"/>
              <w:left w:val="nil"/>
              <w:bottom w:val="nil"/>
              <w:right w:val="nil"/>
            </w:tcBorders>
            <w:shd w:val="clear" w:color="auto" w:fill="auto"/>
            <w:noWrap/>
            <w:vAlign w:val="bottom"/>
          </w:tcPr>
          <w:p>
            <w:pPr>
              <w:widowControl/>
              <w:jc w:val="left"/>
              <w:rPr>
                <w:rFonts w:eastAsia="Times New Roman"/>
                <w:kern w:val="0"/>
                <w:sz w:val="24"/>
                <w:szCs w:val="24"/>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4"/>
                <w:szCs w:val="24"/>
              </w:rPr>
            </w:pPr>
          </w:p>
        </w:tc>
        <w:tc>
          <w:tcPr>
            <w:tcW w:w="1428" w:type="dxa"/>
            <w:tcBorders>
              <w:top w:val="nil"/>
              <w:left w:val="nil"/>
              <w:bottom w:val="nil"/>
              <w:right w:val="nil"/>
            </w:tcBorders>
            <w:shd w:val="clear" w:color="auto" w:fill="auto"/>
            <w:noWrap/>
            <w:vAlign w:val="bottom"/>
          </w:tcPr>
          <w:p>
            <w:pPr>
              <w:widowControl/>
              <w:jc w:val="left"/>
              <w:rPr>
                <w:rFonts w:eastAsia="Times New Roman"/>
                <w:kern w:val="0"/>
                <w:sz w:val="24"/>
                <w:szCs w:val="24"/>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4"/>
                <w:szCs w:val="24"/>
              </w:rPr>
            </w:pPr>
          </w:p>
        </w:tc>
      </w:tr>
      <w:tr>
        <w:trPr>
          <w:trHeight w:val="276" w:hRule="atLeast"/>
          <w:jc w:val="center"/>
        </w:trPr>
        <w:tc>
          <w:tcPr>
            <w:tcW w:w="11361" w:type="dxa"/>
            <w:gridSpan w:val="8"/>
            <w:tcBorders>
              <w:top w:val="nil"/>
              <w:left w:val="nil"/>
              <w:bottom w:val="nil"/>
            </w:tcBorders>
            <w:shd w:val="clear" w:color="auto" w:fill="auto"/>
            <w:noWrap/>
            <w:vAlign w:val="bottom"/>
          </w:tcPr>
          <w:p>
            <w:pPr>
              <w:widowControl/>
              <w:jc w:val="left"/>
              <w:rPr>
                <w:rFonts w:eastAsia="等线"/>
                <w:color w:val="000000"/>
                <w:kern w:val="0"/>
                <w:sz w:val="24"/>
                <w:szCs w:val="24"/>
              </w:rPr>
            </w:pPr>
            <w:r>
              <w:rPr>
                <w:rFonts w:eastAsia="等线"/>
                <w:color w:val="000000"/>
                <w:kern w:val="0"/>
                <w:sz w:val="24"/>
                <w:szCs w:val="24"/>
              </w:rPr>
              <w:t xml:space="preserve">There is no statistical difference in body weight </w:t>
            </w:r>
            <w:r>
              <w:rPr>
                <w:rFonts w:eastAsia="等线"/>
                <w:color w:val="000000"/>
                <w:kern w:val="0"/>
                <w:sz w:val="24"/>
                <w:szCs w:val="24"/>
              </w:rPr>
              <w:t>among</w:t>
            </w:r>
            <w:r>
              <w:rPr>
                <w:rFonts w:eastAsia="等线"/>
                <w:color w:val="000000"/>
                <w:kern w:val="0"/>
                <w:sz w:val="24"/>
                <w:szCs w:val="24"/>
              </w:rPr>
              <w:t xml:space="preserve"> </w:t>
            </w:r>
            <w:r>
              <w:rPr>
                <w:rFonts w:eastAsia="等线"/>
                <w:color w:val="000000"/>
                <w:kern w:val="0"/>
                <w:sz w:val="24"/>
                <w:szCs w:val="24"/>
              </w:rPr>
              <w:t xml:space="preserve">the six </w:t>
            </w:r>
            <w:bookmarkStart w:id="0" w:name="_GoBack"/>
            <w:bookmarkEnd w:id="0"/>
            <w:r>
              <w:rPr>
                <w:rFonts w:eastAsia="等线"/>
                <w:color w:val="000000"/>
                <w:kern w:val="0"/>
                <w:sz w:val="24"/>
                <w:szCs w:val="24"/>
              </w:rPr>
              <w:t>groups at 8 weeks old or 12 weeks old (</w:t>
            </w:r>
            <w:r>
              <w:rPr>
                <w:rFonts w:eastAsia="等线"/>
                <w:i/>
                <w:iCs/>
                <w:color w:val="000000"/>
                <w:kern w:val="0"/>
                <w:sz w:val="24"/>
                <w:szCs w:val="24"/>
              </w:rPr>
              <w:t>P</w:t>
            </w:r>
            <w:r>
              <w:rPr>
                <w:rFonts w:eastAsia="等线"/>
                <w:color w:val="000000"/>
                <w:kern w:val="0"/>
                <w:sz w:val="24"/>
                <w:szCs w:val="24"/>
              </w:rPr>
              <w:t xml:space="preserve"> &gt; 0.05)</w:t>
            </w:r>
          </w:p>
          <w:p>
            <w:pPr>
              <w:widowControl/>
              <w:jc w:val="left"/>
              <w:rPr>
                <w:rFonts w:eastAsia="等线"/>
                <w:color w:val="000000"/>
                <w:kern w:val="0"/>
                <w:sz w:val="24"/>
                <w:szCs w:val="24"/>
              </w:rPr>
            </w:pPr>
            <w:r>
              <w:rPr>
                <w:rFonts w:eastAsia="等线"/>
                <w:color w:val="000000"/>
                <w:kern w:val="0"/>
                <w:sz w:val="24"/>
                <w:szCs w:val="24"/>
              </w:rPr>
              <w:t xml:space="preserve">There was no significant difference in the proportion of male and female offspring </w:t>
            </w:r>
            <w:r>
              <w:rPr>
                <w:rFonts w:eastAsia="等线"/>
                <w:color w:val="000000"/>
                <w:kern w:val="0"/>
                <w:sz w:val="24"/>
                <w:szCs w:val="24"/>
              </w:rPr>
              <w:t>among</w:t>
            </w:r>
            <w:r>
              <w:rPr>
                <w:rFonts w:eastAsia="等线"/>
                <w:color w:val="000000"/>
                <w:kern w:val="0"/>
                <w:sz w:val="24"/>
                <w:szCs w:val="24"/>
              </w:rPr>
              <w:t xml:space="preserve"> the groups (</w:t>
            </w:r>
            <w:r>
              <w:rPr>
                <w:rFonts w:eastAsia="等线"/>
                <w:i/>
                <w:iCs/>
                <w:color w:val="000000"/>
                <w:kern w:val="0"/>
                <w:sz w:val="24"/>
                <w:szCs w:val="24"/>
              </w:rPr>
              <w:t>P</w:t>
            </w:r>
            <w:r>
              <w:rPr>
                <w:rFonts w:eastAsia="等线"/>
                <w:color w:val="000000"/>
                <w:kern w:val="0"/>
                <w:sz w:val="24"/>
                <w:szCs w:val="24"/>
              </w:rPr>
              <w:t xml:space="preserve"> &gt; 0.05)</w:t>
            </w:r>
          </w:p>
          <w:p>
            <w:pPr>
              <w:widowControl/>
              <w:jc w:val="left"/>
              <w:rPr>
                <w:rFonts w:eastAsia="Times New Roman"/>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F94230"/>
    <w:rsid w:val="00051772"/>
    <w:rsid w:val="001C0476"/>
    <w:rsid w:val="001D408A"/>
    <w:rsid w:val="00212C00"/>
    <w:rsid w:val="002C04DB"/>
    <w:rsid w:val="004F464E"/>
    <w:rsid w:val="008968DD"/>
    <w:rsid w:val="009F3914"/>
    <w:rsid w:val="00D011AE"/>
    <w:rsid w:val="00D90F04"/>
    <w:rsid w:val="599F47F4"/>
    <w:rsid w:val="AFBB3DF9"/>
    <w:rsid w:val="F4F9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uiPriority w:val="0"/>
    <w:rPr>
      <w:sz w:val="21"/>
      <w:szCs w:val="21"/>
    </w:rPr>
  </w:style>
  <w:style w:type="character" w:customStyle="1" w:styleId="8">
    <w:name w:val="页眉 字符"/>
    <w:basedOn w:val="5"/>
    <w:link w:val="4"/>
    <w:qFormat/>
    <w:uiPriority w:val="0"/>
    <w:rPr>
      <w:kern w:val="2"/>
      <w:sz w:val="18"/>
      <w:szCs w:val="18"/>
    </w:rPr>
  </w:style>
  <w:style w:type="character" w:customStyle="1" w:styleId="9">
    <w:name w:val="页脚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359</Words>
  <Characters>2049</Characters>
  <Lines>17</Lines>
  <Paragraphs>4</Paragraphs>
  <TotalTime>0</TotalTime>
  <ScaleCrop>false</ScaleCrop>
  <LinksUpToDate>false</LinksUpToDate>
  <CharactersWithSpaces>2404</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2021-08-08T21:55:00Z</dcterms:created>
  <dc:creator>xueyishu</dc:creator>
  <cp:lastModifiedBy>xueyishu</cp:lastModifiedBy>
  <dcterms:modified xsi:type="dcterms:W3CDTF">2021-08-09T12:48:23Z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