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Supporting Information</w:t>
      </w:r>
    </w:p>
    <w:p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Levofloxacin-loaded Nanosonosensitizer as a Highly Efficient Therapy for Bacillus Calmette-Guérin Infections Based on Bacteria-specific L</w:t>
      </w:r>
      <w:r>
        <w:rPr>
          <w:rFonts w:ascii="Times New Roman" w:hAnsi="Times New Roman" w:eastAsia="Segoe UI" w:cs="Times New Roman"/>
          <w:b/>
          <w:bCs/>
          <w:color w:val="212121"/>
          <w:sz w:val="30"/>
          <w:szCs w:val="30"/>
          <w:shd w:val="clear" w:color="auto" w:fill="FFFFFF"/>
        </w:rPr>
        <w:t>abeling</w:t>
      </w:r>
      <w:r>
        <w:rPr>
          <w:rFonts w:ascii="Times New Roman" w:hAnsi="Times New Roman" w:eastAsia="宋体" w:cs="Times New Roman"/>
          <w:b/>
          <w:bCs/>
          <w:color w:val="212121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eastAsia="Segoe UI" w:cs="Times New Roman"/>
          <w:b/>
          <w:bCs/>
          <w:color w:val="212121"/>
          <w:sz w:val="30"/>
          <w:szCs w:val="30"/>
          <w:shd w:val="clear" w:color="auto" w:fill="FFFFFF"/>
        </w:rPr>
        <w:t xml:space="preserve">and </w:t>
      </w:r>
      <w:r>
        <w:rPr>
          <w:rFonts w:ascii="Times New Roman" w:hAnsi="Times New Roman" w:eastAsia="宋体" w:cs="Times New Roman"/>
          <w:b/>
          <w:bCs/>
          <w:color w:val="212121"/>
          <w:sz w:val="30"/>
          <w:szCs w:val="30"/>
          <w:shd w:val="clear" w:color="auto" w:fill="FFFFFF"/>
        </w:rPr>
        <w:t>S</w:t>
      </w:r>
      <w:r>
        <w:rPr>
          <w:rFonts w:ascii="Times New Roman" w:hAnsi="Times New Roman" w:eastAsia="Segoe UI" w:cs="Times New Roman"/>
          <w:b/>
          <w:bCs/>
          <w:color w:val="212121"/>
          <w:sz w:val="30"/>
          <w:szCs w:val="30"/>
          <w:shd w:val="clear" w:color="auto" w:fill="FFFFFF"/>
        </w:rPr>
        <w:t xml:space="preserve">onotheranostic </w:t>
      </w:r>
      <w:r>
        <w:rPr>
          <w:rFonts w:ascii="Times New Roman" w:hAnsi="Times New Roman" w:eastAsia="宋体" w:cs="Times New Roman"/>
          <w:b/>
          <w:bCs/>
          <w:color w:val="212121"/>
          <w:sz w:val="30"/>
          <w:szCs w:val="30"/>
          <w:shd w:val="clear" w:color="auto" w:fill="FFFFFF"/>
        </w:rPr>
        <w:t>S</w:t>
      </w:r>
      <w:r>
        <w:rPr>
          <w:rFonts w:ascii="Times New Roman" w:hAnsi="Times New Roman" w:eastAsia="Segoe UI" w:cs="Times New Roman"/>
          <w:b/>
          <w:bCs/>
          <w:color w:val="212121"/>
          <w:sz w:val="30"/>
          <w:szCs w:val="30"/>
          <w:shd w:val="clear" w:color="auto" w:fill="FFFFFF"/>
        </w:rPr>
        <w:t>trategy</w:t>
      </w:r>
    </w:p>
    <w:p>
      <w:pPr>
        <w:widowControl/>
        <w:spacing w:line="360" w:lineRule="auto"/>
        <w:rPr>
          <w:rFonts w:ascii="Times New Roman" w:hAnsi="Times New Roman" w:eastAsia="宋体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>Gangjing Li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vertAlign w:val="superscript"/>
        </w:rPr>
        <w:t xml:space="preserve">a,b 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Jianhu Li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 xml:space="preserve"> a,b</w:t>
      </w:r>
      <w:r>
        <w:rPr>
          <w:rFonts w:hint="eastAsia" w:ascii="Times New Roman" w:hAnsi="Times New Roman" w:eastAsia="宋体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Yuru Hou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hint="eastAsia" w:ascii="Times New Roman" w:hAnsi="Times New Roman" w:cs="Times New Roman"/>
          <w:sz w:val="24"/>
          <w:vertAlign w:val="superscript"/>
        </w:rPr>
        <w:t>a,b</w:t>
      </w:r>
      <w:r>
        <w:rPr>
          <w:rFonts w:ascii="Times New Roman" w:hAnsi="Times New Roman" w:eastAsia="宋体" w:cs="Times New Roman"/>
          <w:sz w:val="24"/>
        </w:rPr>
        <w:t>,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Shuang Xie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 xml:space="preserve"> a,b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Jieru Xu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vertAlign w:val="superscript"/>
        </w:rPr>
        <w:t>c</w:t>
      </w:r>
      <w:r>
        <w:rPr>
          <w:rFonts w:ascii="Times New Roman" w:hAnsi="Times New Roman" w:cs="Times New Roman"/>
          <w:sz w:val="24"/>
        </w:rPr>
        <w:t>,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Min Yang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 xml:space="preserve"> a,b</w:t>
      </w:r>
      <w:r>
        <w:rPr>
          <w:rFonts w:ascii="Times New Roman" w:hAnsi="Times New Roman" w:eastAsia="宋体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  Dairong Li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vertAlign w:val="superscript"/>
        </w:rPr>
        <w:t xml:space="preserve">c </w:t>
      </w:r>
      <w:bookmarkStart w:id="1" w:name="_GoBack"/>
      <w:bookmarkEnd w:id="1"/>
      <w:r>
        <w:rPr>
          <w:rFonts w:hint="eastAsia" w:ascii="Times New Roman" w:hAnsi="Times New Roman" w:cs="Times New Roman"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Yonghong Du</w:t>
      </w:r>
      <w:r>
        <w:rPr>
          <w:rFonts w:hint="eastAsia" w:ascii="Times New Roman" w:hAnsi="Times New Roman" w:eastAsia="宋体" w:cs="Times New Roman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>a,b</w:t>
      </w:r>
    </w:p>
    <w:p>
      <w:pPr>
        <w:widowControl/>
        <w:spacing w:line="360" w:lineRule="auto"/>
        <w:rPr>
          <w:rFonts w:ascii="Times New Roman" w:hAnsi="Times New Roman" w:eastAsia="宋体" w:cs="Times New Roman"/>
          <w:sz w:val="24"/>
          <w:vertAlign w:val="superscript"/>
        </w:rPr>
      </w:pPr>
    </w:p>
    <w:p>
      <w:pPr>
        <w:widowControl/>
        <w:spacing w:line="360" w:lineRule="auto"/>
        <w:rPr>
          <w:rFonts w:ascii="Times New Roman" w:hAnsi="Times New Roman" w:eastAsia="宋体" w:cs="Times New Roman"/>
          <w:sz w:val="24"/>
          <w:vertAlign w:val="superscript"/>
        </w:rPr>
      </w:pPr>
    </w:p>
    <w:p>
      <w:pPr>
        <w:numPr>
          <w:ilvl w:val="255"/>
          <w:numId w:val="0"/>
        </w:numPr>
        <w:snapToGrid w:val="0"/>
        <w:spacing w:line="360" w:lineRule="auto"/>
        <w:rPr>
          <w:rFonts w:ascii="Times New Roman" w:hAnsi="Times New Roman" w:eastAsia="FangSong_GB2312" w:cs="Times New Roman"/>
          <w:bCs/>
          <w:sz w:val="24"/>
        </w:rPr>
      </w:pPr>
      <w:r>
        <w:rPr>
          <w:rFonts w:hint="eastAsia" w:ascii="Times New Roman" w:hAnsi="Times New Roman" w:eastAsia="FangSong_GB2312" w:cs="Times New Roman"/>
          <w:bCs/>
          <w:sz w:val="24"/>
          <w:vertAlign w:val="superscript"/>
        </w:rPr>
        <w:t>a</w:t>
      </w:r>
      <w:r>
        <w:rPr>
          <w:rFonts w:ascii="Times New Roman" w:hAnsi="Times New Roman" w:eastAsia="FangSong_GB2312" w:cs="Times New Roman"/>
          <w:bCs/>
          <w:sz w:val="24"/>
        </w:rPr>
        <w:t>State Key Laboratory of Ultrasound in Medicine and Engineering, College of Biomedical</w:t>
      </w:r>
      <w:r>
        <w:rPr>
          <w:rFonts w:hint="eastAsia" w:ascii="Times New Roman" w:hAnsi="Times New Roman" w:eastAsia="FangSong_GB2312" w:cs="Times New Roman"/>
          <w:bCs/>
          <w:sz w:val="24"/>
        </w:rPr>
        <w:t xml:space="preserve"> </w:t>
      </w:r>
      <w:r>
        <w:rPr>
          <w:rFonts w:ascii="Times New Roman" w:hAnsi="Times New Roman" w:eastAsia="FangSong_GB2312" w:cs="Times New Roman"/>
          <w:bCs/>
          <w:sz w:val="24"/>
        </w:rPr>
        <w:t>Engineering, Chongqing Medical University,Chongqing, 400016, China.</w:t>
      </w:r>
    </w:p>
    <w:p>
      <w:pPr>
        <w:numPr>
          <w:ilvl w:val="255"/>
          <w:numId w:val="0"/>
        </w:numPr>
        <w:snapToGrid w:val="0"/>
        <w:spacing w:line="360" w:lineRule="auto"/>
        <w:rPr>
          <w:rFonts w:ascii="Times New Roman" w:hAnsi="Times New Roman" w:eastAsia="FangSong_GB2312" w:cs="Times New Roman"/>
          <w:bCs/>
          <w:sz w:val="24"/>
        </w:rPr>
      </w:pPr>
      <w:r>
        <w:rPr>
          <w:rFonts w:hint="eastAsia" w:ascii="Times New Roman" w:hAnsi="Times New Roman" w:eastAsia="FangSong_GB2312" w:cs="Times New Roman"/>
          <w:bCs/>
          <w:sz w:val="24"/>
          <w:vertAlign w:val="superscript"/>
        </w:rPr>
        <w:t>b</w:t>
      </w:r>
      <w:r>
        <w:rPr>
          <w:rFonts w:hint="eastAsia" w:ascii="Times New Roman" w:hAnsi="Times New Roman" w:eastAsia="FangSong_GB2312" w:cs="Times New Roman"/>
          <w:bCs/>
          <w:sz w:val="24"/>
        </w:rPr>
        <w:t>Chongqing Key Laboratory of Biomedical Engineering, Chongqing Medical University, Chongqing, 400016, China.</w:t>
      </w:r>
    </w:p>
    <w:p>
      <w:pPr>
        <w:snapToGrid w:val="0"/>
        <w:spacing w:line="360" w:lineRule="auto"/>
        <w:rPr>
          <w:rStyle w:val="6"/>
          <w:rFonts w:ascii="Times New Roman" w:hAnsi="Times New Roman" w:eastAsia="FangSong_GB2312" w:cs="Times New Roman"/>
          <w:b w:val="0"/>
          <w:sz w:val="24"/>
        </w:rPr>
      </w:pPr>
      <w:r>
        <w:rPr>
          <w:rFonts w:hint="eastAsia" w:ascii="Times New Roman" w:hAnsi="Times New Roman" w:eastAsia="FangSong_GB2312" w:cs="Times New Roman"/>
          <w:bCs/>
          <w:sz w:val="24"/>
          <w:vertAlign w:val="superscript"/>
        </w:rPr>
        <w:t>c</w:t>
      </w:r>
      <w:r>
        <w:rPr>
          <w:rStyle w:val="6"/>
          <w:rFonts w:ascii="Times New Roman" w:hAnsi="Times New Roman" w:eastAsia="FangSong_GB2312" w:cs="Times New Roman"/>
          <w:b w:val="0"/>
          <w:color w:val="auto"/>
          <w:sz w:val="24"/>
        </w:rPr>
        <w:t>Department of Respiratory and Critical Care Medicine, the First Affiliated Hospital of Chongqing Medical University, Chongqing 400016, China.</w:t>
      </w:r>
      <w:r>
        <w:rPr>
          <w:rStyle w:val="6"/>
          <w:rFonts w:ascii="Times New Roman" w:hAnsi="Times New Roman" w:eastAsia="FangSong_GB2312" w:cs="Times New Roman"/>
          <w:b w:val="0"/>
          <w:sz w:val="24"/>
        </w:rPr>
        <w:t xml:space="preserve"> </w:t>
      </w: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jc w:val="center"/>
        <w:rPr>
          <w:rFonts w:ascii="Times New Roman" w:hAnsi="Times New Roman" w:cs="Times New Roman"/>
          <w:sz w:val="28"/>
          <w:szCs w:val="36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METHODS</w:t>
      </w:r>
    </w:p>
    <w:p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Determination of LVFX minimum inhibitory concentration (MIC)</w:t>
      </w:r>
    </w:p>
    <w:p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 xml:space="preserve">The minimum inhibitory concentration (MIC) assay was performed on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 xml:space="preserve">BCG </w:t>
      </w:r>
      <w:r>
        <w:rPr>
          <w:rFonts w:hint="eastAsia" w:ascii="Times New Roman" w:hAnsi="Times New Roman" w:cs="Times New Roman"/>
          <w:sz w:val="24"/>
          <w:szCs w:val="32"/>
        </w:rPr>
        <w:t xml:space="preserve">using the trace broth dilution method. In short, the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>BCG</w:t>
      </w:r>
      <w:r>
        <w:rPr>
          <w:rFonts w:hint="eastAsia" w:ascii="Times New Roman" w:hAnsi="Times New Roman" w:cs="Times New Roman"/>
          <w:sz w:val="24"/>
          <w:szCs w:val="32"/>
        </w:rPr>
        <w:t xml:space="preserve"> suspensions </w:t>
      </w:r>
      <w:r>
        <w:rPr>
          <w:rFonts w:ascii="Times New Roman" w:hAnsi="Times New Roman" w:cs="Times New Roman"/>
          <w:sz w:val="24"/>
          <w:szCs w:val="32"/>
        </w:rPr>
        <w:t>(</w:t>
      </w:r>
      <w:r>
        <w:rPr>
          <w:rFonts w:hint="eastAsia" w:ascii="Times New Roman" w:hAnsi="Times New Roman" w:cs="Times New Roman"/>
          <w:sz w:val="24"/>
          <w:szCs w:val="32"/>
        </w:rPr>
        <w:t>OD</w:t>
      </w:r>
      <w:r>
        <w:rPr>
          <w:rFonts w:hint="eastAsia" w:ascii="Times New Roman" w:hAnsi="Times New Roman" w:cs="Times New Roman"/>
          <w:sz w:val="24"/>
          <w:szCs w:val="32"/>
          <w:vertAlign w:val="subscript"/>
        </w:rPr>
        <w:t>600</w:t>
      </w:r>
      <w:r>
        <w:rPr>
          <w:rFonts w:hint="eastAsia" w:ascii="Times New Roman" w:hAnsi="Times New Roman" w:cs="Times New Roman"/>
          <w:sz w:val="24"/>
          <w:szCs w:val="32"/>
        </w:rPr>
        <w:t>=1.0) were transferred to 96-well microtiter plates in the presence of multiple concentrations of LVFX (</w:t>
      </w:r>
      <w:r>
        <w:rPr>
          <w:rFonts w:ascii="Times New Roman" w:hAnsi="Times New Roman" w:cs="Times New Roman"/>
          <w:sz w:val="24"/>
          <w:szCs w:val="32"/>
        </w:rPr>
        <w:t>0</w:t>
      </w:r>
      <w:r>
        <w:rPr>
          <w:rFonts w:hint="eastAsia" w:ascii="Times New Roman" w:hAnsi="Times New Roman" w:cs="Times New Roman"/>
          <w:sz w:val="24"/>
          <w:szCs w:val="32"/>
        </w:rPr>
        <w:t>~</w:t>
      </w:r>
      <w:r>
        <w:rPr>
          <w:rFonts w:ascii="Times New Roman" w:hAnsi="Times New Roman" w:cs="Times New Roman"/>
          <w:sz w:val="24"/>
          <w:szCs w:val="32"/>
        </w:rPr>
        <w:t>1280</w:t>
      </w:r>
      <w:r>
        <w:rPr>
          <w:rFonts w:hint="eastAsia"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μg/mL</w:t>
      </w:r>
      <w:r>
        <w:rPr>
          <w:rFonts w:hint="eastAsia" w:ascii="Times New Roman" w:hAnsi="Times New Roman" w:cs="Times New Roman"/>
          <w:sz w:val="24"/>
          <w:szCs w:val="32"/>
        </w:rPr>
        <w:t>) which were prepared by serial 2-fold dilution</w:t>
      </w:r>
      <w:r>
        <w:rPr>
          <w:rFonts w:hint="eastAsia" w:ascii="Open Sans" w:hAnsi="Open Sans" w:eastAsia="宋体" w:cs="Open Sans"/>
          <w:color w:val="676A6C"/>
          <w:sz w:val="18"/>
          <w:szCs w:val="18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</w:rPr>
        <w:t xml:space="preserve">and incubated at 37 </w:t>
      </w:r>
      <w:r>
        <w:rPr>
          <w:rFonts w:ascii="Times New Roman" w:hAnsi="Times New Roman" w:cs="Times New Roman"/>
          <w:sz w:val="24"/>
          <w:szCs w:val="32"/>
        </w:rPr>
        <w:t xml:space="preserve">°C </w:t>
      </w:r>
      <w:r>
        <w:rPr>
          <w:rFonts w:hint="eastAsia" w:ascii="Times New Roman" w:hAnsi="Times New Roman" w:cs="Times New Roman"/>
          <w:sz w:val="24"/>
          <w:szCs w:val="32"/>
        </w:rPr>
        <w:t>for 7 days. Then the absorbance of the bacteria in the 96-well plate was detected via a microplate reader. The MIC is defined as the lowest drug concentration corresponding to the lowest absorbance value.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Selection of ultrasound radiation parameters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hint="eastAsia" w:ascii="Times New Roman" w:hAnsi="Times New Roman" w:cs="Times New Roman"/>
          <w:sz w:val="24"/>
        </w:rPr>
        <w:t xml:space="preserve">The Low-frequency and low-intensity ultrasound system device used in this experiment was developed by the Biomedical Engineering of Chongqing Medical University. A total of 1 mL of </w:t>
      </w:r>
      <w:r>
        <w:rPr>
          <w:rFonts w:hint="eastAsia" w:ascii="Times New Roman" w:hAnsi="Times New Roman" w:cs="Times New Roman"/>
          <w:i/>
          <w:iCs/>
          <w:sz w:val="24"/>
        </w:rPr>
        <w:t>BCG</w:t>
      </w:r>
      <w:r>
        <w:rPr>
          <w:rFonts w:hint="eastAsia" w:ascii="Times New Roman" w:hAnsi="Times New Roman" w:cs="Times New Roman"/>
          <w:sz w:val="24"/>
        </w:rPr>
        <w:t xml:space="preserve"> suspension was transferred into each well of a 35-mm plastic petri dish which was directly placed above the transducer with a gentle squeeze to expel air. Then each group was irradiated at different ultrasonic intensities (0.15, 0.34, 0.67 and 1.0 W/cm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) for different times (5, 10 and 15 min).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The establishment of the </w:t>
      </w:r>
      <w:r>
        <w:rPr>
          <w:rFonts w:hint="eastAsia" w:ascii="Times New Roman" w:hAnsi="Times New Roman" w:cs="Times New Roman"/>
          <w:b/>
          <w:bCs/>
          <w:i/>
          <w:iCs/>
          <w:sz w:val="24"/>
          <w:szCs w:val="32"/>
        </w:rPr>
        <w:t>BCG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>-infected SD rat model</w:t>
      </w:r>
    </w:p>
    <w:p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>A</w:t>
      </w:r>
      <w:r>
        <w:rPr>
          <w:rFonts w:hint="eastAsia" w:ascii="Times New Roman" w:hAnsi="Times New Roman" w:cs="Times New Roman"/>
          <w:sz w:val="24"/>
        </w:rPr>
        <w:t>fter</w:t>
      </w:r>
      <w:r>
        <w:rPr>
          <w:rFonts w:ascii="Times New Roman" w:hAnsi="Times New Roman" w:cs="Times New Roman"/>
          <w:sz w:val="24"/>
        </w:rPr>
        <w:t xml:space="preserve"> 14-day treatment</w:t>
      </w:r>
      <w:r>
        <w:rPr>
          <w:rFonts w:hint="eastAsia" w:ascii="Times New Roman" w:hAnsi="Times New Roman" w:cs="Times New Roman"/>
          <w:sz w:val="24"/>
          <w:szCs w:val="32"/>
        </w:rPr>
        <w:t xml:space="preserve">, the abscesses </w:t>
      </w:r>
      <w:r>
        <w:rPr>
          <w:rFonts w:hint="eastAsia" w:ascii="Times New Roman" w:hAnsi="Times New Roman" w:cs="Times New Roman"/>
          <w:sz w:val="24"/>
        </w:rPr>
        <w:t>were dissected fro</w:t>
      </w:r>
      <w:r>
        <w:rPr>
          <w:rFonts w:ascii="Times New Roman" w:hAnsi="Times New Roman" w:cs="Times New Roman"/>
          <w:sz w:val="24"/>
        </w:rPr>
        <w:t>m</w:t>
      </w:r>
      <w:r>
        <w:rPr>
          <w:rFonts w:hint="eastAsia" w:ascii="Times New Roman" w:hAnsi="Times New Roman" w:cs="Times New Roman"/>
          <w:sz w:val="24"/>
        </w:rPr>
        <w:t xml:space="preserve"> the rats for hematoxylin and eosin(H&amp;E) staining and acid-fast staining. Histopathological changes were observed under a light microscope. The acid-fast staining result of </w:t>
      </w:r>
      <w:r>
        <w:rPr>
          <w:rFonts w:hint="eastAsia" w:ascii="Times New Roman" w:hAnsi="Times New Roman" w:cs="Times New Roman"/>
          <w:i/>
          <w:iCs/>
          <w:sz w:val="24"/>
        </w:rPr>
        <w:t>BCG</w:t>
      </w:r>
      <w:r>
        <w:rPr>
          <w:rFonts w:hint="eastAsia" w:ascii="Times New Roman" w:hAnsi="Times New Roman" w:cs="Times New Roman"/>
          <w:sz w:val="24"/>
        </w:rPr>
        <w:t xml:space="preserve"> shows red rod-shaped bacteria.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The safety of ultrasound on exposed skin</w:t>
      </w:r>
    </w:p>
    <w:p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t xml:space="preserve">The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>BCG</w:t>
      </w:r>
      <w:r>
        <w:rPr>
          <w:rFonts w:hint="eastAsia" w:ascii="Times New Roman" w:hAnsi="Times New Roman" w:cs="Times New Roman"/>
          <w:sz w:val="24"/>
          <w:szCs w:val="32"/>
        </w:rPr>
        <w:t xml:space="preserve"> suspension was exposed to ultrasound at an intensity of 0.67 W/cm</w:t>
      </w:r>
      <w:r>
        <w:rPr>
          <w:rFonts w:hint="eastAsia" w:ascii="Times New Roman" w:hAnsi="Times New Roman" w:cs="Times New Roman"/>
          <w:sz w:val="24"/>
          <w:szCs w:val="32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  <w:szCs w:val="32"/>
        </w:rPr>
        <w:t xml:space="preserve"> for 5 min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>in vitro</w:t>
      </w:r>
      <w:r>
        <w:rPr>
          <w:rFonts w:hint="eastAsia" w:ascii="Times New Roman" w:hAnsi="Times New Roman" w:cs="Times New Roman"/>
          <w:sz w:val="24"/>
          <w:szCs w:val="32"/>
        </w:rPr>
        <w:t>. The safety of this ultrasound (0.67 W/cm</w:t>
      </w:r>
      <w:r>
        <w:rPr>
          <w:rFonts w:hint="eastAsia" w:ascii="Times New Roman" w:hAnsi="Times New Roman" w:cs="Times New Roman"/>
          <w:sz w:val="24"/>
          <w:szCs w:val="32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  <w:szCs w:val="32"/>
        </w:rPr>
        <w:t>, 5 min) on skin was verified using a rat skin model. Briefly, t</w:t>
      </w:r>
      <w:r>
        <w:rPr>
          <w:rFonts w:hint="eastAsia" w:ascii="Times New Roman" w:hAnsi="Times New Roman" w:cs="Times New Roman"/>
          <w:sz w:val="24"/>
        </w:rPr>
        <w:t xml:space="preserve">he hair from the lower part of the back of the SD rats was clipped, then applied medical ultrasonic coupling agent evenly and irradiated by ultrasound </w:t>
      </w:r>
      <w:r>
        <w:rPr>
          <w:rFonts w:hint="eastAsia" w:ascii="Times New Roman" w:hAnsi="Times New Roman" w:cs="Times New Roman"/>
          <w:sz w:val="24"/>
          <w:szCs w:val="32"/>
        </w:rPr>
        <w:t>(0.67 W/cm</w:t>
      </w:r>
      <w:r>
        <w:rPr>
          <w:rFonts w:hint="eastAsia" w:ascii="Times New Roman" w:hAnsi="Times New Roman" w:cs="Times New Roman"/>
          <w:sz w:val="24"/>
          <w:szCs w:val="32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  <w:szCs w:val="32"/>
        </w:rPr>
        <w:t xml:space="preserve">, 5 min) or not. After 24 h, the irradiated part was taken for  histopathological observation. </w:t>
      </w:r>
    </w:p>
    <w:p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The effect of BM2 aptamer on the morphology of </w:t>
      </w:r>
      <w:r>
        <w:rPr>
          <w:rFonts w:hint="eastAsia" w:ascii="Times New Roman" w:hAnsi="Times New Roman" w:cs="Times New Roman"/>
          <w:b/>
          <w:bCs/>
          <w:i/>
          <w:iCs/>
          <w:sz w:val="24"/>
          <w:szCs w:val="32"/>
        </w:rPr>
        <w:t>BCG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szCs w:val="32"/>
        </w:rPr>
        <w:t>The effect of BM2 aptamer</w:t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</w:rPr>
        <w:t xml:space="preserve">on the morphology of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 xml:space="preserve">BCG </w:t>
      </w:r>
      <w:r>
        <w:rPr>
          <w:rFonts w:hint="eastAsia" w:ascii="Times New Roman" w:hAnsi="Times New Roman" w:cs="Times New Roman"/>
          <w:sz w:val="24"/>
          <w:szCs w:val="32"/>
        </w:rPr>
        <w:t>was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 xml:space="preserve"> </w:t>
      </w:r>
      <w:r>
        <w:rPr>
          <w:rFonts w:hint="eastAsia" w:ascii="Times New Roman" w:hAnsi="Times New Roman" w:cs="Times New Roman"/>
          <w:sz w:val="24"/>
          <w:szCs w:val="32"/>
        </w:rPr>
        <w:t xml:space="preserve">investigated. </w:t>
      </w:r>
      <w:r>
        <w:rPr>
          <w:rFonts w:hint="eastAsia" w:ascii="Times New Roman" w:hAnsi="Times New Roman" w:cs="Times New Roman"/>
          <w:sz w:val="24"/>
        </w:rPr>
        <w:t xml:space="preserve">BM2 aptamer (5 </w:t>
      </w:r>
      <w:r>
        <w:rPr>
          <w:rFonts w:ascii="Times New Roman" w:hAnsi="Times New Roman" w:cs="Times New Roman"/>
          <w:sz w:val="24"/>
        </w:rPr>
        <w:t>μM</w:t>
      </w:r>
      <w:r>
        <w:rPr>
          <w:rFonts w:hint="eastAsia" w:ascii="Times New Roman" w:hAnsi="Times New Roman" w:cs="Times New Roman"/>
          <w:sz w:val="24"/>
        </w:rPr>
        <w:t xml:space="preserve">) was added to the </w:t>
      </w:r>
      <w:r>
        <w:rPr>
          <w:rFonts w:hint="eastAsia" w:ascii="Times New Roman" w:hAnsi="Times New Roman" w:cs="Times New Roman"/>
          <w:i/>
          <w:iCs/>
          <w:sz w:val="24"/>
        </w:rPr>
        <w:t>BCG</w:t>
      </w:r>
      <w:r>
        <w:rPr>
          <w:rFonts w:hint="eastAsia" w:ascii="Times New Roman" w:hAnsi="Times New Roman" w:cs="Times New Roman"/>
          <w:sz w:val="24"/>
        </w:rPr>
        <w:t xml:space="preserve"> suspension, and co-incubated at 37 </w:t>
      </w:r>
      <w:r>
        <w:rPr>
          <w:rFonts w:ascii="Times New Roman" w:hAnsi="Times New Roman" w:cs="Times New Roman"/>
          <w:sz w:val="24"/>
        </w:rPr>
        <w:t>℃</w:t>
      </w:r>
      <w:r>
        <w:rPr>
          <w:rFonts w:hint="eastAsia" w:ascii="Times New Roman" w:hAnsi="Times New Roman" w:cs="Times New Roman"/>
          <w:sz w:val="24"/>
        </w:rPr>
        <w:t xml:space="preserve"> for 5 h. Then the mixture was centrifuged at 5000 rpm for 5 minutes to remove excess BM2 aptamer, and bacteria were observed </w:t>
      </w:r>
      <w:r>
        <w:rPr>
          <w:rFonts w:hint="eastAsia" w:ascii="Times New Roman" w:hAnsi="Times New Roman" w:cs="Times New Roman"/>
          <w:sz w:val="24"/>
          <w:szCs w:val="32"/>
        </w:rPr>
        <w:t xml:space="preserve">via a </w:t>
      </w:r>
      <w:r>
        <w:rPr>
          <w:rFonts w:hint="eastAsia" w:ascii="Times New Roman" w:hAnsi="Times New Roman" w:cs="Times New Roman"/>
          <w:sz w:val="24"/>
        </w:rPr>
        <w:t xml:space="preserve">scanning electron microscopy (SEM, Hitachi High-Technologies, Tokyo, Japan). 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Serum biochemical analysis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lood </w:t>
      </w:r>
      <w:r>
        <w:rPr>
          <w:rFonts w:hint="eastAsia" w:ascii="Times New Roman" w:hAnsi="Times New Roman" w:cs="Times New Roman"/>
          <w:sz w:val="24"/>
        </w:rPr>
        <w:t>samples were</w:t>
      </w:r>
      <w:r>
        <w:rPr>
          <w:rFonts w:ascii="Times New Roman" w:hAnsi="Times New Roman" w:cs="Times New Roman"/>
          <w:sz w:val="24"/>
        </w:rPr>
        <w:t xml:space="preserve"> collected from the intraocular canthus of rats </w:t>
      </w:r>
      <w:r>
        <w:rPr>
          <w:rFonts w:hint="eastAsia" w:ascii="Times New Roman" w:hAnsi="Times New Roman" w:cs="Times New Roman"/>
          <w:sz w:val="24"/>
        </w:rPr>
        <w:t>after</w:t>
      </w:r>
      <w:r>
        <w:rPr>
          <w:rFonts w:ascii="Times New Roman" w:hAnsi="Times New Roman" w:cs="Times New Roman"/>
          <w:sz w:val="24"/>
        </w:rPr>
        <w:t xml:space="preserve"> 14-day treatment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centrifuged to obtain serum</w:t>
      </w:r>
      <w:r>
        <w:rPr>
          <w:rFonts w:hint="eastAsia" w:ascii="Times New Roman" w:hAnsi="Times New Roman" w:cs="Times New Roman"/>
          <w:sz w:val="24"/>
        </w:rPr>
        <w:t xml:space="preserve">. The </w:t>
      </w:r>
      <w:r>
        <w:rPr>
          <w:rFonts w:ascii="Times New Roman" w:hAnsi="Times New Roman" w:cs="Times New Roman"/>
          <w:sz w:val="24"/>
        </w:rPr>
        <w:t xml:space="preserve">biochemical analysis </w:t>
      </w:r>
      <w:r>
        <w:rPr>
          <w:rFonts w:hint="eastAsia" w:ascii="Times New Roman" w:hAnsi="Times New Roman" w:cs="Times New Roman"/>
          <w:sz w:val="24"/>
        </w:rPr>
        <w:t xml:space="preserve">was performed for the heart, liver, and kidney functional markers, including alanine aminotransferase (ALT), aspartate transaminase (AST), total bilirubin (TBIL), creatinine (CREA), blood urea nitrogen (BUN) </w:t>
      </w:r>
      <w:r>
        <w:rPr>
          <w:rFonts w:ascii="Times New Roman" w:hAnsi="Times New Roman" w:cs="Times New Roman"/>
          <w:sz w:val="24"/>
        </w:rPr>
        <w:t>through a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biochemical auto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analyzer (Catalyst Dx</w:t>
      </w:r>
      <w:r>
        <w:rPr>
          <w:rFonts w:hint="eastAsia" w:ascii="Times New Roman" w:hAnsi="Times New Roman" w:cs="Times New Roman"/>
          <w:sz w:val="24"/>
        </w:rPr>
        <w:t>, IDEXX,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>USA</w:t>
      </w:r>
      <w:r>
        <w:rPr>
          <w:rFonts w:ascii="Times New Roman" w:hAnsi="Times New Roman" w:cs="Times New Roman"/>
          <w:sz w:val="24"/>
        </w:rPr>
        <w:t>).</w:t>
      </w:r>
      <w:r>
        <w:rPr>
          <w:rFonts w:hint="eastAsia" w:ascii="Times New Roman" w:hAnsi="Times New Roman" w:cs="Times New Roman"/>
          <w:sz w:val="24"/>
        </w:rPr>
        <w:t xml:space="preserve"> Meanwhile, t</w:t>
      </w:r>
      <w:r>
        <w:rPr>
          <w:rFonts w:ascii="Times New Roman" w:hAnsi="Times New Roman" w:cs="Times New Roman"/>
          <w:sz w:val="24"/>
        </w:rPr>
        <w:t>he cytokines IFN-γ in rats</w:t>
      </w:r>
      <w:r>
        <w:rPr>
          <w:rFonts w:hint="eastAsia" w:ascii="Times New Roman" w:hAnsi="Times New Roman" w:cs="Times New Roman"/>
          <w:sz w:val="24"/>
        </w:rPr>
        <w:t xml:space="preserve"> were measured</w:t>
      </w:r>
      <w:r>
        <w:rPr>
          <w:rFonts w:ascii="Times New Roman" w:hAnsi="Times New Roman" w:cs="Times New Roman"/>
          <w:sz w:val="24"/>
        </w:rPr>
        <w:t xml:space="preserve"> by the enzyme-linked immunosorbent assay (ELISA) following protocols recommended by the manufacturer.</w:t>
      </w:r>
    </w:p>
    <w:p>
      <w:pPr>
        <w:spacing w:line="360" w:lineRule="auto"/>
        <w:rPr>
          <w:rFonts w:ascii="Times New Roman" w:hAnsi="Times New Roman" w:cs="Times New Roman"/>
          <w:sz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</w:p>
    <w:p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Figures</w:t>
      </w: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drawing>
          <wp:inline distT="0" distB="0" distL="114300" distR="114300">
            <wp:extent cx="4269105" cy="3309620"/>
            <wp:effectExtent l="0" t="0" r="17145" b="5080"/>
            <wp:docPr id="1" name="图片 1" descr="补充-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充-M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32"/>
        </w:rPr>
      </w:pPr>
      <w:bookmarkStart w:id="0" w:name="OLE_LINK1"/>
      <w:r>
        <w:rPr>
          <w:rFonts w:hint="eastAsia" w:ascii="Times New Roman" w:hAnsi="Times New Roman" w:cs="Times New Roman"/>
          <w:b/>
          <w:bCs/>
          <w:sz w:val="24"/>
          <w:szCs w:val="32"/>
        </w:rPr>
        <w:t>Figure S1.</w:t>
      </w:r>
      <w:bookmarkEnd w:id="0"/>
      <w:r>
        <w:rPr>
          <w:rFonts w:hint="eastAsia" w:ascii="Times New Roman" w:hAnsi="Times New Roman" w:cs="Times New Roman"/>
          <w:sz w:val="24"/>
          <w:szCs w:val="32"/>
        </w:rPr>
        <w:t xml:space="preserve"> The minimum inhibitory concentration (MIC) results of LVFX in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>BCG</w:t>
      </w:r>
      <w:r>
        <w:rPr>
          <w:rFonts w:hint="eastAsia" w:ascii="Times New Roman" w:hAnsi="Times New Roman" w:cs="Times New Roman"/>
          <w:sz w:val="24"/>
          <w:szCs w:val="32"/>
        </w:rPr>
        <w:t xml:space="preserve"> using the trace broth dilution method.</w:t>
      </w: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sz w:val="24"/>
          <w:szCs w:val="32"/>
        </w:rPr>
        <w:drawing>
          <wp:inline distT="0" distB="0" distL="114300" distR="114300">
            <wp:extent cx="4504690" cy="2883535"/>
            <wp:effectExtent l="0" t="0" r="10160" b="12065"/>
            <wp:docPr id="2" name="图片 2" descr="体外超声参数筛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体外超声参数筛选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Figure S2.</w:t>
      </w:r>
      <w:r>
        <w:rPr>
          <w:rFonts w:hint="eastAsia" w:ascii="Times New Roman" w:hAnsi="Times New Roman" w:cs="Times New Roman"/>
          <w:sz w:val="24"/>
          <w:szCs w:val="32"/>
        </w:rPr>
        <w:t xml:space="preserve"> The survival rate of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>BCG</w:t>
      </w:r>
      <w:r>
        <w:rPr>
          <w:rFonts w:hint="eastAsia" w:ascii="Times New Roman" w:hAnsi="Times New Roman" w:cs="Times New Roman"/>
          <w:sz w:val="24"/>
          <w:szCs w:val="32"/>
        </w:rPr>
        <w:t xml:space="preserve"> after ultrasonic irradiation at different intensities (0.15, 0.34, 0.67 and 1.0 W/cm</w:t>
      </w:r>
      <w:r>
        <w:rPr>
          <w:rFonts w:hint="eastAsia" w:ascii="Times New Roman" w:hAnsi="Times New Roman" w:cs="Times New Roman"/>
          <w:sz w:val="24"/>
          <w:szCs w:val="32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  <w:szCs w:val="32"/>
        </w:rPr>
        <w:t xml:space="preserve">) and time (5, 10 and 15 min) was measured by </w:t>
      </w:r>
      <w:r>
        <w:rPr>
          <w:rFonts w:hint="eastAsia" w:ascii="Times New Roman" w:hAnsi="Times New Roman" w:cs="Times New Roman"/>
          <w:sz w:val="24"/>
        </w:rPr>
        <w:t xml:space="preserve">standard plate count method. </w:t>
      </w:r>
      <w:r>
        <w:rPr>
          <w:rFonts w:hint="eastAsia" w:ascii="Times New Roman" w:hAnsi="Times New Roman"/>
          <w:sz w:val="24"/>
        </w:rPr>
        <w:t xml:space="preserve"> 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drawing>
          <wp:inline distT="0" distB="0" distL="114300" distR="114300">
            <wp:extent cx="5250180" cy="1771015"/>
            <wp:effectExtent l="0" t="0" r="7620" b="635"/>
            <wp:docPr id="3" name="图片 3" descr="补充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补充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Figure S3.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i/>
          <w:iCs/>
          <w:sz w:val="24"/>
        </w:rPr>
        <w:t>BCG</w:t>
      </w:r>
      <w:r>
        <w:rPr>
          <w:rFonts w:hint="eastAsia" w:ascii="Times New Roman" w:hAnsi="Times New Roman" w:cs="Times New Roman"/>
          <w:sz w:val="24"/>
        </w:rPr>
        <w:t xml:space="preserve"> bacteria fluids were subcutaneously injected into the right buttock tissue of SD rats to establish the model of </w:t>
      </w:r>
      <w:r>
        <w:rPr>
          <w:rFonts w:hint="eastAsia" w:ascii="Times New Roman" w:hAnsi="Times New Roman" w:cs="Times New Roman"/>
          <w:i/>
          <w:iCs/>
          <w:sz w:val="24"/>
        </w:rPr>
        <w:t>BCG</w:t>
      </w:r>
      <w:r>
        <w:rPr>
          <w:rFonts w:hint="eastAsia" w:ascii="Times New Roman" w:hAnsi="Times New Roman" w:cs="Times New Roman"/>
          <w:sz w:val="24"/>
        </w:rPr>
        <w:t xml:space="preserve"> subcutaneous infections. (A) H&amp;E and (B) acid-fast staining results were performed. </w:t>
      </w:r>
      <w:r>
        <w:rPr>
          <w:rFonts w:hint="eastAsia" w:ascii="Times New Roman" w:hAnsi="Times New Roman" w:cs="Times New Roman"/>
          <w:sz w:val="24"/>
          <w:szCs w:val="32"/>
        </w:rPr>
        <w:t xml:space="preserve">H&amp;E-stained image was taken at </w:t>
      </w:r>
      <w:r>
        <w:rPr>
          <w:rFonts w:ascii="Times New Roman" w:hAnsi="Times New Roman" w:cs="Times New Roman"/>
          <w:sz w:val="24"/>
          <w:szCs w:val="32"/>
        </w:rPr>
        <w:t>×</w:t>
      </w:r>
      <w:r>
        <w:rPr>
          <w:rFonts w:hint="eastAsia" w:ascii="Times New Roman" w:hAnsi="Times New Roman" w:cs="Times New Roman"/>
          <w:sz w:val="24"/>
          <w:szCs w:val="32"/>
        </w:rPr>
        <w:t xml:space="preserve">200 magnification and the </w:t>
      </w:r>
      <w:r>
        <w:rPr>
          <w:rFonts w:hint="eastAsia" w:ascii="Times New Roman" w:hAnsi="Times New Roman" w:cs="Times New Roman"/>
          <w:sz w:val="24"/>
        </w:rPr>
        <w:t xml:space="preserve">acid-fast staining </w:t>
      </w:r>
      <w:r>
        <w:rPr>
          <w:rFonts w:hint="eastAsia" w:ascii="Times New Roman" w:hAnsi="Times New Roman" w:cs="Times New Roman"/>
          <w:sz w:val="24"/>
          <w:szCs w:val="32"/>
        </w:rPr>
        <w:t xml:space="preserve">image was taken at </w:t>
      </w:r>
      <w:r>
        <w:rPr>
          <w:rFonts w:ascii="Times New Roman" w:hAnsi="Times New Roman" w:cs="Times New Roman"/>
          <w:sz w:val="24"/>
          <w:szCs w:val="32"/>
        </w:rPr>
        <w:t>×</w:t>
      </w:r>
      <w:r>
        <w:rPr>
          <w:rFonts w:hint="eastAsia" w:ascii="Times New Roman" w:hAnsi="Times New Roman" w:cs="Times New Roman"/>
          <w:sz w:val="24"/>
          <w:szCs w:val="32"/>
        </w:rPr>
        <w:t>1000 magnification.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inline distT="0" distB="0" distL="114300" distR="114300">
            <wp:extent cx="5250180" cy="1783715"/>
            <wp:effectExtent l="0" t="0" r="7620" b="6985"/>
            <wp:docPr id="4" name="图片 4" descr="补充材料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补充材料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Figure S4.</w:t>
      </w:r>
      <w:r>
        <w:rPr>
          <w:rFonts w:hint="eastAsia" w:ascii="Times New Roman" w:hAnsi="Times New Roman" w:cs="Times New Roman"/>
          <w:sz w:val="24"/>
          <w:szCs w:val="32"/>
        </w:rPr>
        <w:t xml:space="preserve"> The histopathological changes of rat skin tissue 24 h after ultrasound irradiation at an intensity of 0.67 W/cm</w:t>
      </w:r>
      <w:r>
        <w:rPr>
          <w:rFonts w:hint="eastAsia" w:ascii="Times New Roman" w:hAnsi="Times New Roman" w:cs="Times New Roman"/>
          <w:sz w:val="24"/>
          <w:szCs w:val="32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  <w:szCs w:val="32"/>
        </w:rPr>
        <w:t xml:space="preserve"> for 5 min showed no obvious changes of the skin surface(A). The rat skin with mock ultrasound exposures displays a normal structure (B). H&amp;E-stained images were taken at </w:t>
      </w:r>
      <w:r>
        <w:rPr>
          <w:rFonts w:ascii="Times New Roman" w:hAnsi="Times New Roman" w:cs="Times New Roman"/>
          <w:sz w:val="24"/>
          <w:szCs w:val="32"/>
        </w:rPr>
        <w:t>×</w:t>
      </w:r>
      <w:r>
        <w:rPr>
          <w:rFonts w:hint="eastAsia" w:ascii="Times New Roman" w:hAnsi="Times New Roman" w:cs="Times New Roman"/>
          <w:sz w:val="24"/>
          <w:szCs w:val="32"/>
        </w:rPr>
        <w:t>100 magnification.</w:t>
      </w: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hint="eastAsia"/>
        </w:rPr>
        <w:drawing>
          <wp:inline distT="0" distB="0" distL="114300" distR="114300">
            <wp:extent cx="5269230" cy="2390140"/>
            <wp:effectExtent l="0" t="0" r="7620" b="10160"/>
            <wp:docPr id="10" name="图片 10" descr="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Figure S5. </w:t>
      </w:r>
      <w:r>
        <w:rPr>
          <w:rFonts w:ascii="Times New Roman" w:hAnsi="Times New Roman" w:cs="Times New Roman"/>
          <w:szCs w:val="21"/>
        </w:rPr>
        <w:t>Schematic diagram for the construction of BM2-LVFX-NPs.</w:t>
      </w: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2665730" cy="4067810"/>
            <wp:effectExtent l="0" t="0" r="1270" b="8890"/>
            <wp:docPr id="11" name="图片 11" descr="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Figure S6 </w:t>
      </w:r>
      <w:r>
        <w:rPr>
          <w:rFonts w:ascii="Times New Roman" w:hAnsi="Times New Roman" w:cs="Times New Roman"/>
          <w:szCs w:val="21"/>
        </w:rPr>
        <w:t>Confirmation of BM2-NPs conjugation by gel electrophoresis. DNA molecular weight marker (Mw) is shown on the right.</w:t>
      </w: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drawing>
          <wp:inline distT="0" distB="0" distL="114300" distR="114300">
            <wp:extent cx="5271135" cy="3688715"/>
            <wp:effectExtent l="0" t="0" r="5715" b="6985"/>
            <wp:docPr id="12" name="图片 12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 w:cs="Times New Roman"/>
          <w:b/>
          <w:bCs/>
          <w:szCs w:val="21"/>
        </w:rPr>
        <w:t>S7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Biosafety assay. (A) Serum CREA</w:t>
      </w:r>
      <w:r>
        <w:rPr>
          <w:rFonts w:hint="eastAsia"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(B) BUN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(C) ALT</w:t>
      </w:r>
      <w:r>
        <w:rPr>
          <w:rFonts w:hint="eastAsia"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(D) AST</w:t>
      </w:r>
      <w:r>
        <w:rPr>
          <w:rFonts w:hint="eastAsia" w:ascii="Times New Roman" w:hAnsi="Times New Roman" w:cs="Times New Roman"/>
          <w:szCs w:val="21"/>
        </w:rPr>
        <w:t xml:space="preserve"> and </w:t>
      </w:r>
      <w:r>
        <w:rPr>
          <w:rFonts w:ascii="Times New Roman" w:hAnsi="Times New Roman" w:cs="Times New Roman"/>
          <w:szCs w:val="21"/>
        </w:rPr>
        <w:t>(E) TBIL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indexes of rat in each group after14-day treatment. (F) Histopathologic observation of the major organs including heart, liver, spleen, lung, kidney of every group after being treated in various ways. The scale bar is 100 μm.</w:t>
      </w:r>
    </w:p>
    <w:p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Abbreviations: CREA, creatinine; BUN, blood urea nitrogen; ALT, alanine aminotransferase; AST, aspartate transaminase; TBIL, total bilirubin.</w:t>
      </w:r>
    </w:p>
    <w:p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drawing>
          <wp:inline distT="0" distB="0" distL="114300" distR="114300">
            <wp:extent cx="2922905" cy="2160270"/>
            <wp:effectExtent l="0" t="0" r="10795" b="11430"/>
            <wp:docPr id="5" name="图片 5" descr="补充-BM2+BC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补充-BM2+BCG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>Figure S8.</w:t>
      </w:r>
      <w:r>
        <w:rPr>
          <w:rFonts w:hint="eastAsia" w:ascii="Times New Roman" w:hAnsi="Times New Roman" w:cs="Times New Roman"/>
          <w:sz w:val="24"/>
          <w:szCs w:val="32"/>
        </w:rPr>
        <w:t xml:space="preserve"> The SEM image of BM2</w:t>
      </w:r>
      <w:r>
        <w:rPr>
          <w:rFonts w:hint="eastAsia" w:ascii="Times New Roman" w:hAnsi="Times New Roman" w:cs="Times New Roman"/>
          <w:sz w:val="24"/>
        </w:rPr>
        <w:t xml:space="preserve">(5 </w:t>
      </w:r>
      <w:r>
        <w:rPr>
          <w:rFonts w:ascii="Times New Roman" w:hAnsi="Times New Roman" w:cs="Times New Roman"/>
          <w:sz w:val="24"/>
        </w:rPr>
        <w:t>μM</w:t>
      </w:r>
      <w:r>
        <w:rPr>
          <w:rFonts w:hint="eastAsia"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  <w:szCs w:val="32"/>
        </w:rPr>
        <w:t xml:space="preserve"> aptamer co-cultured with </w:t>
      </w:r>
      <w:r>
        <w:rPr>
          <w:rFonts w:hint="eastAsia" w:ascii="Times New Roman" w:hAnsi="Times New Roman" w:cs="Times New Roman"/>
          <w:i/>
          <w:iCs/>
          <w:sz w:val="24"/>
          <w:szCs w:val="32"/>
        </w:rPr>
        <w:t>BCG</w:t>
      </w:r>
      <w:r>
        <w:rPr>
          <w:rFonts w:hint="eastAsia" w:ascii="Times New Roman" w:hAnsi="Times New Roman" w:cs="Times New Roman"/>
          <w:sz w:val="24"/>
          <w:szCs w:val="32"/>
        </w:rPr>
        <w:t xml:space="preserve"> for 5 h at 37 </w:t>
      </w:r>
      <w:r>
        <w:rPr>
          <w:rFonts w:ascii="Times New Roman" w:hAnsi="Times New Roman" w:cs="Times New Roman"/>
          <w:sz w:val="24"/>
          <w:szCs w:val="32"/>
        </w:rPr>
        <w:t>℃</w:t>
      </w:r>
      <w:r>
        <w:rPr>
          <w:rFonts w:hint="eastAsia" w:ascii="Times New Roman" w:hAnsi="Times New Roman" w:cs="Times New Roman"/>
          <w:sz w:val="24"/>
          <w:szCs w:val="32"/>
        </w:rPr>
        <w:t>.</w:t>
      </w: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rPr>
          <w:rFonts w:ascii="Times New Roman" w:hAnsi="Times New Roman" w:cs="Times New Roman"/>
          <w:sz w:val="24"/>
          <w:szCs w:val="32"/>
        </w:rPr>
      </w:pPr>
    </w:p>
    <w:p>
      <w:pPr>
        <w:widowControl/>
        <w:jc w:val="left"/>
        <w:rPr>
          <w:rFonts w:ascii="Times New Roman" w:hAnsi="Times New Roman" w:cs="Times New Roman"/>
          <w:sz w:val="24"/>
          <w:szCs w:val="32"/>
        </w:rPr>
      </w:pPr>
      <w:r>
        <w:rPr>
          <w:rFonts w:hint="eastAsia"/>
        </w:rPr>
        <w:drawing>
          <wp:inline distT="0" distB="0" distL="114300" distR="114300">
            <wp:extent cx="5271135" cy="1577340"/>
            <wp:effectExtent l="0" t="0" r="5715" b="3810"/>
            <wp:docPr id="13" name="图片 13" descr="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32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</w:rPr>
        <w:t xml:space="preserve">Figure S9. </w:t>
      </w:r>
      <w:r>
        <w:rPr>
          <w:rFonts w:ascii="Times New Roman" w:hAnsi="Times New Roman" w:cs="Times New Roman"/>
          <w:szCs w:val="21"/>
        </w:rPr>
        <w:t>Pictures of abscess volume in different groups after</w:t>
      </w:r>
      <w:r>
        <w:rPr>
          <w:rFonts w:hint="eastAsia" w:ascii="Times New Roman" w:hAnsi="Times New Roman" w:cs="Times New Roman"/>
          <w:szCs w:val="21"/>
        </w:rPr>
        <w:t xml:space="preserve"> a</w:t>
      </w:r>
      <w:r>
        <w:rPr>
          <w:rFonts w:ascii="Times New Roman" w:hAnsi="Times New Roman" w:cs="Times New Roman"/>
          <w:szCs w:val="21"/>
        </w:rPr>
        <w:t xml:space="preserve"> 14-day treatment.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FangSong_GB2312">
    <w:altName w:val="仿宋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1EB70C71-2AD8-4100-BED4-A42105CB385B}"/>
    <w:docVar w:name="KY_MEDREF_VERSION" w:val="3"/>
  </w:docVars>
  <w:rsids>
    <w:rsidRoot w:val="00501026"/>
    <w:rsid w:val="004D42C9"/>
    <w:rsid w:val="00501026"/>
    <w:rsid w:val="005B7BB6"/>
    <w:rsid w:val="00A54AA3"/>
    <w:rsid w:val="010077AE"/>
    <w:rsid w:val="028A1D41"/>
    <w:rsid w:val="03306D56"/>
    <w:rsid w:val="04E574AE"/>
    <w:rsid w:val="09257A55"/>
    <w:rsid w:val="0AF227E0"/>
    <w:rsid w:val="0B447ABB"/>
    <w:rsid w:val="0E1402CC"/>
    <w:rsid w:val="123E14EA"/>
    <w:rsid w:val="138E4C32"/>
    <w:rsid w:val="163530FE"/>
    <w:rsid w:val="16A92598"/>
    <w:rsid w:val="19173A99"/>
    <w:rsid w:val="1BA150A2"/>
    <w:rsid w:val="1BC378A3"/>
    <w:rsid w:val="1C9250D4"/>
    <w:rsid w:val="1EB96777"/>
    <w:rsid w:val="21FD3428"/>
    <w:rsid w:val="24E02486"/>
    <w:rsid w:val="25FB67B2"/>
    <w:rsid w:val="2A6D6219"/>
    <w:rsid w:val="2B452BBF"/>
    <w:rsid w:val="2F962DA8"/>
    <w:rsid w:val="30F87E9D"/>
    <w:rsid w:val="319751F1"/>
    <w:rsid w:val="320254EC"/>
    <w:rsid w:val="320D21B1"/>
    <w:rsid w:val="37235DC7"/>
    <w:rsid w:val="39823BD7"/>
    <w:rsid w:val="399B3D71"/>
    <w:rsid w:val="3B3D42E8"/>
    <w:rsid w:val="400E707D"/>
    <w:rsid w:val="41186803"/>
    <w:rsid w:val="42941603"/>
    <w:rsid w:val="439F1218"/>
    <w:rsid w:val="440540CC"/>
    <w:rsid w:val="46344157"/>
    <w:rsid w:val="46471869"/>
    <w:rsid w:val="47F451EA"/>
    <w:rsid w:val="4D0D791C"/>
    <w:rsid w:val="4DFE13DC"/>
    <w:rsid w:val="4EF82206"/>
    <w:rsid w:val="549B6A83"/>
    <w:rsid w:val="54E77E03"/>
    <w:rsid w:val="564359A7"/>
    <w:rsid w:val="569727BB"/>
    <w:rsid w:val="57774ECA"/>
    <w:rsid w:val="5C8C209A"/>
    <w:rsid w:val="5D482949"/>
    <w:rsid w:val="5DDB0CA0"/>
    <w:rsid w:val="5F87585A"/>
    <w:rsid w:val="5FFF451E"/>
    <w:rsid w:val="60961DCC"/>
    <w:rsid w:val="60CD699B"/>
    <w:rsid w:val="60E11C22"/>
    <w:rsid w:val="63B176EB"/>
    <w:rsid w:val="66080D7E"/>
    <w:rsid w:val="68B10451"/>
    <w:rsid w:val="6B9674D1"/>
    <w:rsid w:val="6C116671"/>
    <w:rsid w:val="6C3834C8"/>
    <w:rsid w:val="6C891C39"/>
    <w:rsid w:val="6DC54D68"/>
    <w:rsid w:val="70A654D7"/>
    <w:rsid w:val="71E914C4"/>
    <w:rsid w:val="730C29D2"/>
    <w:rsid w:val="747C69C1"/>
    <w:rsid w:val="78450543"/>
    <w:rsid w:val="79E0540A"/>
    <w:rsid w:val="7DFA33EB"/>
    <w:rsid w:val="7EA61E99"/>
    <w:rsid w:val="7EBC4B5B"/>
    <w:rsid w:val="7FB8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8"/>
    <w:qFormat/>
    <w:uiPriority w:val="0"/>
    <w:pPr>
      <w:jc w:val="left"/>
    </w:pPr>
  </w:style>
  <w:style w:type="paragraph" w:styleId="3">
    <w:name w:val="annotation subject"/>
    <w:basedOn w:val="2"/>
    <w:next w:val="2"/>
    <w:link w:val="9"/>
    <w:uiPriority w:val="0"/>
    <w:pPr>
      <w:jc w:val="both"/>
    </w:pPr>
    <w:rPr>
      <w:b/>
      <w:bCs/>
      <w:sz w:val="20"/>
      <w:szCs w:val="20"/>
    </w:rPr>
  </w:style>
  <w:style w:type="character" w:styleId="6">
    <w:name w:val="Strong"/>
    <w:basedOn w:val="5"/>
    <w:qFormat/>
    <w:uiPriority w:val="0"/>
    <w:rPr>
      <w:b/>
      <w:color w:val="DD4B39"/>
    </w:rPr>
  </w:style>
  <w:style w:type="character" w:styleId="7">
    <w:name w:val="annotation reference"/>
    <w:basedOn w:val="5"/>
    <w:uiPriority w:val="0"/>
    <w:rPr>
      <w:sz w:val="16"/>
      <w:szCs w:val="16"/>
    </w:rPr>
  </w:style>
  <w:style w:type="character" w:customStyle="1" w:styleId="8">
    <w:name w:val="Comment Text Char"/>
    <w:basedOn w:val="5"/>
    <w:link w:val="2"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/>
    </w:rPr>
  </w:style>
  <w:style w:type="character" w:customStyle="1" w:styleId="9">
    <w:name w:val="Comment Subject Char"/>
    <w:basedOn w:val="8"/>
    <w:link w:val="3"/>
    <w:uiPriority w:val="0"/>
    <w:rPr>
      <w:rFonts w:asciiTheme="minorHAnsi" w:hAnsiTheme="minorHAnsi" w:eastAsiaTheme="minorEastAsia" w:cstheme="minorBidi"/>
      <w:b/>
      <w:bCs/>
      <w:kern w:val="2"/>
      <w:sz w:val="21"/>
      <w:szCs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828</Words>
  <Characters>4720</Characters>
  <Lines>39</Lines>
  <Paragraphs>11</Paragraphs>
  <TotalTime>6</TotalTime>
  <ScaleCrop>false</ScaleCrop>
  <LinksUpToDate>false</LinksUpToDate>
  <CharactersWithSpaces>5537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jgj</dc:creator>
  <cp:lastModifiedBy>一蓑烟雨</cp:lastModifiedBy>
  <dcterms:modified xsi:type="dcterms:W3CDTF">2021-08-16T13:00:10Z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763E791709534645AB8AEFEC2A87D8CE</vt:lpwstr>
  </property>
</Properties>
</file>