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8D" w:rsidRPr="00CB0115" w:rsidRDefault="00A51F8D" w:rsidP="00A51F8D">
      <w:pPr>
        <w:spacing w:line="48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CB0115">
        <w:rPr>
          <w:rFonts w:ascii="Arial" w:hAnsi="Arial" w:cs="Arial"/>
          <w:b/>
          <w:bCs/>
          <w:sz w:val="32"/>
          <w:szCs w:val="32"/>
        </w:rPr>
        <w:t>Translation, cultural adaptation and validation of General Medication Adherence Scale (GMAS) into the Nepali language</w:t>
      </w:r>
    </w:p>
    <w:p w:rsidR="00A51F8D" w:rsidRPr="00CB0115" w:rsidRDefault="00A51F8D" w:rsidP="00A51F8D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3828EE" w:rsidRDefault="003828EE" w:rsidP="003828EE">
      <w:pPr>
        <w:spacing w:line="480" w:lineRule="auto"/>
        <w:jc w:val="both"/>
        <w:rPr>
          <w:rFonts w:ascii="Arial" w:hAnsi="Arial" w:cs="Arial"/>
          <w:b/>
          <w:bCs/>
          <w:sz w:val="20"/>
          <w:vertAlign w:val="superscript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Rajeev Shrestha</w:t>
      </w:r>
      <w:r>
        <w:rPr>
          <w:rFonts w:ascii="Arial" w:hAnsi="Arial" w:cs="Arial"/>
          <w:b/>
          <w:bCs/>
          <w:sz w:val="20"/>
          <w:vertAlign w:val="superscript"/>
          <w:lang w:val="en-GB"/>
        </w:rPr>
        <w:t>1</w:t>
      </w:r>
      <w:r>
        <w:rPr>
          <w:rFonts w:ascii="Arial" w:hAnsi="Arial" w:cs="Arial"/>
          <w:b/>
          <w:bCs/>
          <w:sz w:val="20"/>
          <w:lang w:val="en-GB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lang w:val="en-GB"/>
        </w:rPr>
        <w:t>Binaya</w:t>
      </w:r>
      <w:proofErr w:type="spellEnd"/>
      <w:r>
        <w:rPr>
          <w:rFonts w:ascii="Arial" w:hAnsi="Arial" w:cs="Arial"/>
          <w:b/>
          <w:bCs/>
          <w:sz w:val="20"/>
          <w:lang w:val="en-GB"/>
        </w:rPr>
        <w:t xml:space="preserve"> Sapkota</w:t>
      </w:r>
      <w:r>
        <w:rPr>
          <w:rFonts w:ascii="Arial" w:hAnsi="Arial" w:cs="Arial"/>
          <w:b/>
          <w:bCs/>
          <w:sz w:val="20"/>
          <w:vertAlign w:val="superscript"/>
          <w:lang w:val="en-GB"/>
        </w:rPr>
        <w:t>2</w:t>
      </w:r>
      <w:r>
        <w:rPr>
          <w:rFonts w:ascii="Arial" w:hAnsi="Arial" w:cs="Arial"/>
          <w:b/>
          <w:bCs/>
          <w:sz w:val="20"/>
          <w:lang w:val="en-GB"/>
        </w:rPr>
        <w:t xml:space="preserve">, </w:t>
      </w:r>
      <w:proofErr w:type="spellStart"/>
      <w:r>
        <w:rPr>
          <w:rFonts w:ascii="Arial" w:hAnsi="Arial" w:cs="Arial"/>
          <w:b/>
          <w:bCs/>
          <w:color w:val="222222"/>
          <w:sz w:val="20"/>
          <w:shd w:val="clear" w:color="auto" w:fill="FFFFFF"/>
          <w:lang w:val="en-GB"/>
        </w:rPr>
        <w:t>Asmita</w:t>
      </w:r>
      <w:proofErr w:type="spellEnd"/>
      <w:r>
        <w:rPr>
          <w:rFonts w:ascii="Arial" w:hAnsi="Arial" w:cs="Arial"/>
          <w:b/>
          <w:bCs/>
          <w:color w:val="222222"/>
          <w:sz w:val="20"/>
          <w:shd w:val="clear" w:color="auto" w:fill="FFFFFF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0"/>
          <w:shd w:val="clear" w:color="auto" w:fill="FFFFFF"/>
          <w:lang w:val="en-GB"/>
        </w:rPr>
        <w:t>Priyadarshini</w:t>
      </w:r>
      <w:proofErr w:type="spellEnd"/>
      <w:r>
        <w:rPr>
          <w:rFonts w:ascii="Arial" w:hAnsi="Arial" w:cs="Arial"/>
          <w:b/>
          <w:bCs/>
          <w:color w:val="222222"/>
          <w:sz w:val="20"/>
          <w:shd w:val="clear" w:color="auto" w:fill="FFFFFF"/>
          <w:lang w:val="en-GB"/>
        </w:rPr>
        <w:t xml:space="preserve"> Khatiwada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  <w:vertAlign w:val="superscript"/>
          <w:lang w:val="en-GB"/>
        </w:rPr>
        <w:t>3</w:t>
      </w:r>
      <w:r>
        <w:rPr>
          <w:rFonts w:ascii="Arial" w:hAnsi="Arial" w:cs="Arial"/>
          <w:b/>
          <w:bCs/>
          <w:sz w:val="20"/>
          <w:lang w:val="en-GB"/>
        </w:rPr>
        <w:t>, Sunil Shrestha</w:t>
      </w:r>
      <w:r>
        <w:rPr>
          <w:rFonts w:ascii="Arial" w:hAnsi="Arial" w:cs="Arial"/>
          <w:b/>
          <w:bCs/>
          <w:sz w:val="20"/>
          <w:vertAlign w:val="superscript"/>
          <w:lang w:val="en-GB"/>
        </w:rPr>
        <w:t>4</w:t>
      </w:r>
      <w:r>
        <w:rPr>
          <w:rFonts w:ascii="Arial" w:hAnsi="Arial" w:cs="Arial"/>
          <w:b/>
          <w:bCs/>
          <w:sz w:val="20"/>
          <w:lang w:val="en-GB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lang w:val="en-GB"/>
        </w:rPr>
        <w:t>Saval</w:t>
      </w:r>
      <w:proofErr w:type="spellEnd"/>
      <w:r>
        <w:rPr>
          <w:rFonts w:ascii="Arial" w:hAnsi="Arial" w:cs="Arial"/>
          <w:b/>
          <w:bCs/>
          <w:sz w:val="20"/>
          <w:lang w:val="en-GB"/>
        </w:rPr>
        <w:t xml:space="preserve"> Khanal</w:t>
      </w:r>
      <w:r>
        <w:rPr>
          <w:rFonts w:ascii="Arial" w:hAnsi="Arial" w:cs="Arial"/>
          <w:b/>
          <w:bCs/>
          <w:sz w:val="20"/>
          <w:vertAlign w:val="superscript"/>
          <w:lang w:val="en-GB"/>
        </w:rPr>
        <w:t>5</w:t>
      </w:r>
      <w:r>
        <w:rPr>
          <w:rFonts w:ascii="Arial" w:hAnsi="Arial" w:cs="Arial"/>
          <w:b/>
          <w:bCs/>
          <w:sz w:val="20"/>
          <w:lang w:val="en-GB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lang w:val="en-GB"/>
        </w:rPr>
        <w:t>Bhuvan</w:t>
      </w:r>
      <w:proofErr w:type="spellEnd"/>
      <w:r>
        <w:rPr>
          <w:rFonts w:ascii="Arial" w:hAnsi="Arial" w:cs="Arial"/>
          <w:b/>
          <w:bCs/>
          <w:sz w:val="20"/>
          <w:lang w:val="en-GB"/>
        </w:rPr>
        <w:t xml:space="preserve"> KC</w:t>
      </w:r>
      <w:r>
        <w:rPr>
          <w:rFonts w:ascii="Arial" w:hAnsi="Arial" w:cs="Arial"/>
          <w:b/>
          <w:bCs/>
          <w:sz w:val="20"/>
          <w:vertAlign w:val="superscript"/>
          <w:lang w:val="en-GB"/>
        </w:rPr>
        <w:t>4</w:t>
      </w:r>
      <w:r>
        <w:rPr>
          <w:rFonts w:ascii="Arial" w:hAnsi="Arial" w:cs="Arial"/>
          <w:b/>
          <w:bCs/>
          <w:sz w:val="20"/>
          <w:lang w:val="en-GB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lang w:val="en-GB"/>
        </w:rPr>
        <w:t>Vibhu</w:t>
      </w:r>
      <w:proofErr w:type="spellEnd"/>
      <w:r>
        <w:rPr>
          <w:rFonts w:ascii="Arial" w:hAnsi="Arial" w:cs="Arial"/>
          <w:b/>
          <w:bCs/>
          <w:sz w:val="20"/>
          <w:lang w:val="en-GB"/>
        </w:rPr>
        <w:t xml:space="preserve"> Paudyal</w:t>
      </w:r>
      <w:r>
        <w:rPr>
          <w:rFonts w:ascii="Arial" w:hAnsi="Arial" w:cs="Arial"/>
          <w:b/>
          <w:bCs/>
          <w:sz w:val="20"/>
          <w:vertAlign w:val="superscript"/>
          <w:lang w:val="en-GB"/>
        </w:rPr>
        <w:t>6</w:t>
      </w:r>
    </w:p>
    <w:p w:rsidR="003828EE" w:rsidRDefault="003828EE" w:rsidP="003828EE">
      <w:pPr>
        <w:spacing w:line="480" w:lineRule="auto"/>
        <w:jc w:val="both"/>
        <w:rPr>
          <w:rFonts w:ascii="Arial" w:hAnsi="Arial" w:cs="Arial"/>
          <w:b/>
          <w:bCs/>
          <w:sz w:val="20"/>
          <w:lang w:val="en-GB"/>
        </w:rPr>
      </w:pPr>
    </w:p>
    <w:p w:rsidR="003828EE" w:rsidRDefault="003828EE" w:rsidP="003828EE">
      <w:pPr>
        <w:spacing w:line="480" w:lineRule="auto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vertAlign w:val="superscript"/>
          <w:lang w:val="en-GB"/>
        </w:rPr>
        <w:t>1</w:t>
      </w:r>
      <w:r>
        <w:rPr>
          <w:rFonts w:ascii="Arial" w:hAnsi="Arial" w:cs="Arial"/>
          <w:sz w:val="20"/>
          <w:lang w:val="en-GB"/>
        </w:rPr>
        <w:t xml:space="preserve">Department of Pharmacy, District Hospital </w:t>
      </w:r>
      <w:proofErr w:type="spellStart"/>
      <w:r>
        <w:rPr>
          <w:rFonts w:ascii="Arial" w:hAnsi="Arial" w:cs="Arial"/>
          <w:sz w:val="20"/>
          <w:lang w:val="en-GB"/>
        </w:rPr>
        <w:t>Lamjung</w:t>
      </w:r>
      <w:proofErr w:type="spellEnd"/>
      <w:r>
        <w:rPr>
          <w:rFonts w:ascii="Arial" w:hAnsi="Arial" w:cs="Arial"/>
          <w:sz w:val="20"/>
          <w:lang w:val="en-GB"/>
        </w:rPr>
        <w:t xml:space="preserve">, </w:t>
      </w:r>
      <w:proofErr w:type="spellStart"/>
      <w:r>
        <w:rPr>
          <w:rFonts w:ascii="Arial" w:hAnsi="Arial" w:cs="Arial"/>
          <w:sz w:val="20"/>
          <w:lang w:val="en-GB"/>
        </w:rPr>
        <w:t>Besisahar</w:t>
      </w:r>
      <w:proofErr w:type="spellEnd"/>
      <w:r>
        <w:rPr>
          <w:rFonts w:ascii="Arial" w:hAnsi="Arial" w:cs="Arial"/>
          <w:sz w:val="20"/>
          <w:lang w:val="en-GB"/>
        </w:rPr>
        <w:t xml:space="preserve">, Province </w:t>
      </w:r>
      <w:proofErr w:type="spellStart"/>
      <w:r>
        <w:rPr>
          <w:rFonts w:ascii="Arial" w:hAnsi="Arial" w:cs="Arial"/>
          <w:sz w:val="20"/>
          <w:lang w:val="en-GB"/>
        </w:rPr>
        <w:t>Gandaki</w:t>
      </w:r>
      <w:proofErr w:type="spellEnd"/>
      <w:r>
        <w:rPr>
          <w:rFonts w:ascii="Arial" w:hAnsi="Arial" w:cs="Arial"/>
          <w:sz w:val="20"/>
          <w:lang w:val="en-GB"/>
        </w:rPr>
        <w:t>, Nepal</w:t>
      </w:r>
    </w:p>
    <w:p w:rsidR="003828EE" w:rsidRDefault="003828EE" w:rsidP="003828EE">
      <w:pPr>
        <w:spacing w:line="480" w:lineRule="auto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vertAlign w:val="superscript"/>
          <w:lang w:val="en-GB"/>
        </w:rPr>
        <w:t>2</w:t>
      </w:r>
      <w:r>
        <w:rPr>
          <w:rFonts w:ascii="Arial" w:hAnsi="Arial" w:cs="Arial"/>
          <w:sz w:val="20"/>
          <w:lang w:val="en-GB"/>
        </w:rPr>
        <w:t xml:space="preserve">Department of Pharmaceutical Sciences, Nobel College, Affiliated to </w:t>
      </w:r>
      <w:proofErr w:type="spellStart"/>
      <w:r>
        <w:rPr>
          <w:rFonts w:ascii="Arial" w:hAnsi="Arial" w:cs="Arial"/>
          <w:sz w:val="20"/>
          <w:lang w:val="en-GB"/>
        </w:rPr>
        <w:t>Pokhara</w:t>
      </w:r>
      <w:proofErr w:type="spellEnd"/>
      <w:r>
        <w:rPr>
          <w:rFonts w:ascii="Arial" w:hAnsi="Arial" w:cs="Arial"/>
          <w:sz w:val="20"/>
          <w:lang w:val="en-GB"/>
        </w:rPr>
        <w:t xml:space="preserve"> University, Kathmandu, </w:t>
      </w:r>
      <w:proofErr w:type="gramStart"/>
      <w:r>
        <w:rPr>
          <w:rFonts w:ascii="Arial" w:hAnsi="Arial" w:cs="Arial"/>
          <w:sz w:val="20"/>
          <w:lang w:val="en-GB"/>
        </w:rPr>
        <w:t>Province</w:t>
      </w:r>
      <w:proofErr w:type="gramEnd"/>
      <w:r>
        <w:rPr>
          <w:rFonts w:ascii="Arial" w:hAnsi="Arial" w:cs="Arial"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lang w:val="en-GB"/>
        </w:rPr>
        <w:t>Bagmati</w:t>
      </w:r>
      <w:proofErr w:type="spellEnd"/>
      <w:r>
        <w:rPr>
          <w:rFonts w:ascii="Arial" w:hAnsi="Arial" w:cs="Arial"/>
          <w:sz w:val="20"/>
          <w:lang w:val="en-GB"/>
        </w:rPr>
        <w:t>, Nepal</w:t>
      </w:r>
    </w:p>
    <w:p w:rsidR="003828EE" w:rsidRDefault="003828EE" w:rsidP="003828EE">
      <w:pPr>
        <w:spacing w:line="480" w:lineRule="auto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vertAlign w:val="superscript"/>
          <w:lang w:val="en-GB"/>
        </w:rPr>
        <w:t>3</w:t>
      </w:r>
      <w:r>
        <w:rPr>
          <w:rFonts w:ascii="Arial" w:hAnsi="Arial" w:cs="Arial"/>
          <w:sz w:val="20"/>
          <w:lang w:val="en-GB"/>
        </w:rPr>
        <w:t xml:space="preserve">Department of Pharmaceutical and Health Service Research, Nepal Health Research and Innovation Foundation, </w:t>
      </w:r>
      <w:proofErr w:type="spellStart"/>
      <w:r>
        <w:rPr>
          <w:rFonts w:ascii="Arial" w:hAnsi="Arial" w:cs="Arial"/>
          <w:sz w:val="20"/>
          <w:lang w:val="en-GB"/>
        </w:rPr>
        <w:t>Lalitpur</w:t>
      </w:r>
      <w:proofErr w:type="spellEnd"/>
      <w:r>
        <w:rPr>
          <w:rFonts w:ascii="Arial" w:hAnsi="Arial" w:cs="Arial"/>
          <w:sz w:val="20"/>
          <w:lang w:val="en-GB"/>
        </w:rPr>
        <w:t xml:space="preserve">, Province </w:t>
      </w:r>
      <w:proofErr w:type="spellStart"/>
      <w:r>
        <w:rPr>
          <w:rFonts w:ascii="Arial" w:hAnsi="Arial" w:cs="Arial"/>
          <w:sz w:val="20"/>
          <w:lang w:val="en-GB"/>
        </w:rPr>
        <w:t>Bagmati</w:t>
      </w:r>
      <w:proofErr w:type="spellEnd"/>
      <w:r>
        <w:rPr>
          <w:rFonts w:ascii="Arial" w:hAnsi="Arial" w:cs="Arial"/>
          <w:sz w:val="20"/>
          <w:lang w:val="en-GB"/>
        </w:rPr>
        <w:t>, Nepal</w:t>
      </w:r>
    </w:p>
    <w:p w:rsidR="003828EE" w:rsidRDefault="003828EE" w:rsidP="003828EE">
      <w:pPr>
        <w:spacing w:line="480" w:lineRule="auto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vertAlign w:val="superscript"/>
          <w:lang w:val="en-GB"/>
        </w:rPr>
        <w:t>4</w:t>
      </w:r>
      <w:r>
        <w:rPr>
          <w:rFonts w:ascii="Arial" w:hAnsi="Arial" w:cs="Arial"/>
          <w:sz w:val="20"/>
          <w:lang w:val="en-GB"/>
        </w:rPr>
        <w:t xml:space="preserve">School of Pharmacy, </w:t>
      </w:r>
      <w:proofErr w:type="spellStart"/>
      <w:r>
        <w:rPr>
          <w:rFonts w:ascii="Arial" w:hAnsi="Arial" w:cs="Arial"/>
          <w:sz w:val="20"/>
          <w:lang w:val="en-GB"/>
        </w:rPr>
        <w:t>Monash</w:t>
      </w:r>
      <w:proofErr w:type="spellEnd"/>
      <w:r>
        <w:rPr>
          <w:rFonts w:ascii="Arial" w:hAnsi="Arial" w:cs="Arial"/>
          <w:sz w:val="20"/>
          <w:lang w:val="en-GB"/>
        </w:rPr>
        <w:t xml:space="preserve"> University Malaysia, </w:t>
      </w:r>
      <w:proofErr w:type="spellStart"/>
      <w:r>
        <w:rPr>
          <w:rFonts w:ascii="Arial" w:hAnsi="Arial" w:cs="Arial"/>
          <w:sz w:val="20"/>
          <w:lang w:val="en-GB"/>
        </w:rPr>
        <w:t>Jalan</w:t>
      </w:r>
      <w:proofErr w:type="spellEnd"/>
      <w:r>
        <w:rPr>
          <w:rFonts w:ascii="Arial" w:hAnsi="Arial" w:cs="Arial"/>
          <w:sz w:val="20"/>
          <w:lang w:val="en-GB"/>
        </w:rPr>
        <w:t xml:space="preserve"> Lagoon Selatan, 47500, Bandar Sunway,, Selangor, Malaysia</w:t>
      </w:r>
      <w:r>
        <w:rPr>
          <w:rFonts w:ascii="Arial" w:hAnsi="Arial" w:cs="Arial"/>
          <w:sz w:val="20"/>
          <w:vertAlign w:val="superscript"/>
          <w:lang w:val="en-GB"/>
        </w:rPr>
        <w:t>5</w:t>
      </w:r>
      <w:r>
        <w:rPr>
          <w:rFonts w:ascii="Arial" w:hAnsi="Arial" w:cs="Arial"/>
          <w:sz w:val="20"/>
          <w:lang w:val="en-GB"/>
        </w:rPr>
        <w:t>Division of Health Sciences, Warwick Medical School, University of Warwick, Coventry, United Kingdom</w:t>
      </w:r>
    </w:p>
    <w:p w:rsidR="00A51F8D" w:rsidRPr="00CB0115" w:rsidRDefault="003828EE" w:rsidP="003828EE">
      <w:pPr>
        <w:widowControl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vertAlign w:val="superscript"/>
          <w:lang w:val="en-GB"/>
        </w:rPr>
        <w:t>6</w:t>
      </w:r>
      <w:r>
        <w:rPr>
          <w:rFonts w:ascii="Arial" w:hAnsi="Arial" w:cs="Arial"/>
          <w:sz w:val="20"/>
          <w:lang w:val="en-GB"/>
        </w:rPr>
        <w:t>Institute of Clinical Sciences, College of Medical and Dental Sciences, University of Birmingham, Birmingham, United Kingdom</w:t>
      </w:r>
    </w:p>
    <w:p w:rsidR="00A51F8D" w:rsidRPr="00CB0115" w:rsidRDefault="00A51F8D" w:rsidP="00A51F8D">
      <w:pPr>
        <w:widowControl w:val="0"/>
        <w:spacing w:line="480" w:lineRule="auto"/>
        <w:ind w:left="640" w:hanging="640"/>
        <w:rPr>
          <w:rFonts w:ascii="Arial" w:hAnsi="Arial" w:cs="Arial"/>
          <w:b/>
          <w:bCs/>
          <w:sz w:val="20"/>
          <w:szCs w:val="20"/>
        </w:rPr>
      </w:pPr>
    </w:p>
    <w:p w:rsidR="008060D0" w:rsidRPr="00CB0115" w:rsidRDefault="00E3193D">
      <w:pPr>
        <w:widowControl w:val="0"/>
        <w:spacing w:line="480" w:lineRule="auto"/>
        <w:ind w:left="640" w:hanging="640"/>
        <w:rPr>
          <w:rFonts w:ascii="Arial" w:hAnsi="Arial" w:cs="Arial"/>
          <w:sz w:val="20"/>
          <w:szCs w:val="20"/>
        </w:rPr>
      </w:pPr>
      <w:r w:rsidRPr="00CB0115">
        <w:rPr>
          <w:rFonts w:ascii="Arial" w:hAnsi="Arial" w:cs="Arial"/>
          <w:b/>
          <w:bCs/>
          <w:sz w:val="20"/>
          <w:szCs w:val="20"/>
        </w:rPr>
        <w:t>Supplementary Tables and Figure</w:t>
      </w:r>
    </w:p>
    <w:p w:rsidR="008060D0" w:rsidRPr="00CB0115" w:rsidRDefault="00E3193D">
      <w:pPr>
        <w:tabs>
          <w:tab w:val="center" w:pos="468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B0115">
        <w:rPr>
          <w:rFonts w:ascii="Arial" w:hAnsi="Arial" w:cs="Arial"/>
          <w:b/>
          <w:bCs/>
          <w:sz w:val="20"/>
          <w:szCs w:val="20"/>
        </w:rPr>
        <w:t xml:space="preserve">Supplementary Table 1: Disease details of study patients </w:t>
      </w:r>
    </w:p>
    <w:tbl>
      <w:tblPr>
        <w:tblStyle w:val="LightShading"/>
        <w:tblW w:w="9679" w:type="dxa"/>
        <w:tblLook w:val="06A0" w:firstRow="1" w:lastRow="0" w:firstColumn="1" w:lastColumn="0" w:noHBand="1" w:noVBand="1"/>
      </w:tblPr>
      <w:tblGrid>
        <w:gridCol w:w="4948"/>
        <w:gridCol w:w="2072"/>
        <w:gridCol w:w="2659"/>
      </w:tblGrid>
      <w:tr w:rsidR="008060D0" w:rsidRPr="00CB0115" w:rsidTr="00FC6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Disease condition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ICD classification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Frequency (%) [N=220]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F41.9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4 (1.8)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Anxiety + Hypertension</w:t>
            </w:r>
            <w:bookmarkStart w:id="0" w:name="_GoBack"/>
            <w:bookmarkEnd w:id="0"/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F 41.9; I10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Arthritis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M13.9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3 (1.4)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Arthritis + Diabetes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M13.9; E14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Arthritis + Hypertension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M13.9; I10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2 (0.9)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Arthritis + Hyperthyroidism + Hypertension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M13.9; E05.9; I10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2 (0.9)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J45.9-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5 (2.3)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Asthma + Hypertension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J45.9; I10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2 (0.9)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Asthma + Hyperthyroidism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J45.9; E05.9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Chronic kidney disease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N18.9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COPD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J44.9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15 (6.8)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COPD + Epilepsy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J44.9; G40.9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3 (1.4)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COPD + Hypertension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 xml:space="preserve">J44.9; I10 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3 (1.4)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COPD + Hypertension + Hyperlipidemia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J44.9; I10; E78.5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2 (0.9)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>COPD +Hypertension+ Diabetes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J44.9; I10; E11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F32.9-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4 (1.8)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Diabetes + Gout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E14; M10.9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Diabetes + Hypertension + Gout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E11; I10; M10.9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Diabetes + Mental disorder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E11; F99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2 (0.9)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Diabetes +Anxiety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E11; F41.9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Diabetes +Hypertension + Parkinsonism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E14; I10; G20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Diabetes+ Hypothyroidism + Hyperlipidemia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E14; E03.9; E78.5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2 (0.9)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G40.9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8 (3.6)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Epilepsy + Anxiety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G40.9; F41.9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2 (0.9)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Gout + Hypertension + Hyperlipidemia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M10.9; I10; E78.5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Hyperlipidemia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E78.5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4 (1.8)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Hyperlipidemia + Hypertension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E78.5; I10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10 (4.5)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51 (23.2)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Hypertension + Chronic kidney disease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I10; N18.9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Hypertension + Hyperthyroidism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I10; E05.9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Hypertension + Type 2 Diabetes Mellitus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I10; E11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19 (8.6)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Hypertension + Type 2 Diabetes Mellitus + Arthritis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I10; E14; M13.9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2 (0.9)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Hypertension + Type 2 Diabetes mellitus + Hyperlipidemia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I10; E11; E78.5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Hypertension +Type 2 Diabetes mellitus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I10; E11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Hypertension+ Type 2 Diabetes mellitus + Hyperlipidemia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I10; E11;E78.5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9 (4.1)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Hyperthyroidism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E05.9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6 (2.7)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Hyperthyroidism + Type 2 Diabetes mellitus + Hypertension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E05.9; E11; I10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3 (1.4)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Hypothyroidism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E03.9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Hypothyroidism +Anxiety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E03.9; F41.9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Liver cirrhosis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K74.6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Migraine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G43.9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3 (1.4)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Psychosis + Hypertension + Hyperlipidemia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F29; I10; E78.5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Sickle cell anemia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D57.1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SLE (Lupus nephritis)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M32.1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Stroke + Type 2 Diabetes mellitus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I64: E11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Type 2 Diabetes Mellitus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E11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27 (12.3)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Type 2 Diabetes mellitus with diabetic neuropathy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E11.40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3 (1.4)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Vitamin D deficiency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E55.9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060D0" w:rsidRPr="00CB0115" w:rsidTr="00FC6B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8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Vitamin D deficiency + Arthritis</w:t>
            </w:r>
          </w:p>
        </w:tc>
        <w:tc>
          <w:tcPr>
            <w:tcW w:w="207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E55.9; M13.9</w:t>
            </w:r>
          </w:p>
        </w:tc>
        <w:tc>
          <w:tcPr>
            <w:tcW w:w="2659" w:type="dxa"/>
          </w:tcPr>
          <w:p w:rsidR="008060D0" w:rsidRPr="00CB0115" w:rsidRDefault="00E3193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color w:val="000000"/>
                <w:sz w:val="20"/>
                <w:szCs w:val="20"/>
              </w:rPr>
              <w:t>2 (0.9)</w:t>
            </w:r>
          </w:p>
        </w:tc>
      </w:tr>
    </w:tbl>
    <w:p w:rsidR="008060D0" w:rsidRPr="00CB0115" w:rsidRDefault="008060D0">
      <w:pPr>
        <w:widowControl w:val="0"/>
        <w:spacing w:line="480" w:lineRule="auto"/>
        <w:rPr>
          <w:rFonts w:ascii="Arial" w:hAnsi="Arial" w:cs="Arial"/>
          <w:sz w:val="20"/>
          <w:szCs w:val="20"/>
        </w:rPr>
      </w:pPr>
    </w:p>
    <w:p w:rsidR="008060D0" w:rsidRPr="00CB0115" w:rsidRDefault="00E319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B01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Supplementary Table 2: </w:t>
      </w:r>
      <w:r w:rsidRPr="00CB0115">
        <w:rPr>
          <w:rFonts w:ascii="Arial" w:hAnsi="Arial" w:cs="Arial"/>
          <w:b/>
          <w:bCs/>
          <w:sz w:val="20"/>
          <w:szCs w:val="20"/>
        </w:rPr>
        <w:t>Measure of sample adequacy</w:t>
      </w:r>
    </w:p>
    <w:tbl>
      <w:tblPr>
        <w:tblStyle w:val="LightShading"/>
        <w:tblW w:w="9275" w:type="dxa"/>
        <w:tblLook w:val="06A0" w:firstRow="1" w:lastRow="0" w:firstColumn="1" w:lastColumn="0" w:noHBand="1" w:noVBand="1"/>
      </w:tblPr>
      <w:tblGrid>
        <w:gridCol w:w="1177"/>
        <w:gridCol w:w="1742"/>
        <w:gridCol w:w="2595"/>
        <w:gridCol w:w="3761"/>
      </w:tblGrid>
      <w:tr w:rsidR="008060D0" w:rsidRPr="00CB0115" w:rsidTr="00FC6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8060D0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KMO statistic</w:t>
            </w:r>
          </w:p>
        </w:tc>
        <w:tc>
          <w:tcPr>
            <w:tcW w:w="2595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Overall KMO statistic</w:t>
            </w:r>
          </w:p>
        </w:tc>
        <w:tc>
          <w:tcPr>
            <w:tcW w:w="3761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Bartlett test of homogeneity of </w:t>
            </w:r>
            <w:r w:rsidRPr="00CB0115">
              <w:rPr>
                <w:rFonts w:ascii="Arial" w:hAnsi="Arial" w:cs="Arial"/>
                <w:sz w:val="20"/>
                <w:szCs w:val="20"/>
              </w:rPr>
              <w:lastRenderedPageBreak/>
              <w:t>variances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lastRenderedPageBreak/>
              <w:t>GMAS1</w:t>
            </w: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0.81   </w:t>
            </w:r>
          </w:p>
        </w:tc>
        <w:tc>
          <w:tcPr>
            <w:tcW w:w="2595" w:type="dxa"/>
            <w:vMerge w:val="restart"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0.83 (meritorious or great)</w:t>
            </w:r>
          </w:p>
        </w:tc>
        <w:tc>
          <w:tcPr>
            <w:tcW w:w="3761" w:type="dxa"/>
            <w:vMerge w:val="restart"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K</w:t>
            </w:r>
            <w:r w:rsidRPr="00CB011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CB0115">
              <w:rPr>
                <w:rFonts w:ascii="Arial" w:hAnsi="Arial" w:cs="Arial"/>
                <w:sz w:val="20"/>
                <w:szCs w:val="20"/>
              </w:rPr>
              <w:t>(10) = 126.95, p-value &lt; 2.2X10-16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GMAS2</w:t>
            </w: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0.80   </w:t>
            </w:r>
          </w:p>
        </w:tc>
        <w:tc>
          <w:tcPr>
            <w:tcW w:w="2595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GMAS3</w:t>
            </w: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2595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GMAS4</w:t>
            </w: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2595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GMAS5</w:t>
            </w: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2595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GMAS6</w:t>
            </w: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2595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GMAS7</w:t>
            </w: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2595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GMAS8</w:t>
            </w: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2595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GMAS9</w:t>
            </w: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2595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Cs w:val="0"/>
                <w:sz w:val="20"/>
                <w:szCs w:val="20"/>
              </w:rPr>
              <w:t>GMAS10</w:t>
            </w: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2595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Cs w:val="0"/>
                <w:sz w:val="20"/>
                <w:szCs w:val="20"/>
              </w:rPr>
              <w:t>GMAS11</w:t>
            </w:r>
          </w:p>
        </w:tc>
        <w:tc>
          <w:tcPr>
            <w:tcW w:w="1742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2595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vMerge/>
          </w:tcPr>
          <w:p w:rsidR="008060D0" w:rsidRPr="00CB0115" w:rsidRDefault="008060D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60D0" w:rsidRPr="00CB0115" w:rsidRDefault="008060D0">
      <w:pPr>
        <w:widowControl w:val="0"/>
        <w:spacing w:line="480" w:lineRule="auto"/>
        <w:rPr>
          <w:rFonts w:ascii="Arial" w:hAnsi="Arial" w:cs="Arial"/>
          <w:sz w:val="20"/>
          <w:szCs w:val="20"/>
        </w:rPr>
      </w:pPr>
    </w:p>
    <w:p w:rsidR="008060D0" w:rsidRPr="00CB0115" w:rsidRDefault="00E319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B0115">
        <w:rPr>
          <w:rFonts w:ascii="Arial" w:hAnsi="Arial" w:cs="Arial"/>
          <w:b/>
          <w:bCs/>
          <w:sz w:val="20"/>
          <w:szCs w:val="20"/>
        </w:rPr>
        <w:t>Supplementary Table 3: Correlation Matrix (R-matrix)</w:t>
      </w:r>
    </w:p>
    <w:tbl>
      <w:tblPr>
        <w:tblStyle w:val="LightShading"/>
        <w:tblW w:w="13049" w:type="dxa"/>
        <w:tblInd w:w="-792" w:type="dxa"/>
        <w:tblLayout w:type="fixed"/>
        <w:tblLook w:val="06A0" w:firstRow="1" w:lastRow="0" w:firstColumn="1" w:lastColumn="0" w:noHBand="1" w:noVBand="1"/>
      </w:tblPr>
      <w:tblGrid>
        <w:gridCol w:w="117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86"/>
        <w:gridCol w:w="1176"/>
        <w:gridCol w:w="1163"/>
      </w:tblGrid>
      <w:tr w:rsidR="008060D0" w:rsidRPr="00CB0115" w:rsidTr="00FC6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Items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GMAS1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GMAS2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GMAS3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GMAS4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GMAS5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GMAS6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GMAS7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GMAS8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GMAS9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GMAS10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GMAS11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GMAS1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1.00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0.43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0.17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0.16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0.36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0.26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0.41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0.30  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0.23   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0.25   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GMAS2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0.43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1.00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0.14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0.18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0.23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0.34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0.37  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0.13   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0.26   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GMAS3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0.17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0.14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1.00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0.29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0.27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0.29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0.30  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0.18   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0.21   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GMAS4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0.16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0.29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1.00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0.37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0.34  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0.12   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0.29   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GMAS5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0.36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0.18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0.37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1.00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0.24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0.39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0.31  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 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0.24   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GMAS6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0.26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0.23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0.27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0.24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1.00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0.39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0.50  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 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0.54   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GMAS7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0.41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0.34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0.29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0.39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0.39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1.00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0.56  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0.36   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 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GMAS8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0.30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0.37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0.30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0.34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0.31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0.50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0.56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1.00  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0.39   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0.56   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GMAS9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0.23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0.13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0.18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0.12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0.36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0.39  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1.00   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 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GMAS10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0.26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0.21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0.29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0.24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0.54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0.56  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0.35   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1.00   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GMAS11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0.19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0.20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0.12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0.11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0.13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0.36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0.27  </w:t>
            </w:r>
          </w:p>
        </w:tc>
        <w:tc>
          <w:tcPr>
            <w:tcW w:w="105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0.21  </w:t>
            </w:r>
          </w:p>
        </w:tc>
        <w:tc>
          <w:tcPr>
            <w:tcW w:w="108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0.26   </w:t>
            </w:r>
          </w:p>
        </w:tc>
        <w:tc>
          <w:tcPr>
            <w:tcW w:w="1176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 xml:space="preserve">0.36   </w:t>
            </w:r>
          </w:p>
        </w:tc>
        <w:tc>
          <w:tcPr>
            <w:tcW w:w="1163" w:type="dxa"/>
          </w:tcPr>
          <w:p w:rsidR="008060D0" w:rsidRPr="00CB0115" w:rsidRDefault="00E3193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8060D0" w:rsidRPr="00CB0115" w:rsidTr="00FC6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9" w:type="dxa"/>
            <w:gridSpan w:val="12"/>
          </w:tcPr>
          <w:p w:rsidR="008060D0" w:rsidRPr="00CB0115" w:rsidRDefault="00E319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Determinant = 0.05119</w:t>
            </w:r>
          </w:p>
        </w:tc>
      </w:tr>
    </w:tbl>
    <w:p w:rsidR="008060D0" w:rsidRPr="00CB0115" w:rsidRDefault="00E319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B0115">
        <w:rPr>
          <w:rFonts w:ascii="Arial" w:hAnsi="Arial" w:cs="Arial"/>
          <w:noProof/>
          <w:sz w:val="20"/>
          <w:szCs w:val="20"/>
          <w:lang w:eastAsia="en-US" w:bidi="ne-NP"/>
        </w:rPr>
        <w:drawing>
          <wp:inline distT="0" distB="0" distL="0" distR="0" wp14:anchorId="72C9553A" wp14:editId="30D776A0">
            <wp:extent cx="5039995" cy="2985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0D0" w:rsidRPr="00CB0115" w:rsidRDefault="00E3193D" w:rsidP="00A51F8D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CB0115">
        <w:rPr>
          <w:rFonts w:ascii="Arial" w:hAnsi="Arial" w:cs="Arial"/>
          <w:b/>
          <w:bCs/>
          <w:sz w:val="20"/>
          <w:szCs w:val="20"/>
        </w:rPr>
        <w:lastRenderedPageBreak/>
        <w:t>Supplementary Figure 1: Scree plot</w:t>
      </w:r>
    </w:p>
    <w:p w:rsidR="008060D0" w:rsidRPr="00CB0115" w:rsidRDefault="008060D0">
      <w:pPr>
        <w:widowControl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sectPr w:rsidR="008060D0" w:rsidRPr="00CB0115" w:rsidSect="00E3193D">
      <w:pgSz w:w="11907" w:h="16839" w:code="9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8060D0"/>
    <w:rsid w:val="003828EE"/>
    <w:rsid w:val="008060D0"/>
    <w:rsid w:val="00A51F8D"/>
    <w:rsid w:val="00CB0115"/>
    <w:rsid w:val="00E3193D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table" w:styleId="LightShading">
    <w:name w:val="Light Shading"/>
    <w:basedOn w:val="TableNormal"/>
    <w:uiPriority w:val="60"/>
    <w:rsid w:val="00FC6B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6BF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F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Rajeev Shrestha</cp:lastModifiedBy>
  <cp:revision>6</cp:revision>
  <dcterms:created xsi:type="dcterms:W3CDTF">2021-02-07T20:20:00Z</dcterms:created>
  <dcterms:modified xsi:type="dcterms:W3CDTF">2021-07-27T03:04:00Z</dcterms:modified>
  <dc:language>en-US</dc:language>
</cp:coreProperties>
</file>