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DD" w:rsidRPr="006E1DE4" w:rsidRDefault="00B91894" w:rsidP="007D772A">
      <w:pPr>
        <w:spacing w:line="480" w:lineRule="auto"/>
        <w:jc w:val="center"/>
        <w:rPr>
          <w:rFonts w:ascii="Calibri" w:hAnsi="Calibri" w:cs="Calibri"/>
          <w:noProof/>
          <w:sz w:val="28"/>
          <w:szCs w:val="28"/>
          <w:lang w:val="en-US" w:eastAsia="it-IT"/>
        </w:rPr>
      </w:pPr>
      <w:r>
        <w:rPr>
          <w:rFonts w:ascii="Calibri" w:hAnsi="Calibri" w:cs="Calibri"/>
          <w:b/>
          <w:noProof/>
          <w:sz w:val="28"/>
          <w:szCs w:val="28"/>
          <w:lang w:val="en-US" w:eastAsia="it-IT"/>
        </w:rPr>
        <w:t>Supplementary fi</w:t>
      </w:r>
      <w:r w:rsidR="003230ED">
        <w:rPr>
          <w:rFonts w:ascii="Calibri" w:hAnsi="Calibri" w:cs="Calibri"/>
          <w:b/>
          <w:noProof/>
          <w:sz w:val="28"/>
          <w:szCs w:val="28"/>
          <w:lang w:val="en-US" w:eastAsia="it-IT"/>
        </w:rPr>
        <w:t>l</w:t>
      </w:r>
      <w:r>
        <w:rPr>
          <w:rFonts w:ascii="Calibri" w:hAnsi="Calibri" w:cs="Calibri"/>
          <w:b/>
          <w:noProof/>
          <w:sz w:val="28"/>
          <w:szCs w:val="28"/>
          <w:lang w:val="en-US" w:eastAsia="it-IT"/>
        </w:rPr>
        <w:t>e</w:t>
      </w:r>
    </w:p>
    <w:p w:rsidR="002F1087" w:rsidRPr="00000E85" w:rsidRDefault="002F1087" w:rsidP="00BA5551">
      <w:pPr>
        <w:spacing w:line="480" w:lineRule="auto"/>
        <w:rPr>
          <w:rFonts w:ascii="Calibri" w:hAnsi="Calibri" w:cs="Calibri"/>
          <w:b/>
          <w:sz w:val="28"/>
          <w:szCs w:val="28"/>
          <w:lang w:val="en-US"/>
        </w:rPr>
      </w:pPr>
      <w:r w:rsidRPr="00000E85">
        <w:rPr>
          <w:rFonts w:ascii="Calibri" w:hAnsi="Calibri" w:cs="Calibri"/>
          <w:b/>
          <w:sz w:val="28"/>
          <w:szCs w:val="28"/>
          <w:lang w:val="en-US"/>
        </w:rPr>
        <w:t>Methods</w:t>
      </w:r>
    </w:p>
    <w:p w:rsidR="00DF15CE" w:rsidRPr="00000E85" w:rsidRDefault="00D52C28" w:rsidP="00BA5551">
      <w:pPr>
        <w:spacing w:line="480" w:lineRule="auto"/>
        <w:rPr>
          <w:rFonts w:ascii="Calibri" w:hAnsi="Calibri" w:cs="Calibri"/>
          <w:b/>
          <w:i/>
          <w:sz w:val="24"/>
          <w:szCs w:val="24"/>
          <w:lang w:val="en-US"/>
        </w:rPr>
      </w:pPr>
      <w:r w:rsidRPr="00000E85">
        <w:rPr>
          <w:rFonts w:ascii="Calibri" w:hAnsi="Calibri" w:cs="Calibri"/>
          <w:b/>
          <w:i/>
          <w:sz w:val="24"/>
          <w:szCs w:val="24"/>
          <w:lang w:val="en-US"/>
        </w:rPr>
        <w:t xml:space="preserve">Oscillometry and </w:t>
      </w:r>
      <w:r w:rsidR="002471DD" w:rsidRPr="00000E85">
        <w:rPr>
          <w:rFonts w:ascii="Calibri" w:hAnsi="Calibri" w:cs="Calibri"/>
          <w:b/>
          <w:i/>
          <w:sz w:val="24"/>
          <w:szCs w:val="24"/>
          <w:lang w:val="en-US"/>
        </w:rPr>
        <w:t>Spirometry Measurements</w:t>
      </w:r>
    </w:p>
    <w:p w:rsidR="00D52C28" w:rsidRPr="00000E85" w:rsidRDefault="00D52C28" w:rsidP="00BA5551">
      <w:pPr>
        <w:spacing w:line="480" w:lineRule="auto"/>
        <w:rPr>
          <w:rFonts w:ascii="Calibri" w:hAnsi="Calibri" w:cs="Calibri"/>
          <w:sz w:val="24"/>
          <w:szCs w:val="24"/>
          <w:lang w:val="en-US"/>
        </w:rPr>
      </w:pPr>
      <w:r w:rsidRPr="00000E85">
        <w:rPr>
          <w:rFonts w:ascii="Calibri" w:hAnsi="Calibri" w:cs="Calibri"/>
          <w:sz w:val="24"/>
          <w:szCs w:val="24"/>
          <w:lang w:val="en-US"/>
        </w:rPr>
        <w:t xml:space="preserve">IOS was performed </w:t>
      </w:r>
      <w:r w:rsidR="00796D5A" w:rsidRPr="00000E85">
        <w:rPr>
          <w:rFonts w:ascii="Calibri" w:hAnsi="Calibri" w:cs="Calibri"/>
          <w:sz w:val="24"/>
          <w:szCs w:val="24"/>
          <w:lang w:val="en-US"/>
        </w:rPr>
        <w:t xml:space="preserve">by </w:t>
      </w:r>
      <w:r w:rsidRPr="00000E85">
        <w:rPr>
          <w:rFonts w:ascii="Calibri" w:hAnsi="Calibri" w:cs="Calibri"/>
          <w:sz w:val="24"/>
          <w:szCs w:val="24"/>
          <w:lang w:val="en-US"/>
        </w:rPr>
        <w:t>using the Jaeger MasterScreen–IOS (Carefusion Technologies, San Diego, CA, USA), following standard recommendations</w:t>
      </w:r>
      <w:r w:rsidR="00886419" w:rsidRPr="00000E85">
        <w:rPr>
          <w:rFonts w:ascii="Calibri" w:hAnsi="Calibri" w:cs="Calibri"/>
          <w:lang w:val="en-US"/>
        </w:rPr>
        <w:fldChar w:fldCharType="begin" w:fldLock="1"/>
      </w:r>
      <w:r w:rsidR="002F4A8B">
        <w:rPr>
          <w:rFonts w:ascii="Calibri" w:hAnsi="Calibri" w:cs="Calibri"/>
          <w:lang w:val="en-US"/>
        </w:rPr>
        <w:instrText>ADDIN CSL_CITATION {"citationItems":[{"id":"ITEM-1","itemData":{"DOI":"10.1183/13993003.03369-2020","ISSN":"13993003","PMID":"33033141","author":[{"dropping-particle":"","family":"Thamrin","given":"Cindy","non-dropping-particle":"","parse-names":false,"suffix":""},{"dropping-particle":"","family":"Dellacà","given":"Raffaele L.","non-dropping-particle":"","parse-names":false,"suffix":""},{"dropping-particle":"","family":"Hall","given":"Graham L.","non-dropping-particle":"","parse-names":false,"suffix":""},{"dropping-particle":"","family":"Kaczka","given":"David W.","non-dropping-particle":"","parse-names":false,"suffix":""},{"dropping-particle":"","family":"Maksym","given":"Geoffrey N.","non-dropping-particle":"","parse-names":false,"suffix":""},{"dropping-particle":"","family":"Oostveen","given":"Ellie","non-dropping-particle":"","parse-names":false,"suffix":""},{"dropping-particle":"","family":"Simpson","given":"Shannon J.","non-dropping-particle":"","parse-names":false,"suffix":""},{"dropping-particle":"","family":"King","given":"Gregory G.","non-dropping-particle":"","parse-names":false,"suffix":""}],"container-title":"European Respiratory Journal","id":"ITEM-1","issue":"4","issued":{"date-parts":[["2020","10"]]},"publisher":"European Respiratory Society","title":"Technical standards for respiratory oscillometry: Test loads for calibration and verification","type":"article","volume":"56"},"uris":["http://www.mendeley.com/documents/?uuid=d313dc8e-4320-4dfc-8f62-be2c64a29fb7","http://www.mendeley.com/documents/?uuid=6e14be93-9235-39f6-b4a6-6390f64e7c92"]}],"mendeley":{"formattedCitation":"&lt;sup&gt;1&lt;/sup&gt;","plainTextFormattedCitation":"1","previouslyFormattedCitation":"&lt;sup&gt;1&lt;/sup&gt;"},"properties":{"noteIndex":0},"schema":"https://github.com/citation-style-language/schema/raw/master/csl-citation.json"}</w:instrText>
      </w:r>
      <w:r w:rsidR="00886419" w:rsidRPr="00000E85">
        <w:rPr>
          <w:rFonts w:ascii="Calibri" w:hAnsi="Calibri" w:cs="Calibri"/>
          <w:lang w:val="en-US"/>
        </w:rPr>
        <w:fldChar w:fldCharType="separate"/>
      </w:r>
      <w:r w:rsidR="002F4A8B" w:rsidRPr="002F4A8B">
        <w:rPr>
          <w:rFonts w:ascii="Calibri" w:hAnsi="Calibri" w:cs="Calibri"/>
          <w:noProof/>
          <w:vertAlign w:val="superscript"/>
          <w:lang w:val="en-US"/>
        </w:rPr>
        <w:t>1</w:t>
      </w:r>
      <w:r w:rsidR="00886419" w:rsidRPr="00000E85">
        <w:rPr>
          <w:rFonts w:ascii="Calibri" w:hAnsi="Calibri" w:cs="Calibri"/>
          <w:lang w:val="en-US"/>
        </w:rPr>
        <w:fldChar w:fldCharType="end"/>
      </w:r>
      <w:r w:rsidRPr="00000E85">
        <w:rPr>
          <w:rFonts w:ascii="Calibri" w:hAnsi="Calibri" w:cs="Calibri"/>
          <w:sz w:val="24"/>
          <w:szCs w:val="24"/>
          <w:lang w:val="en-US"/>
        </w:rPr>
        <w:t>. All subjects underwent IOS before spirometry because forced expiration manoeuver might change per se airway tone. In short, participants were asked to wear a nose clip and were seated during tidal breathing with their neck slightly extended and their lips sealed tightly around the mouthpiece, while firmly supporting their cheeks with their hands. At least three trials, each lasting 30 seconds, were performed, and mean values were taken for each value.</w:t>
      </w:r>
    </w:p>
    <w:p w:rsidR="00D52C28" w:rsidRPr="00000E85" w:rsidRDefault="00D52C28" w:rsidP="00BA5551">
      <w:pPr>
        <w:spacing w:line="480" w:lineRule="auto"/>
        <w:rPr>
          <w:rFonts w:ascii="Calibri" w:hAnsi="Calibri" w:cs="Calibri"/>
          <w:sz w:val="24"/>
          <w:szCs w:val="24"/>
          <w:lang w:val="en-US"/>
        </w:rPr>
      </w:pPr>
      <w:r w:rsidRPr="00000E85">
        <w:rPr>
          <w:rFonts w:ascii="Calibri" w:hAnsi="Calibri" w:cs="Calibri"/>
          <w:sz w:val="24"/>
          <w:szCs w:val="24"/>
          <w:lang w:val="en-US"/>
        </w:rPr>
        <w:t>Respiratory resistance at 5 Hz and 20 Hz (R5 and R20, in kPa·s·L</w:t>
      </w:r>
      <w:r w:rsidRPr="00000E85">
        <w:rPr>
          <w:rFonts w:ascii="Calibri" w:hAnsi="Calibri" w:cs="Calibri"/>
          <w:sz w:val="24"/>
          <w:szCs w:val="24"/>
          <w:vertAlign w:val="superscript"/>
          <w:lang w:val="en-US"/>
        </w:rPr>
        <w:t>−1</w:t>
      </w:r>
      <w:r w:rsidRPr="00000E85">
        <w:rPr>
          <w:rFonts w:ascii="Calibri" w:hAnsi="Calibri" w:cs="Calibri"/>
          <w:sz w:val="24"/>
          <w:szCs w:val="24"/>
          <w:lang w:val="en-US"/>
        </w:rPr>
        <w:t>) were used as indices of total and proximal airway resistance, respectively, and the fall in resistance from 5 Hz to 20 Hz (R5 – R20, in kPa·s·L</w:t>
      </w:r>
      <w:r w:rsidRPr="00000E85">
        <w:rPr>
          <w:rFonts w:ascii="Calibri" w:hAnsi="Calibri" w:cs="Calibri"/>
          <w:sz w:val="24"/>
          <w:szCs w:val="24"/>
          <w:vertAlign w:val="superscript"/>
          <w:lang w:val="en-US"/>
        </w:rPr>
        <w:t>−1</w:t>
      </w:r>
      <w:r w:rsidRPr="00000E85">
        <w:rPr>
          <w:rFonts w:ascii="Calibri" w:hAnsi="Calibri" w:cs="Calibri"/>
          <w:sz w:val="24"/>
          <w:szCs w:val="24"/>
          <w:lang w:val="en-US"/>
        </w:rPr>
        <w:t>) was considered to be an index for the resistance of peripheral airways. Moreover, reactance at 5 Hz (X5, in kPa·s·L</w:t>
      </w:r>
      <w:r w:rsidRPr="00000E85">
        <w:rPr>
          <w:rFonts w:ascii="Calibri" w:hAnsi="Calibri" w:cs="Calibri"/>
          <w:sz w:val="24"/>
          <w:szCs w:val="24"/>
          <w:vertAlign w:val="superscript"/>
          <w:lang w:val="en-US"/>
        </w:rPr>
        <w:t>−1</w:t>
      </w:r>
      <w:r w:rsidRPr="00000E85">
        <w:rPr>
          <w:rFonts w:ascii="Calibri" w:hAnsi="Calibri" w:cs="Calibri"/>
          <w:sz w:val="24"/>
          <w:szCs w:val="24"/>
          <w:lang w:val="en-US"/>
        </w:rPr>
        <w:t>) and the integrated area of low-frequency reactance (AX, in kPa·L</w:t>
      </w:r>
      <w:r w:rsidRPr="00000E85">
        <w:rPr>
          <w:rFonts w:ascii="Calibri" w:hAnsi="Calibri" w:cs="Calibri"/>
          <w:sz w:val="24"/>
          <w:szCs w:val="24"/>
          <w:vertAlign w:val="superscript"/>
          <w:lang w:val="en-US"/>
        </w:rPr>
        <w:t>−1</w:t>
      </w:r>
      <w:r w:rsidRPr="00000E85">
        <w:rPr>
          <w:rFonts w:ascii="Calibri" w:hAnsi="Calibri" w:cs="Calibri"/>
          <w:sz w:val="24"/>
          <w:szCs w:val="24"/>
          <w:lang w:val="en-US"/>
        </w:rPr>
        <w:t>) from 5 Hz to resonant frequency (FRes, in Hz) were considered representative markers of peripheral airway abnormalities. Data are presented as raw data. A conservative upper limit of normal for R5 – R20 was chosen at 0.070 kPa·s·L</w:t>
      </w:r>
      <w:r w:rsidRPr="00000E85">
        <w:rPr>
          <w:rFonts w:ascii="Calibri" w:hAnsi="Calibri" w:cs="Calibri"/>
          <w:sz w:val="24"/>
          <w:szCs w:val="24"/>
          <w:vertAlign w:val="superscript"/>
          <w:lang w:val="en-US"/>
        </w:rPr>
        <w:t>−1</w:t>
      </w:r>
      <w:r w:rsidRPr="00000E85">
        <w:rPr>
          <w:rFonts w:ascii="Calibri" w:hAnsi="Calibri" w:cs="Calibri"/>
          <w:sz w:val="24"/>
          <w:szCs w:val="24"/>
          <w:lang w:val="en-US"/>
        </w:rPr>
        <w:t xml:space="preserve"> to define the presence of SAD</w:t>
      </w:r>
      <w:r w:rsidR="00BF7629" w:rsidRPr="00000E85">
        <w:rPr>
          <w:rFonts w:ascii="Calibri" w:hAnsi="Calibri" w:cs="Calibri"/>
          <w:sz w:val="24"/>
          <w:szCs w:val="24"/>
          <w:lang w:val="en-US"/>
        </w:rPr>
        <w:t>.</w:t>
      </w:r>
      <w:r w:rsidR="008A41C9" w:rsidRPr="00000E85">
        <w:rPr>
          <w:rFonts w:ascii="Calibri" w:hAnsi="Calibri" w:cs="Calibri"/>
          <w:lang w:val="en-US"/>
        </w:rPr>
        <w:fldChar w:fldCharType="begin" w:fldLock="1"/>
      </w:r>
      <w:r w:rsidR="002F4A8B">
        <w:rPr>
          <w:rFonts w:ascii="Calibri" w:hAnsi="Calibri" w:cs="Calibri"/>
          <w:lang w:val="en-US"/>
        </w:rPr>
        <w:instrText>ADDIN CSL_CITATION {"citationItems":[{"id":"ITEM-1","itemData":{"DOI":"10.1378/chest.07-0913","ISSN":"00123692","PMID":"17890470","abstract":"Rationale: Following collapse of the World Trade Center (WTC), individuals reported new-onset respiratory symptoms. Despite symptoms, spirometry often revealed normal airway function. However, bronchial wall thickening and air trapping were seen radiographically in some subjects. We hypothesized that symptomatic individuals following exposure to WTC dust may have functional abnormalities in distal airways not detectable with routine spirometry. Methods: One hundred seventy-four subjects with respiratory symptoms and normal spirometry results were evaluated. Impedance oscillometry (IOS) was performed to determine resistance at 5 Hz, 5 to 20 Hz, and reactance area. Forty-three subjects were also tested for frequency dependence of compliance (FDC). Testing was repeated after bronchodilation. Results: Predominant symptoms included cough (67%) and dyspnea (65%). Despite normal spirometry results, mean resistance at 5 Hz, 5 to 20 Hz, and reactance area were elevated (4.36 ± 0.12 cm H 2O/L/s, 0.86 ± 0.05 cm H2O/L/s, and 6.12 ± 0.50 cm H2O/L, respectively) [mean ± SE]. Resistance and reactance normalized after bronchodilation. FDC was present in 37 of 43 individuals with improvement after bronchodilation. Conclusions: Symptomatic individuals with presumed WTC dust/fume exposure and normal spirometry results displayed airway dysfunction based on the following: (1) elevated airway resistance and frequency dependence of resistance determined by IOS; (2) heterogeneity of distal airway function demonstrated by elevated reactance area on oscillometry and FDC; and (3) reversibility of these functional abnormalities to or toward normal following administration of a bronchodilator. Since spirometry results were normal in all subjects, these abnormalities likely reflect dysfunction in airways more distal to those evaluated by spirometry. Examination of distal airway function when spirometry results are normal may be important in the evaluation of subjects exposed to occupational and environmental hazards.","author":[{"dropping-particle":"","family":"Oppenheimer","given":"Beno W.","non-dropping-particle":"","parse-names":false,"suffix":""},{"dropping-particle":"","family":"Goldring","given":"Roberta M.","non-dropping-particle":"","parse-names":false,"suffix":""},{"dropping-particle":"","family":"Herberg","given":"Matthew E.","non-dropping-particle":"","parse-names":false,"suffix":""},{"dropping-particle":"","family":"Hofer","given":"Ira S.","non-dropping-particle":"","parse-names":false,"suffix":""},{"dropping-particle":"","family":"Reyfman","given":"Paul A.","non-dropping-particle":"","parse-names":false,"suffix":""},{"dropping-particle":"","family":"Liautaud","given":"Sybille","non-dropping-particle":"","parse-names":false,"suffix":""},{"dropping-particle":"","family":"Rom","given":"William N.","non-dropping-particle":"","parse-names":false,"suffix":""},{"dropping-particle":"","family":"Reibman","given":"Joan","non-dropping-particle":"","parse-names":false,"suffix":""},{"dropping-particle":"","family":"Berger","given":"Kenneth I.","non-dropping-particle":"","parse-names":false,"suffix":""}],"container-title":"Chest","id":"ITEM-1","issue":"4","issued":{"date-parts":[["2007"]]},"page":"1275-1282","publisher":"American College of Chest Physicians","title":"Distal airway function in symptomatic subjects with normal spirometry following world trade center dust exposure","type":"article-journal","volume":"132"},"uris":["http://www.mendeley.com/documents/?uuid=de7d1e80-c72a-3bc6-8ccf-9ec22a8f2aba","http://www.mendeley.com/documents/?uuid=05c8cf57-21ac-4dfd-951b-ababb7494a89"]},{"id":"ITEM-2","itemData":{"DOI":"10.1016/s2213-2600(14)70103-1","ISBN":"2213-2600","PMID":"24899370","abstract":"The small airways in the distal lung have been called the quiet zone because they are difficult to assess and treat in patients with asthma who have disproportionate impairment of small airway function. Evidence is accumulating to support a distinct clinical phenotype for patients with asthma who have impaired small airway function. The small airway asthma phenotype, which is prevalent in patients at all steps of management guidelines, seems to be associated with poor disease control. Alternatively, small airway dysfunction might be a sensitive indicator of early disease rather than a phenotype. Conventional coarse-particle inhalers, which emit particles larger than 2 μm, might not address persistent small airway dysfunction in patients with asthma. To target the entire lung with extra-fine particle formulations (smaller than 2 μm) of inhaled corticosteroids alone or in combination with long-acting β-agonists might result in improved long-term asthma control along with a commensurate improvement in small airway function. Prospective randomised controlled trials with extra-fine-particle inhaled drugs are now needed for patients with the small airway asthma phenotype.","author":[{"dropping-particle":"","family":"Lipworth","given":"B","non-dropping-particle":"","parse-names":false,"suffix":""},{"dropping-particle":"","family":"Manoharan","given":"A","non-dropping-particle":"","parse-names":false,"suffix":""},{"dropping-particle":"","family":"Anderson","given":"W","non-dropping-particle":"","parse-names":false,"suffix":""}],"container-title":"Lancet Respir Med","edition":"2014/06/06","id":"ITEM-2","issue":"6","issued":{"date-parts":[["2014"]]},"language":"eng","page":"497-506","title":"Unlocking the quiet zone: the small airway asthma phenotype","type":"article-journal","volume":"2"},"uris":["http://www.mendeley.com/documents/?uuid=b977f342-1674-4763-8613-f13159fe558e","http://www.mendeley.com/documents/?uuid=ce0fe751-a18a-4714-a5fe-18d52b5e65d9"]},{"id":"ITEM-3","itemData":{"DOI":"10.1159/000452479","ISSN":"14230356","PMID":"27852080","abstract":"Background: In chronic obstructive pulmonary disease (COPD) patients, small-airway dysfunction (SAD) is considered a functional hallmark of disease. However, the exact role of SAD in the clinical presentation of COPD is not yet completely understood; moreover, it is not known whether SAD may have a relationship with the impact of disease. Objectives: To evaluate the prevalence of SAD among COPD patients categorized by the old and the new GOLD classification and to ascertain whether there is a relationship between SAD and impact of disease measured by the COPD Assessment Test (CAT) questionnaire. Methods: We prospectively enrolled COPD outpatients from the University Hospital of Parma. Using the impulse oscillometry system (IOS), we assessed the fall in resistance from 5 to 20 Hz (R5-R20), reactance at 5 Hz (X5), and resonant frequency (FRes) as markers of peripheral airway dysfunction. According to R5-R20 ≥0.07 or &lt;0.07, the cohort was also categorized in patients with and without SAD, respectively. Results: We studied 202 patients. In both GOLD classifications, a progressive increasing distribution of R5-R20 and FRes was reported with a decreasing of X5. Moreover, there was a significant correlation between R5-R20 and CAT (r = 0.527, p &lt; 0.001). Finally, the presence of SAD (OR 11.96; 95% CI 4.53-31.58; p &lt; 0.001) and use of ICS + LABA + LAMA (OR 5.31; 95% CI 1.88-15.02; p = 0.002) were independent predictors of higher impact (CAT score ≥10). Conclusion: In COPD patients, the presence of SAD, as assessed by IOS, progressively increases with GOLD classifications and it is closely related to the high impact of disease on health status.","author":[{"dropping-particle":"","family":"Crisafulli","given":"Ernesto","non-dropping-particle":"","parse-names":false,"suffix":""},{"dropping-particle":"","family":"Pisi","given":"Roberta","non-dropping-particle":"","parse-names":false,"suffix":""},{"dropping-particle":"","family":"Aiello","given":"Marina","non-dropping-particle":"","parse-names":false,"suffix":""},{"dropping-particle":"","family":"Vigna","given":"Matteo","non-dropping-particle":"","parse-names":false,"suffix":""},{"dropping-particle":"","family":"Tzani","given":"Panagiota","non-dropping-particle":"","parse-names":false,"suffix":""},{"dropping-particle":"","family":"Torres","given":"Anna","non-dropping-particle":"","parse-names":false,"suffix":""},{"dropping-particle":"","family":"Bertorelli","given":"Giuseppina","non-dropping-particle":"","parse-names":false,"suffix":""},{"dropping-particle":"","family":"Chetta","given":"Alfredo","non-dropping-particle":"","parse-names":false,"suffix":""}],"container-title":"Respiration","id":"ITEM-3","issue":"1","issued":{"date-parts":[["2016","12","1"]]},"page":"32-41","publisher":"S. Karger AG","title":"Prevalence of Small-Airway Dysfunction among COPD Patients with Different GOLD Stages and Its Role in the Impact of Disease","type":"article-journal","volume":"93"},"uris":["http://www.mendeley.com/documents/?uuid=79fa7bd7-3f64-3227-ad1c-855cfdda102c"]}],"mendeley":{"formattedCitation":"&lt;sup&gt;2–4&lt;/sup&gt;","plainTextFormattedCitation":"2–4","previouslyFormattedCitation":"&lt;sup&gt;2–4&lt;/sup&gt;"},"properties":{"noteIndex":0},"schema":"https://github.com/citation-style-language/schema/raw/master/csl-citation.json"}</w:instrText>
      </w:r>
      <w:r w:rsidR="008A41C9" w:rsidRPr="00000E85">
        <w:rPr>
          <w:rFonts w:ascii="Calibri" w:hAnsi="Calibri" w:cs="Calibri"/>
          <w:lang w:val="en-US"/>
        </w:rPr>
        <w:fldChar w:fldCharType="separate"/>
      </w:r>
      <w:r w:rsidR="002F4A8B" w:rsidRPr="002F4A8B">
        <w:rPr>
          <w:rFonts w:ascii="Calibri" w:hAnsi="Calibri" w:cs="Calibri"/>
          <w:noProof/>
          <w:vertAlign w:val="superscript"/>
          <w:lang w:val="en-US"/>
        </w:rPr>
        <w:t>2–4</w:t>
      </w:r>
      <w:r w:rsidR="008A41C9" w:rsidRPr="00000E85">
        <w:rPr>
          <w:rFonts w:ascii="Calibri" w:hAnsi="Calibri" w:cs="Calibri"/>
          <w:lang w:val="en-US"/>
        </w:rPr>
        <w:fldChar w:fldCharType="end"/>
      </w:r>
    </w:p>
    <w:p w:rsidR="00F72523" w:rsidRPr="00F60958" w:rsidRDefault="00D52C28" w:rsidP="00BA5551">
      <w:pPr>
        <w:spacing w:line="480" w:lineRule="auto"/>
        <w:rPr>
          <w:rFonts w:ascii="Calibri" w:hAnsi="Calibri" w:cs="Calibri"/>
          <w:sz w:val="24"/>
          <w:szCs w:val="24"/>
          <w:lang w:val="en-US"/>
        </w:rPr>
      </w:pPr>
      <w:r w:rsidRPr="00000E85">
        <w:rPr>
          <w:rFonts w:ascii="Calibri" w:hAnsi="Calibri" w:cs="Calibri"/>
          <w:sz w:val="24"/>
          <w:szCs w:val="24"/>
          <w:lang w:val="en-US"/>
        </w:rPr>
        <w:t>Spirometry was performed by using a</w:t>
      </w:r>
      <w:r w:rsidR="00C909C7" w:rsidRPr="00000E85">
        <w:rPr>
          <w:rFonts w:ascii="Calibri" w:hAnsi="Calibri" w:cs="Calibri"/>
          <w:sz w:val="24"/>
          <w:szCs w:val="24"/>
          <w:lang w:val="en-US"/>
        </w:rPr>
        <w:t xml:space="preserve"> flow-sensing spirometer connected to a computer for data analysis (Vmax 22 and 6200; SensorMedics, Yorba Linda, CA, USA) </w:t>
      </w:r>
      <w:r w:rsidRPr="00000E85">
        <w:rPr>
          <w:rFonts w:ascii="Calibri" w:hAnsi="Calibri" w:cs="Calibri"/>
          <w:sz w:val="24"/>
          <w:szCs w:val="24"/>
          <w:lang w:val="en-US"/>
        </w:rPr>
        <w:lastRenderedPageBreak/>
        <w:t>according to the international guidelines</w:t>
      </w:r>
      <w:r w:rsidR="0006147F" w:rsidRPr="00000E85">
        <w:rPr>
          <w:rFonts w:ascii="Calibri" w:hAnsi="Calibri" w:cs="Calibri"/>
          <w:sz w:val="24"/>
          <w:szCs w:val="24"/>
          <w:lang w:val="en-US"/>
        </w:rPr>
        <w:t>.</w:t>
      </w:r>
      <w:r w:rsidR="0006147F" w:rsidRPr="00000E85">
        <w:rPr>
          <w:rFonts w:ascii="Calibri" w:hAnsi="Calibri" w:cs="Calibri"/>
          <w:lang w:val="en-US"/>
        </w:rPr>
        <w:fldChar w:fldCharType="begin" w:fldLock="1"/>
      </w:r>
      <w:r w:rsidR="002F4A8B">
        <w:rPr>
          <w:rFonts w:ascii="Calibri" w:hAnsi="Calibri" w:cs="Calibri"/>
          <w:lang w:val="en-US"/>
        </w:rPr>
        <w:instrText>ADDIN CSL_CITATION {"citationItems":[{"id":"ITEM-1","itemData":{"DOI":"10.1164/rccm.201908-1590ST","ISSN":"15354970","PMID":"31613151","abstract":"Background: Spirometry is the most common pulmonary function test. It is widely used in the assessment of lung function to provide objective information used in the diagnosis of lung diseases and monitoring lung health. In 2005, the American Thoracic Society and the European Respiratory Society jointly adopted technical standards for conducting spirometry. Improvements in instrumentation and computational capabilities, together with new research studies and enhanced quality assurance approaches, have led to the need to update the 2005 technical standards for spirometry to take full advantage of current technical capabilities. Methods: This spirometry technical standards document was developed by an international joint task force, appointed by the American Thoracic Society and the European Respiratory Society, with expertise in conducting and analyzing pulmonary function tests, laboratory quality assurance, and developing international standards. A comprehensive review of published evidence was performed. A patient survey was developed to capture patients' experiences. Results: Revisions to the 2005 technical standards for spirometry were made, including the addition of factors that were not previously considered. Evidence to support the revisions was cited when applicable. The experience and expertise of task force members were used to develop recommended best practices. Conclusions: Standards and consensus recommendations are presented for manufacturers, clinicians, operators, and researchers with the aims of increasing the accuracy, precision, and quality of spirometric measurements and improving the patient experience. A comprehensive guide to aid in the implementation of these standards was developed as an online supplement.","author":[{"dropping-particle":"","family":"Graham","given":"Brian L.","non-dropping-particle":"","parse-names":false,"suffix":""},{"dropping-particle":"","family":"Steenbruggen","given":"Irene","non-dropping-particle":"","parse-names":false,"suffix":""},{"dropping-particle":"","family":"Barjaktarevic","given":"Igor Z.","non-dropping-particle":"","parse-names":false,"suffix":""},{"dropping-particle":"","family":"Cooper","given":"Brendan G.","non-dropping-particle":"","parse-names":false,"suffix":""},{"dropping-particle":"","family":"Hall","given":"Graham L.","non-dropping-particle":"","parse-names":false,"suffix":""},{"dropping-particle":"","family":"Hallstrand","given":"Teal S.","non-dropping-particle":"","parse-names":false,"suffix":""},{"dropping-particle":"","family":"Kaminsky","given":"David A.","non-dropping-particle":"","parse-names":false,"suffix":""},{"dropping-particle":"","family":"McCarthy","given":"Kevin","non-dropping-particle":"","parse-names":false,"suffix":""},{"dropping-particle":"","family":"McCormack","given":"Meredith C.","non-dropping-particle":"","parse-names":false,"suffix":""},{"dropping-particle":"","family":"Miller","given":"Martin R.","non-dropping-particle":"","parse-names":false,"suffix":""},{"dropping-particle":"","family":"Oropez","given":"Cristine E.","non-dropping-particle":"","parse-names":false,"suffix":""},{"dropping-particle":"","family":"Rosenfeld","given":"Margaret","non-dropping-particle":"","parse-names":false,"suffix":""},{"dropping-particle":"","family":"Stanojevic","given":"Sanja","non-dropping-particle":"","parse-names":false,"suffix":""},{"dropping-particle":"","family":"Swanney","given":"Maureen P.","non-dropping-particle":"","parse-names":false,"suffix":""},{"dropping-particle":"","family":"Thompson","given":"Bruce R.","non-dropping-particle":"","parse-names":false,"suffix":""}],"container-title":"American Journal of Respiratory and Critical Care Medicine","id":"ITEM-1","issue":"8","issued":{"date-parts":[["2019","10"]]},"page":"E70-E88","publisher":"American Thoracic Society","title":"Standardization of spirometry 2019 update an official American Thoracic Society and European Respiratory Society technical statement","type":"article","volume":"200"},"uris":["http://www.mendeley.com/documents/?uuid=da1c4d08-61b3-3f1c-b10a-cd9b308782b7","http://www.mendeley.com/documents/?uuid=c91434f0-5ea1-4fba-b8d2-e7280e7e9251"]}],"mendeley":{"formattedCitation":"&lt;sup&gt;5&lt;/sup&gt;","plainTextFormattedCitation":"5","previouslyFormattedCitation":"&lt;sup&gt;5&lt;/sup&gt;"},"properties":{"noteIndex":0},"schema":"https://github.com/citation-style-language/schema/raw/master/csl-citation.json"}</w:instrText>
      </w:r>
      <w:r w:rsidR="0006147F" w:rsidRPr="00000E85">
        <w:rPr>
          <w:rFonts w:ascii="Calibri" w:hAnsi="Calibri" w:cs="Calibri"/>
          <w:lang w:val="en-US"/>
        </w:rPr>
        <w:fldChar w:fldCharType="separate"/>
      </w:r>
      <w:r w:rsidR="002F4A8B" w:rsidRPr="002F4A8B">
        <w:rPr>
          <w:rFonts w:ascii="Calibri" w:hAnsi="Calibri" w:cs="Calibri"/>
          <w:noProof/>
          <w:vertAlign w:val="superscript"/>
          <w:lang w:val="en-US"/>
        </w:rPr>
        <w:t>5</w:t>
      </w:r>
      <w:r w:rsidR="0006147F" w:rsidRPr="00000E85">
        <w:rPr>
          <w:rFonts w:ascii="Calibri" w:hAnsi="Calibri" w:cs="Calibri"/>
          <w:lang w:val="en-US"/>
        </w:rPr>
        <w:fldChar w:fldCharType="end"/>
      </w:r>
      <w:r w:rsidR="00C909C7" w:rsidRPr="00000E85">
        <w:rPr>
          <w:rFonts w:ascii="Calibri" w:hAnsi="Calibri" w:cs="Calibri"/>
          <w:sz w:val="24"/>
          <w:szCs w:val="24"/>
          <w:lang w:val="en-US"/>
        </w:rPr>
        <w:t xml:space="preserve"> FEV</w:t>
      </w:r>
      <w:r w:rsidR="00C909C7" w:rsidRPr="00000E85">
        <w:rPr>
          <w:rFonts w:ascii="Calibri" w:hAnsi="Calibri" w:cs="Calibri"/>
          <w:sz w:val="24"/>
          <w:szCs w:val="24"/>
          <w:vertAlign w:val="subscript"/>
          <w:lang w:val="en-US"/>
        </w:rPr>
        <w:t>1</w:t>
      </w:r>
      <w:r w:rsidR="00C909C7" w:rsidRPr="00000E85">
        <w:rPr>
          <w:rFonts w:ascii="Calibri" w:hAnsi="Calibri" w:cs="Calibri"/>
          <w:sz w:val="24"/>
          <w:szCs w:val="24"/>
          <w:lang w:val="en-US"/>
        </w:rPr>
        <w:t xml:space="preserve">, FVC, and forced expiratory flow in the middle half of the patient's exhaled volume (FEF25-75) were recorded and expressed as absolute values (liters) and as a percentage of predicted value (% pred.). The </w:t>
      </w:r>
      <w:r w:rsidR="00C909C7" w:rsidRPr="00F60958">
        <w:rPr>
          <w:rFonts w:ascii="Calibri" w:hAnsi="Calibri" w:cs="Calibri"/>
          <w:sz w:val="24"/>
          <w:szCs w:val="24"/>
          <w:lang w:val="en-US"/>
        </w:rPr>
        <w:t xml:space="preserve">FEV1/FVC </w:t>
      </w:r>
      <w:r w:rsidR="006E1DE4" w:rsidRPr="00F60958">
        <w:rPr>
          <w:rFonts w:ascii="Calibri" w:hAnsi="Calibri" w:cs="Calibri"/>
          <w:sz w:val="24"/>
          <w:szCs w:val="24"/>
          <w:lang w:val="en-US"/>
        </w:rPr>
        <w:t xml:space="preserve">and FEV3/FEV6 </w:t>
      </w:r>
      <w:r w:rsidR="00C909C7" w:rsidRPr="00F60958">
        <w:rPr>
          <w:rFonts w:ascii="Calibri" w:hAnsi="Calibri" w:cs="Calibri"/>
          <w:sz w:val="24"/>
          <w:szCs w:val="24"/>
          <w:lang w:val="en-US"/>
        </w:rPr>
        <w:t>value</w:t>
      </w:r>
      <w:r w:rsidR="006E1DE4" w:rsidRPr="00F60958">
        <w:rPr>
          <w:rFonts w:ascii="Calibri" w:hAnsi="Calibri" w:cs="Calibri"/>
          <w:sz w:val="24"/>
          <w:szCs w:val="24"/>
          <w:lang w:val="en-US"/>
        </w:rPr>
        <w:t>s</w:t>
      </w:r>
      <w:r w:rsidR="00C909C7" w:rsidRPr="00F60958">
        <w:rPr>
          <w:rFonts w:ascii="Calibri" w:hAnsi="Calibri" w:cs="Calibri"/>
          <w:sz w:val="24"/>
          <w:szCs w:val="24"/>
          <w:lang w:val="en-US"/>
        </w:rPr>
        <w:t xml:space="preserve"> w</w:t>
      </w:r>
      <w:r w:rsidR="006E1DE4" w:rsidRPr="00F60958">
        <w:rPr>
          <w:rFonts w:ascii="Calibri" w:hAnsi="Calibri" w:cs="Calibri"/>
          <w:sz w:val="24"/>
          <w:szCs w:val="24"/>
          <w:lang w:val="en-US"/>
        </w:rPr>
        <w:t>ere</w:t>
      </w:r>
      <w:r w:rsidR="00C909C7" w:rsidRPr="00F60958">
        <w:rPr>
          <w:rFonts w:ascii="Calibri" w:hAnsi="Calibri" w:cs="Calibri"/>
          <w:sz w:val="24"/>
          <w:szCs w:val="24"/>
          <w:lang w:val="en-US"/>
        </w:rPr>
        <w:t xml:space="preserve"> recorded and expressed as a ratio.</w:t>
      </w:r>
      <w:r w:rsidR="006E1DE4" w:rsidRPr="00F60958">
        <w:rPr>
          <w:rFonts w:ascii="Calibri" w:hAnsi="Calibri" w:cs="Calibri"/>
          <w:sz w:val="24"/>
          <w:szCs w:val="24"/>
          <w:lang w:val="en-US"/>
        </w:rPr>
        <w:t xml:space="preserve"> The lower limit of normal for FEV3/FEV6 values was calculated according to the equations of Hansen et al.</w:t>
      </w:r>
      <w:r w:rsidR="006E1DE4" w:rsidRPr="00F60958">
        <w:rPr>
          <w:rFonts w:ascii="Calibri" w:hAnsi="Calibri" w:cs="Calibri"/>
          <w:sz w:val="24"/>
          <w:szCs w:val="24"/>
          <w:vertAlign w:val="superscript"/>
          <w:lang w:val="en-US"/>
        </w:rPr>
        <w:t xml:space="preserve"> 6</w:t>
      </w:r>
      <w:r w:rsidR="006E1DE4" w:rsidRPr="00F60958">
        <w:rPr>
          <w:rFonts w:ascii="Calibri" w:hAnsi="Calibri" w:cs="Calibri"/>
          <w:sz w:val="24"/>
          <w:szCs w:val="24"/>
          <w:lang w:val="en-US"/>
        </w:rPr>
        <w:t xml:space="preserve">   </w:t>
      </w:r>
    </w:p>
    <w:p w:rsidR="009E32F0" w:rsidRPr="00665842" w:rsidRDefault="001E0187" w:rsidP="00BA5551">
      <w:pPr>
        <w:spacing w:line="480" w:lineRule="auto"/>
        <w:rPr>
          <w:rFonts w:ascii="Calibri" w:hAnsi="Calibri" w:cs="Calibri"/>
          <w:b/>
          <w:sz w:val="28"/>
          <w:szCs w:val="28"/>
          <w:lang w:val="en-GB"/>
        </w:rPr>
      </w:pPr>
      <w:r w:rsidRPr="00F60958">
        <w:rPr>
          <w:rFonts w:ascii="Calibri" w:hAnsi="Calibri" w:cs="Calibri"/>
          <w:sz w:val="24"/>
          <w:szCs w:val="24"/>
          <w:lang w:val="en-US"/>
        </w:rPr>
        <w:br w:type="page"/>
      </w:r>
      <w:r w:rsidR="009E32F0" w:rsidRPr="00665842">
        <w:rPr>
          <w:rFonts w:ascii="Calibri" w:hAnsi="Calibri" w:cs="Calibri"/>
          <w:b/>
          <w:sz w:val="28"/>
          <w:szCs w:val="28"/>
          <w:lang w:val="en-GB"/>
        </w:rPr>
        <w:lastRenderedPageBreak/>
        <w:t>References</w:t>
      </w:r>
    </w:p>
    <w:p w:rsidR="000F1F58" w:rsidRPr="00F60958" w:rsidRDefault="00D125DD" w:rsidP="000F1F58">
      <w:pPr>
        <w:widowControl w:val="0"/>
        <w:autoSpaceDE w:val="0"/>
        <w:autoSpaceDN w:val="0"/>
        <w:adjustRightInd w:val="0"/>
        <w:spacing w:line="480" w:lineRule="auto"/>
        <w:ind w:left="640" w:hanging="640"/>
        <w:rPr>
          <w:rFonts w:ascii="Calibri" w:hAnsi="Calibri" w:cs="Calibri"/>
          <w:noProof/>
          <w:sz w:val="24"/>
          <w:lang w:val="en-US"/>
        </w:rPr>
      </w:pPr>
      <w:r w:rsidRPr="00F60958">
        <w:rPr>
          <w:rFonts w:ascii="Calibri" w:hAnsi="Calibri" w:cs="Calibri"/>
          <w:sz w:val="24"/>
          <w:szCs w:val="24"/>
          <w:lang w:val="en-US"/>
        </w:rPr>
        <w:fldChar w:fldCharType="begin" w:fldLock="1"/>
      </w:r>
      <w:r w:rsidRPr="00F60958">
        <w:rPr>
          <w:rFonts w:ascii="Calibri" w:hAnsi="Calibri" w:cs="Calibri"/>
          <w:sz w:val="24"/>
          <w:szCs w:val="24"/>
          <w:lang w:val="en-US"/>
        </w:rPr>
        <w:instrText xml:space="preserve">ADDIN Mendeley Bibliography CSL_BIBLIOGRAPHY </w:instrText>
      </w:r>
      <w:r w:rsidRPr="00F60958">
        <w:rPr>
          <w:rFonts w:ascii="Calibri" w:hAnsi="Calibri" w:cs="Calibri"/>
          <w:sz w:val="24"/>
          <w:szCs w:val="24"/>
          <w:lang w:val="en-US"/>
        </w:rPr>
        <w:fldChar w:fldCharType="separate"/>
      </w:r>
      <w:r w:rsidR="000F1F58" w:rsidRPr="00F60958">
        <w:rPr>
          <w:rFonts w:ascii="Calibri" w:hAnsi="Calibri" w:cs="Calibri"/>
          <w:noProof/>
          <w:sz w:val="24"/>
          <w:lang w:val="en-US"/>
        </w:rPr>
        <w:t xml:space="preserve">1. </w:t>
      </w:r>
      <w:r w:rsidR="000F1F58" w:rsidRPr="00F60958">
        <w:rPr>
          <w:rFonts w:ascii="Calibri" w:hAnsi="Calibri" w:cs="Calibri"/>
          <w:noProof/>
          <w:sz w:val="24"/>
          <w:lang w:val="en-US"/>
        </w:rPr>
        <w:tab/>
        <w:t xml:space="preserve">Thamrin C, Dellacà RL, Hall GL, et al. Technical standards for respiratory oscillometry: Test loads for calibration and verification. </w:t>
      </w:r>
      <w:r w:rsidR="000F1F58" w:rsidRPr="00F60958">
        <w:rPr>
          <w:rFonts w:ascii="Calibri" w:hAnsi="Calibri" w:cs="Calibri"/>
          <w:i/>
          <w:iCs/>
          <w:noProof/>
          <w:sz w:val="24"/>
          <w:lang w:val="en-US"/>
        </w:rPr>
        <w:t>Eur Respir J</w:t>
      </w:r>
      <w:r w:rsidR="000F1F58" w:rsidRPr="00F60958">
        <w:rPr>
          <w:rFonts w:ascii="Calibri" w:hAnsi="Calibri" w:cs="Calibri"/>
          <w:noProof/>
          <w:sz w:val="24"/>
          <w:lang w:val="en-US"/>
        </w:rPr>
        <w:t>. 2020;56(4). doi:10.1183/13993003.03369-2020</w:t>
      </w:r>
    </w:p>
    <w:p w:rsidR="000F1F58" w:rsidRPr="00F60958" w:rsidRDefault="000F1F58" w:rsidP="000F1F58">
      <w:pPr>
        <w:widowControl w:val="0"/>
        <w:autoSpaceDE w:val="0"/>
        <w:autoSpaceDN w:val="0"/>
        <w:adjustRightInd w:val="0"/>
        <w:spacing w:line="480" w:lineRule="auto"/>
        <w:ind w:left="640" w:hanging="640"/>
        <w:rPr>
          <w:rFonts w:ascii="Calibri" w:hAnsi="Calibri" w:cs="Calibri"/>
          <w:noProof/>
          <w:sz w:val="24"/>
          <w:lang w:val="en-US"/>
        </w:rPr>
      </w:pPr>
      <w:r w:rsidRPr="00F60958">
        <w:rPr>
          <w:rFonts w:ascii="Calibri" w:hAnsi="Calibri" w:cs="Calibri"/>
          <w:noProof/>
          <w:sz w:val="24"/>
          <w:lang w:val="en-US"/>
        </w:rPr>
        <w:t xml:space="preserve">2. </w:t>
      </w:r>
      <w:r w:rsidRPr="00F60958">
        <w:rPr>
          <w:rFonts w:ascii="Calibri" w:hAnsi="Calibri" w:cs="Calibri"/>
          <w:noProof/>
          <w:sz w:val="24"/>
          <w:lang w:val="en-US"/>
        </w:rPr>
        <w:tab/>
        <w:t xml:space="preserve">Oppenheimer BW, Goldring RM, Herberg ME, et al. Distal airway function in symptomatic subjects with normal spirometry following world trade center dust exposure. </w:t>
      </w:r>
      <w:r w:rsidRPr="00F60958">
        <w:rPr>
          <w:rFonts w:ascii="Calibri" w:hAnsi="Calibri" w:cs="Calibri"/>
          <w:i/>
          <w:iCs/>
          <w:noProof/>
          <w:sz w:val="24"/>
          <w:lang w:val="en-US"/>
        </w:rPr>
        <w:t>Chest</w:t>
      </w:r>
      <w:r w:rsidRPr="00F60958">
        <w:rPr>
          <w:rFonts w:ascii="Calibri" w:hAnsi="Calibri" w:cs="Calibri"/>
          <w:noProof/>
          <w:sz w:val="24"/>
          <w:lang w:val="en-US"/>
        </w:rPr>
        <w:t>. 2007;132(4):1275-1282. doi:10.1378/chest.07-0913</w:t>
      </w:r>
    </w:p>
    <w:p w:rsidR="000F1F58" w:rsidRPr="00F60958" w:rsidRDefault="000F1F58" w:rsidP="000F1F58">
      <w:pPr>
        <w:widowControl w:val="0"/>
        <w:autoSpaceDE w:val="0"/>
        <w:autoSpaceDN w:val="0"/>
        <w:adjustRightInd w:val="0"/>
        <w:spacing w:line="480" w:lineRule="auto"/>
        <w:ind w:left="640" w:hanging="640"/>
        <w:rPr>
          <w:rFonts w:ascii="Calibri" w:hAnsi="Calibri" w:cs="Calibri"/>
          <w:noProof/>
          <w:sz w:val="24"/>
        </w:rPr>
      </w:pPr>
      <w:r w:rsidRPr="00F60958">
        <w:rPr>
          <w:rFonts w:ascii="Calibri" w:hAnsi="Calibri" w:cs="Calibri"/>
          <w:noProof/>
          <w:sz w:val="24"/>
          <w:lang w:val="en-US"/>
        </w:rPr>
        <w:t xml:space="preserve">3. </w:t>
      </w:r>
      <w:r w:rsidRPr="00F60958">
        <w:rPr>
          <w:rFonts w:ascii="Calibri" w:hAnsi="Calibri" w:cs="Calibri"/>
          <w:noProof/>
          <w:sz w:val="24"/>
          <w:lang w:val="en-US"/>
        </w:rPr>
        <w:tab/>
        <w:t xml:space="preserve">Lipworth B, Manoharan A, Anderson W. Unlocking the quiet zone: the small airway asthma phenotype. </w:t>
      </w:r>
      <w:r w:rsidRPr="00F60958">
        <w:rPr>
          <w:rFonts w:ascii="Calibri" w:hAnsi="Calibri" w:cs="Calibri"/>
          <w:i/>
          <w:iCs/>
          <w:noProof/>
          <w:sz w:val="24"/>
        </w:rPr>
        <w:t>Lancet Respir Med</w:t>
      </w:r>
      <w:r w:rsidRPr="00F60958">
        <w:rPr>
          <w:rFonts w:ascii="Calibri" w:hAnsi="Calibri" w:cs="Calibri"/>
          <w:noProof/>
          <w:sz w:val="24"/>
        </w:rPr>
        <w:t>. 2014;2(6):497-506. doi:10.1016/s2213-2600(14)70103-1</w:t>
      </w:r>
    </w:p>
    <w:p w:rsidR="000F1F58" w:rsidRPr="00F60958" w:rsidRDefault="000F1F58" w:rsidP="000F1F58">
      <w:pPr>
        <w:widowControl w:val="0"/>
        <w:autoSpaceDE w:val="0"/>
        <w:autoSpaceDN w:val="0"/>
        <w:adjustRightInd w:val="0"/>
        <w:spacing w:line="480" w:lineRule="auto"/>
        <w:ind w:left="640" w:hanging="640"/>
        <w:rPr>
          <w:rFonts w:ascii="Calibri" w:hAnsi="Calibri" w:cs="Calibri"/>
          <w:noProof/>
          <w:sz w:val="24"/>
          <w:lang w:val="en-US"/>
        </w:rPr>
      </w:pPr>
      <w:r w:rsidRPr="00F60958">
        <w:rPr>
          <w:rFonts w:ascii="Calibri" w:hAnsi="Calibri" w:cs="Calibri"/>
          <w:noProof/>
          <w:sz w:val="24"/>
        </w:rPr>
        <w:t xml:space="preserve">4. </w:t>
      </w:r>
      <w:r w:rsidRPr="00F60958">
        <w:rPr>
          <w:rFonts w:ascii="Calibri" w:hAnsi="Calibri" w:cs="Calibri"/>
          <w:noProof/>
          <w:sz w:val="24"/>
        </w:rPr>
        <w:tab/>
        <w:t xml:space="preserve">Crisafulli E, Pisi R, Aiello M, et al. </w:t>
      </w:r>
      <w:r w:rsidRPr="00F60958">
        <w:rPr>
          <w:rFonts w:ascii="Calibri" w:hAnsi="Calibri" w:cs="Calibri"/>
          <w:noProof/>
          <w:sz w:val="24"/>
          <w:lang w:val="en-US"/>
        </w:rPr>
        <w:t xml:space="preserve">Prevalence of Small-Airway Dysfunction among COPD Patients with Different GOLD Stages and Its Role in the Impact of Disease. </w:t>
      </w:r>
      <w:r w:rsidRPr="00F60958">
        <w:rPr>
          <w:rFonts w:ascii="Calibri" w:hAnsi="Calibri" w:cs="Calibri"/>
          <w:i/>
          <w:iCs/>
          <w:noProof/>
          <w:sz w:val="24"/>
          <w:lang w:val="en-US"/>
        </w:rPr>
        <w:t>Respiration</w:t>
      </w:r>
      <w:r w:rsidRPr="00F60958">
        <w:rPr>
          <w:rFonts w:ascii="Calibri" w:hAnsi="Calibri" w:cs="Calibri"/>
          <w:noProof/>
          <w:sz w:val="24"/>
          <w:lang w:val="en-US"/>
        </w:rPr>
        <w:t>. 2016;93(1):32-41. doi:10.1159/000452479</w:t>
      </w:r>
    </w:p>
    <w:p w:rsidR="000F1F58" w:rsidRPr="00F60958" w:rsidRDefault="000F1F58" w:rsidP="000F1F58">
      <w:pPr>
        <w:widowControl w:val="0"/>
        <w:autoSpaceDE w:val="0"/>
        <w:autoSpaceDN w:val="0"/>
        <w:adjustRightInd w:val="0"/>
        <w:spacing w:line="480" w:lineRule="auto"/>
        <w:ind w:left="640" w:hanging="640"/>
        <w:rPr>
          <w:rFonts w:ascii="Calibri" w:hAnsi="Calibri" w:cs="Calibri"/>
          <w:noProof/>
          <w:sz w:val="24"/>
          <w:lang w:val="en-US"/>
        </w:rPr>
      </w:pPr>
      <w:r w:rsidRPr="00F60958">
        <w:rPr>
          <w:rFonts w:ascii="Calibri" w:hAnsi="Calibri" w:cs="Calibri"/>
          <w:noProof/>
          <w:sz w:val="24"/>
          <w:lang w:val="en-US"/>
        </w:rPr>
        <w:t xml:space="preserve">5. </w:t>
      </w:r>
      <w:r w:rsidRPr="00F60958">
        <w:rPr>
          <w:rFonts w:ascii="Calibri" w:hAnsi="Calibri" w:cs="Calibri"/>
          <w:noProof/>
          <w:sz w:val="24"/>
          <w:lang w:val="en-US"/>
        </w:rPr>
        <w:tab/>
        <w:t xml:space="preserve">Graham BL, Steenbruggen I, Barjaktarevic IZ, et al. Standardization of spirometry 2019 update an official American Thoracic Society and European Respiratory Society technical statement. </w:t>
      </w:r>
      <w:r w:rsidRPr="00F60958">
        <w:rPr>
          <w:rFonts w:ascii="Calibri" w:hAnsi="Calibri" w:cs="Calibri"/>
          <w:i/>
          <w:iCs/>
          <w:noProof/>
          <w:sz w:val="24"/>
          <w:lang w:val="en-US"/>
        </w:rPr>
        <w:t>Am J Respir Crit Care Med</w:t>
      </w:r>
      <w:r w:rsidRPr="00F60958">
        <w:rPr>
          <w:rFonts w:ascii="Calibri" w:hAnsi="Calibri" w:cs="Calibri"/>
          <w:noProof/>
          <w:sz w:val="24"/>
          <w:lang w:val="en-US"/>
        </w:rPr>
        <w:t>. 2019;200(8):E70-E88. doi:10.1164/rccm.201908-1590ST</w:t>
      </w:r>
    </w:p>
    <w:p w:rsidR="005A4890" w:rsidRPr="00F60958" w:rsidRDefault="006E1DE4" w:rsidP="000F1F58">
      <w:pPr>
        <w:widowControl w:val="0"/>
        <w:autoSpaceDE w:val="0"/>
        <w:autoSpaceDN w:val="0"/>
        <w:adjustRightInd w:val="0"/>
        <w:spacing w:line="480" w:lineRule="auto"/>
        <w:ind w:left="640" w:hanging="640"/>
        <w:rPr>
          <w:rFonts w:ascii="Calibri" w:hAnsi="Calibri" w:cs="Calibri"/>
          <w:sz w:val="24"/>
          <w:szCs w:val="24"/>
          <w:lang w:val="en-US"/>
        </w:rPr>
      </w:pPr>
      <w:r w:rsidRPr="00F60958">
        <w:rPr>
          <w:rFonts w:ascii="Calibri" w:hAnsi="Calibri" w:cs="Calibri"/>
          <w:noProof/>
          <w:sz w:val="24"/>
          <w:lang w:val="en-US"/>
        </w:rPr>
        <w:t xml:space="preserve">6. </w:t>
      </w:r>
      <w:r w:rsidRPr="00F60958">
        <w:rPr>
          <w:rFonts w:ascii="Calibri" w:hAnsi="Calibri" w:cs="Calibri"/>
          <w:noProof/>
          <w:sz w:val="24"/>
          <w:lang w:val="en-US"/>
        </w:rPr>
        <w:tab/>
      </w:r>
      <w:r w:rsidRPr="00F60958">
        <w:rPr>
          <w:lang w:val="en-US"/>
        </w:rPr>
        <w:t>Hansen JE, Porszasz J, Casaburi R, Stringer WW. Re-Defining Lower Limit of Normal for FEV</w:t>
      </w:r>
      <w:r w:rsidRPr="00F60958">
        <w:rPr>
          <w:vertAlign w:val="subscript"/>
          <w:lang w:val="en-US"/>
        </w:rPr>
        <w:t>1</w:t>
      </w:r>
      <w:r w:rsidRPr="00F60958">
        <w:rPr>
          <w:lang w:val="en-US"/>
        </w:rPr>
        <w:t>/FEV</w:t>
      </w:r>
      <w:r w:rsidRPr="00F60958">
        <w:rPr>
          <w:vertAlign w:val="subscript"/>
          <w:lang w:val="en-US"/>
        </w:rPr>
        <w:t>6</w:t>
      </w:r>
      <w:r w:rsidRPr="00F60958">
        <w:rPr>
          <w:lang w:val="en-US"/>
        </w:rPr>
        <w:t>, FEV</w:t>
      </w:r>
      <w:r w:rsidRPr="00F60958">
        <w:rPr>
          <w:vertAlign w:val="subscript"/>
          <w:lang w:val="en-US"/>
        </w:rPr>
        <w:t>1</w:t>
      </w:r>
      <w:r w:rsidRPr="00F60958">
        <w:rPr>
          <w:lang w:val="en-US"/>
        </w:rPr>
        <w:t>/FVC, FEV</w:t>
      </w:r>
      <w:r w:rsidRPr="00F60958">
        <w:rPr>
          <w:vertAlign w:val="subscript"/>
          <w:lang w:val="en-US"/>
        </w:rPr>
        <w:t>3</w:t>
      </w:r>
      <w:r w:rsidRPr="00F60958">
        <w:rPr>
          <w:lang w:val="en-US"/>
        </w:rPr>
        <w:t>/FEV</w:t>
      </w:r>
      <w:r w:rsidRPr="00F60958">
        <w:rPr>
          <w:vertAlign w:val="subscript"/>
          <w:lang w:val="en-US"/>
        </w:rPr>
        <w:t>6</w:t>
      </w:r>
      <w:r w:rsidRPr="00F60958">
        <w:rPr>
          <w:lang w:val="en-US"/>
        </w:rPr>
        <w:t xml:space="preserve"> and FEV</w:t>
      </w:r>
      <w:r w:rsidRPr="00F60958">
        <w:rPr>
          <w:vertAlign w:val="subscript"/>
          <w:lang w:val="en-US"/>
        </w:rPr>
        <w:t>3</w:t>
      </w:r>
      <w:r w:rsidRPr="00F60958">
        <w:rPr>
          <w:lang w:val="en-US"/>
        </w:rPr>
        <w:t>/FVC to Improve Detection of Airway Obstruction. Chronic Obstr Pulm Dis. 2015 Mar 10;2(2):94-102. doi: 10.15326/jcopdf.2.2.2014.0144. PMID: 28848835; PMCID: PMC5556964.</w:t>
      </w:r>
      <w:r w:rsidR="00D125DD" w:rsidRPr="00F60958">
        <w:rPr>
          <w:rFonts w:ascii="Calibri" w:hAnsi="Calibri" w:cs="Calibri"/>
          <w:sz w:val="24"/>
          <w:szCs w:val="24"/>
          <w:lang w:val="en-US"/>
        </w:rPr>
        <w:fldChar w:fldCharType="end"/>
      </w:r>
      <w:bookmarkStart w:id="0" w:name="_GoBack"/>
      <w:bookmarkEnd w:id="0"/>
    </w:p>
    <w:sectPr w:rsidR="005A4890" w:rsidRPr="00F60958" w:rsidSect="00CA5B06">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E38" w:rsidRDefault="00602E38" w:rsidP="008673C7">
      <w:pPr>
        <w:spacing w:after="0" w:line="240" w:lineRule="auto"/>
      </w:pPr>
      <w:r>
        <w:separator/>
      </w:r>
    </w:p>
  </w:endnote>
  <w:endnote w:type="continuationSeparator" w:id="0">
    <w:p w:rsidR="00602E38" w:rsidRDefault="00602E38" w:rsidP="0086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E38" w:rsidRDefault="00602E38" w:rsidP="008673C7">
      <w:pPr>
        <w:spacing w:after="0" w:line="240" w:lineRule="auto"/>
      </w:pPr>
      <w:r>
        <w:separator/>
      </w:r>
    </w:p>
  </w:footnote>
  <w:footnote w:type="continuationSeparator" w:id="0">
    <w:p w:rsidR="00602E38" w:rsidRDefault="00602E38" w:rsidP="00867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5DAA"/>
    <w:multiLevelType w:val="hybridMultilevel"/>
    <w:tmpl w:val="116A8072"/>
    <w:lvl w:ilvl="0" w:tplc="D48EEFD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50B2456"/>
    <w:multiLevelType w:val="hybridMultilevel"/>
    <w:tmpl w:val="8A401B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CE"/>
    <w:rsid w:val="00000E85"/>
    <w:rsid w:val="00002AE1"/>
    <w:rsid w:val="00005158"/>
    <w:rsid w:val="00010F77"/>
    <w:rsid w:val="000160A9"/>
    <w:rsid w:val="0001697B"/>
    <w:rsid w:val="000304C5"/>
    <w:rsid w:val="00034341"/>
    <w:rsid w:val="00043C77"/>
    <w:rsid w:val="00060276"/>
    <w:rsid w:val="000611E8"/>
    <w:rsid w:val="0006147F"/>
    <w:rsid w:val="00065D88"/>
    <w:rsid w:val="00067EC1"/>
    <w:rsid w:val="000736B1"/>
    <w:rsid w:val="00073E97"/>
    <w:rsid w:val="00074A87"/>
    <w:rsid w:val="0008298B"/>
    <w:rsid w:val="00085C8C"/>
    <w:rsid w:val="0008738A"/>
    <w:rsid w:val="000A54C5"/>
    <w:rsid w:val="000A647D"/>
    <w:rsid w:val="000C472C"/>
    <w:rsid w:val="000E1C23"/>
    <w:rsid w:val="000E44B0"/>
    <w:rsid w:val="000E6FEB"/>
    <w:rsid w:val="000F1F58"/>
    <w:rsid w:val="000F53AF"/>
    <w:rsid w:val="000F65CB"/>
    <w:rsid w:val="000F68A1"/>
    <w:rsid w:val="00121915"/>
    <w:rsid w:val="00133009"/>
    <w:rsid w:val="00133D75"/>
    <w:rsid w:val="00137845"/>
    <w:rsid w:val="001378A0"/>
    <w:rsid w:val="001834A4"/>
    <w:rsid w:val="00186C80"/>
    <w:rsid w:val="001A41A4"/>
    <w:rsid w:val="001A559D"/>
    <w:rsid w:val="001B147A"/>
    <w:rsid w:val="001B2337"/>
    <w:rsid w:val="001E0187"/>
    <w:rsid w:val="001F033C"/>
    <w:rsid w:val="001F1424"/>
    <w:rsid w:val="00205CCB"/>
    <w:rsid w:val="00215E5F"/>
    <w:rsid w:val="002176BC"/>
    <w:rsid w:val="00221BBC"/>
    <w:rsid w:val="00224C69"/>
    <w:rsid w:val="00226B7F"/>
    <w:rsid w:val="00234219"/>
    <w:rsid w:val="00237DC5"/>
    <w:rsid w:val="00241EE5"/>
    <w:rsid w:val="0024648A"/>
    <w:rsid w:val="002471DD"/>
    <w:rsid w:val="00252667"/>
    <w:rsid w:val="002607A8"/>
    <w:rsid w:val="00270453"/>
    <w:rsid w:val="00270992"/>
    <w:rsid w:val="002745E6"/>
    <w:rsid w:val="00281D3A"/>
    <w:rsid w:val="0028315F"/>
    <w:rsid w:val="002904A0"/>
    <w:rsid w:val="00294AB8"/>
    <w:rsid w:val="002C0FA2"/>
    <w:rsid w:val="002D0B24"/>
    <w:rsid w:val="002D1695"/>
    <w:rsid w:val="002D16B2"/>
    <w:rsid w:val="002E4743"/>
    <w:rsid w:val="002E74E1"/>
    <w:rsid w:val="002F1087"/>
    <w:rsid w:val="002F4A8B"/>
    <w:rsid w:val="003121E8"/>
    <w:rsid w:val="00315CDC"/>
    <w:rsid w:val="00322A09"/>
    <w:rsid w:val="003230ED"/>
    <w:rsid w:val="00332879"/>
    <w:rsid w:val="00332E9D"/>
    <w:rsid w:val="00343671"/>
    <w:rsid w:val="00343BCE"/>
    <w:rsid w:val="003444C2"/>
    <w:rsid w:val="00351470"/>
    <w:rsid w:val="003525E8"/>
    <w:rsid w:val="00367896"/>
    <w:rsid w:val="00374AF2"/>
    <w:rsid w:val="00386DA8"/>
    <w:rsid w:val="0039575D"/>
    <w:rsid w:val="003A0459"/>
    <w:rsid w:val="003B2F36"/>
    <w:rsid w:val="003B53B4"/>
    <w:rsid w:val="003C0AC0"/>
    <w:rsid w:val="003D19F6"/>
    <w:rsid w:val="003D6A71"/>
    <w:rsid w:val="003E17A0"/>
    <w:rsid w:val="003E205E"/>
    <w:rsid w:val="003E5F0F"/>
    <w:rsid w:val="003F545B"/>
    <w:rsid w:val="004028D3"/>
    <w:rsid w:val="00414582"/>
    <w:rsid w:val="00424280"/>
    <w:rsid w:val="00451457"/>
    <w:rsid w:val="00452D1C"/>
    <w:rsid w:val="004540C9"/>
    <w:rsid w:val="00473CDC"/>
    <w:rsid w:val="00474AFD"/>
    <w:rsid w:val="00480509"/>
    <w:rsid w:val="00484B1D"/>
    <w:rsid w:val="00492945"/>
    <w:rsid w:val="004937F6"/>
    <w:rsid w:val="00496296"/>
    <w:rsid w:val="004D5C13"/>
    <w:rsid w:val="004F00F0"/>
    <w:rsid w:val="004F01A2"/>
    <w:rsid w:val="00504B18"/>
    <w:rsid w:val="00520C28"/>
    <w:rsid w:val="00524579"/>
    <w:rsid w:val="00531A32"/>
    <w:rsid w:val="00537991"/>
    <w:rsid w:val="005554E2"/>
    <w:rsid w:val="005748C1"/>
    <w:rsid w:val="00580559"/>
    <w:rsid w:val="005909B8"/>
    <w:rsid w:val="005935DE"/>
    <w:rsid w:val="005A47DC"/>
    <w:rsid w:val="005A4890"/>
    <w:rsid w:val="005B40AA"/>
    <w:rsid w:val="005B64E8"/>
    <w:rsid w:val="005D3E32"/>
    <w:rsid w:val="005D40E6"/>
    <w:rsid w:val="005D5F2C"/>
    <w:rsid w:val="005E31EA"/>
    <w:rsid w:val="005E6DBF"/>
    <w:rsid w:val="005F619C"/>
    <w:rsid w:val="00602E38"/>
    <w:rsid w:val="0060421E"/>
    <w:rsid w:val="00613790"/>
    <w:rsid w:val="0061612D"/>
    <w:rsid w:val="006175A9"/>
    <w:rsid w:val="0062181A"/>
    <w:rsid w:val="00622664"/>
    <w:rsid w:val="0062351B"/>
    <w:rsid w:val="00625B72"/>
    <w:rsid w:val="00641A60"/>
    <w:rsid w:val="00641EDC"/>
    <w:rsid w:val="0064380D"/>
    <w:rsid w:val="00660876"/>
    <w:rsid w:val="00665842"/>
    <w:rsid w:val="00675F47"/>
    <w:rsid w:val="00695C4C"/>
    <w:rsid w:val="006A22E0"/>
    <w:rsid w:val="006A2464"/>
    <w:rsid w:val="006A6557"/>
    <w:rsid w:val="006B6C72"/>
    <w:rsid w:val="006E1DE4"/>
    <w:rsid w:val="006E4EC7"/>
    <w:rsid w:val="006F6195"/>
    <w:rsid w:val="00707F25"/>
    <w:rsid w:val="0072126D"/>
    <w:rsid w:val="00722975"/>
    <w:rsid w:val="00730565"/>
    <w:rsid w:val="00733694"/>
    <w:rsid w:val="00735498"/>
    <w:rsid w:val="0075702D"/>
    <w:rsid w:val="0077015C"/>
    <w:rsid w:val="00770D7A"/>
    <w:rsid w:val="00772615"/>
    <w:rsid w:val="00785128"/>
    <w:rsid w:val="007966D4"/>
    <w:rsid w:val="00796D5A"/>
    <w:rsid w:val="0079711F"/>
    <w:rsid w:val="007C3899"/>
    <w:rsid w:val="007D6D3C"/>
    <w:rsid w:val="007D772A"/>
    <w:rsid w:val="007E0787"/>
    <w:rsid w:val="007E4EB3"/>
    <w:rsid w:val="007E6918"/>
    <w:rsid w:val="007F220F"/>
    <w:rsid w:val="007F28C2"/>
    <w:rsid w:val="008035AA"/>
    <w:rsid w:val="00807379"/>
    <w:rsid w:val="00810CDE"/>
    <w:rsid w:val="008166F9"/>
    <w:rsid w:val="00830097"/>
    <w:rsid w:val="0083142F"/>
    <w:rsid w:val="00833CCD"/>
    <w:rsid w:val="0084291D"/>
    <w:rsid w:val="00855F9E"/>
    <w:rsid w:val="0086098A"/>
    <w:rsid w:val="008673C7"/>
    <w:rsid w:val="00872B28"/>
    <w:rsid w:val="008843B8"/>
    <w:rsid w:val="00886419"/>
    <w:rsid w:val="008A41C9"/>
    <w:rsid w:val="008A5D00"/>
    <w:rsid w:val="008B5EBC"/>
    <w:rsid w:val="008C1EB8"/>
    <w:rsid w:val="008D729D"/>
    <w:rsid w:val="008D748A"/>
    <w:rsid w:val="008E08D5"/>
    <w:rsid w:val="008E23E8"/>
    <w:rsid w:val="008F1133"/>
    <w:rsid w:val="008F2575"/>
    <w:rsid w:val="00900466"/>
    <w:rsid w:val="009043FF"/>
    <w:rsid w:val="00910E59"/>
    <w:rsid w:val="009456F1"/>
    <w:rsid w:val="00947EAA"/>
    <w:rsid w:val="0096096E"/>
    <w:rsid w:val="009610EB"/>
    <w:rsid w:val="00963CFB"/>
    <w:rsid w:val="009717B2"/>
    <w:rsid w:val="0097711B"/>
    <w:rsid w:val="009A3BAB"/>
    <w:rsid w:val="009B4EBE"/>
    <w:rsid w:val="009B5653"/>
    <w:rsid w:val="009B639D"/>
    <w:rsid w:val="009B704D"/>
    <w:rsid w:val="009D4D5D"/>
    <w:rsid w:val="009E1DBE"/>
    <w:rsid w:val="009E32F0"/>
    <w:rsid w:val="009F6F48"/>
    <w:rsid w:val="00A05852"/>
    <w:rsid w:val="00A10291"/>
    <w:rsid w:val="00A144AD"/>
    <w:rsid w:val="00A2773C"/>
    <w:rsid w:val="00A30B5E"/>
    <w:rsid w:val="00A34E62"/>
    <w:rsid w:val="00A61750"/>
    <w:rsid w:val="00A828BF"/>
    <w:rsid w:val="00A85DC5"/>
    <w:rsid w:val="00A879B9"/>
    <w:rsid w:val="00A92446"/>
    <w:rsid w:val="00AA019C"/>
    <w:rsid w:val="00AA51A7"/>
    <w:rsid w:val="00AA51AC"/>
    <w:rsid w:val="00AA554B"/>
    <w:rsid w:val="00AA7EAA"/>
    <w:rsid w:val="00AB7EFE"/>
    <w:rsid w:val="00AC2FBC"/>
    <w:rsid w:val="00AC6890"/>
    <w:rsid w:val="00AD498C"/>
    <w:rsid w:val="00B00E2E"/>
    <w:rsid w:val="00B10080"/>
    <w:rsid w:val="00B15532"/>
    <w:rsid w:val="00B177AB"/>
    <w:rsid w:val="00B207CF"/>
    <w:rsid w:val="00B232DB"/>
    <w:rsid w:val="00B35A88"/>
    <w:rsid w:val="00B4177C"/>
    <w:rsid w:val="00B426D9"/>
    <w:rsid w:val="00B5061A"/>
    <w:rsid w:val="00B63C3B"/>
    <w:rsid w:val="00B65379"/>
    <w:rsid w:val="00B76E6F"/>
    <w:rsid w:val="00B91894"/>
    <w:rsid w:val="00B934D8"/>
    <w:rsid w:val="00BA3CE5"/>
    <w:rsid w:val="00BA5551"/>
    <w:rsid w:val="00BB71B5"/>
    <w:rsid w:val="00BC0161"/>
    <w:rsid w:val="00BE3AD7"/>
    <w:rsid w:val="00BE5F2A"/>
    <w:rsid w:val="00BF744F"/>
    <w:rsid w:val="00BF7629"/>
    <w:rsid w:val="00C012BE"/>
    <w:rsid w:val="00C01787"/>
    <w:rsid w:val="00C04372"/>
    <w:rsid w:val="00C07A09"/>
    <w:rsid w:val="00C11BD3"/>
    <w:rsid w:val="00C127DE"/>
    <w:rsid w:val="00C272BD"/>
    <w:rsid w:val="00C41010"/>
    <w:rsid w:val="00C44C28"/>
    <w:rsid w:val="00C453B4"/>
    <w:rsid w:val="00C51C36"/>
    <w:rsid w:val="00C64037"/>
    <w:rsid w:val="00C75D97"/>
    <w:rsid w:val="00C80ED7"/>
    <w:rsid w:val="00C81049"/>
    <w:rsid w:val="00C909C7"/>
    <w:rsid w:val="00C92FC7"/>
    <w:rsid w:val="00CA5B06"/>
    <w:rsid w:val="00CB517B"/>
    <w:rsid w:val="00CC2098"/>
    <w:rsid w:val="00CD5C4A"/>
    <w:rsid w:val="00CF00AE"/>
    <w:rsid w:val="00CF1231"/>
    <w:rsid w:val="00D00E1D"/>
    <w:rsid w:val="00D125DD"/>
    <w:rsid w:val="00D271A1"/>
    <w:rsid w:val="00D31AA6"/>
    <w:rsid w:val="00D33190"/>
    <w:rsid w:val="00D36F39"/>
    <w:rsid w:val="00D52C28"/>
    <w:rsid w:val="00D6318D"/>
    <w:rsid w:val="00D7137B"/>
    <w:rsid w:val="00D7437D"/>
    <w:rsid w:val="00D772B8"/>
    <w:rsid w:val="00DA5560"/>
    <w:rsid w:val="00DA6294"/>
    <w:rsid w:val="00DA7E9E"/>
    <w:rsid w:val="00DB61D5"/>
    <w:rsid w:val="00DB6C81"/>
    <w:rsid w:val="00DB7748"/>
    <w:rsid w:val="00DC0AC3"/>
    <w:rsid w:val="00DC7B21"/>
    <w:rsid w:val="00DD2593"/>
    <w:rsid w:val="00DD5C4B"/>
    <w:rsid w:val="00DF15CE"/>
    <w:rsid w:val="00DF19C2"/>
    <w:rsid w:val="00E016EA"/>
    <w:rsid w:val="00E0301E"/>
    <w:rsid w:val="00E10B5C"/>
    <w:rsid w:val="00E14E33"/>
    <w:rsid w:val="00E307A5"/>
    <w:rsid w:val="00E3461C"/>
    <w:rsid w:val="00E36E31"/>
    <w:rsid w:val="00E429ED"/>
    <w:rsid w:val="00E5042D"/>
    <w:rsid w:val="00E639AF"/>
    <w:rsid w:val="00E64EE4"/>
    <w:rsid w:val="00E6597C"/>
    <w:rsid w:val="00E72ABF"/>
    <w:rsid w:val="00EA1CB5"/>
    <w:rsid w:val="00EA303B"/>
    <w:rsid w:val="00EB29C4"/>
    <w:rsid w:val="00EB3B47"/>
    <w:rsid w:val="00EB589D"/>
    <w:rsid w:val="00ED1F19"/>
    <w:rsid w:val="00ED23A0"/>
    <w:rsid w:val="00ED5923"/>
    <w:rsid w:val="00EE0F1B"/>
    <w:rsid w:val="00EE2FDF"/>
    <w:rsid w:val="00EE5E4C"/>
    <w:rsid w:val="00F12514"/>
    <w:rsid w:val="00F21CA4"/>
    <w:rsid w:val="00F26EB2"/>
    <w:rsid w:val="00F31373"/>
    <w:rsid w:val="00F407C0"/>
    <w:rsid w:val="00F515DF"/>
    <w:rsid w:val="00F52EA8"/>
    <w:rsid w:val="00F570AE"/>
    <w:rsid w:val="00F60958"/>
    <w:rsid w:val="00F63E5F"/>
    <w:rsid w:val="00F72523"/>
    <w:rsid w:val="00F7658C"/>
    <w:rsid w:val="00F84636"/>
    <w:rsid w:val="00F8516F"/>
    <w:rsid w:val="00F86773"/>
    <w:rsid w:val="00F91B61"/>
    <w:rsid w:val="00FA4A8F"/>
    <w:rsid w:val="00FC0064"/>
    <w:rsid w:val="00FC6605"/>
    <w:rsid w:val="00FD6431"/>
    <w:rsid w:val="00FD6583"/>
    <w:rsid w:val="00FE0138"/>
    <w:rsid w:val="00FE0C2D"/>
    <w:rsid w:val="00FE0FD6"/>
    <w:rsid w:val="00FF7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8FB31-661F-485C-889F-E3DD2DA6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909C7"/>
    <w:rPr>
      <w:color w:val="0000FF"/>
      <w:u w:val="single"/>
    </w:rPr>
  </w:style>
  <w:style w:type="character" w:customStyle="1" w:styleId="docsum-authors">
    <w:name w:val="docsum-authors"/>
    <w:basedOn w:val="Carpredefinitoparagrafo"/>
    <w:rsid w:val="00215E5F"/>
  </w:style>
  <w:style w:type="character" w:customStyle="1" w:styleId="docsum-journal-citation">
    <w:name w:val="docsum-journal-citation"/>
    <w:basedOn w:val="Carpredefinitoparagrafo"/>
    <w:rsid w:val="00215E5F"/>
  </w:style>
  <w:style w:type="paragraph" w:styleId="Paragrafoelenco">
    <w:name w:val="List Paragraph"/>
    <w:basedOn w:val="Normale"/>
    <w:uiPriority w:val="34"/>
    <w:qFormat/>
    <w:rsid w:val="00C012BE"/>
    <w:pPr>
      <w:ind w:left="720"/>
      <w:contextualSpacing/>
    </w:pPr>
  </w:style>
  <w:style w:type="character" w:customStyle="1" w:styleId="jlqj4b">
    <w:name w:val="jlqj4b"/>
    <w:basedOn w:val="Carpredefinitoparagrafo"/>
    <w:rsid w:val="00AA51AC"/>
  </w:style>
  <w:style w:type="paragraph" w:styleId="Intestazione">
    <w:name w:val="header"/>
    <w:basedOn w:val="Normale"/>
    <w:link w:val="IntestazioneCarattere"/>
    <w:uiPriority w:val="99"/>
    <w:unhideWhenUsed/>
    <w:rsid w:val="008673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73C7"/>
  </w:style>
  <w:style w:type="paragraph" w:styleId="Pidipagina">
    <w:name w:val="footer"/>
    <w:basedOn w:val="Normale"/>
    <w:link w:val="PidipaginaCarattere"/>
    <w:uiPriority w:val="99"/>
    <w:unhideWhenUsed/>
    <w:rsid w:val="008673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73C7"/>
  </w:style>
  <w:style w:type="paragraph" w:styleId="Testofumetto">
    <w:name w:val="Balloon Text"/>
    <w:basedOn w:val="Normale"/>
    <w:link w:val="TestofumettoCarattere"/>
    <w:uiPriority w:val="99"/>
    <w:semiHidden/>
    <w:unhideWhenUsed/>
    <w:rsid w:val="004937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37F6"/>
    <w:rPr>
      <w:rFonts w:ascii="Segoe UI" w:hAnsi="Segoe UI" w:cs="Segoe UI"/>
      <w:sz w:val="18"/>
      <w:szCs w:val="18"/>
    </w:rPr>
  </w:style>
  <w:style w:type="table" w:styleId="Grigliatabella">
    <w:name w:val="Table Grid"/>
    <w:basedOn w:val="Tabellanormale"/>
    <w:uiPriority w:val="39"/>
    <w:rsid w:val="00186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8E23E8"/>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Numeroriga">
    <w:name w:val="line number"/>
    <w:basedOn w:val="Carpredefinitoparagrafo"/>
    <w:uiPriority w:val="99"/>
    <w:semiHidden/>
    <w:unhideWhenUsed/>
    <w:rsid w:val="00E639AF"/>
  </w:style>
  <w:style w:type="character" w:customStyle="1" w:styleId="UnresolvedMention">
    <w:name w:val="Unresolved Mention"/>
    <w:basedOn w:val="Carpredefinitoparagrafo"/>
    <w:uiPriority w:val="99"/>
    <w:semiHidden/>
    <w:unhideWhenUsed/>
    <w:rsid w:val="00AA5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24">
      <w:bodyDiv w:val="1"/>
      <w:marLeft w:val="0"/>
      <w:marRight w:val="0"/>
      <w:marTop w:val="0"/>
      <w:marBottom w:val="0"/>
      <w:divBdr>
        <w:top w:val="none" w:sz="0" w:space="0" w:color="auto"/>
        <w:left w:val="none" w:sz="0" w:space="0" w:color="auto"/>
        <w:bottom w:val="none" w:sz="0" w:space="0" w:color="auto"/>
        <w:right w:val="none" w:sz="0" w:space="0" w:color="auto"/>
      </w:divBdr>
    </w:div>
    <w:div w:id="140004067">
      <w:bodyDiv w:val="1"/>
      <w:marLeft w:val="0"/>
      <w:marRight w:val="0"/>
      <w:marTop w:val="0"/>
      <w:marBottom w:val="0"/>
      <w:divBdr>
        <w:top w:val="none" w:sz="0" w:space="0" w:color="auto"/>
        <w:left w:val="none" w:sz="0" w:space="0" w:color="auto"/>
        <w:bottom w:val="none" w:sz="0" w:space="0" w:color="auto"/>
        <w:right w:val="none" w:sz="0" w:space="0" w:color="auto"/>
      </w:divBdr>
    </w:div>
    <w:div w:id="396977390">
      <w:bodyDiv w:val="1"/>
      <w:marLeft w:val="0"/>
      <w:marRight w:val="0"/>
      <w:marTop w:val="0"/>
      <w:marBottom w:val="0"/>
      <w:divBdr>
        <w:top w:val="none" w:sz="0" w:space="0" w:color="auto"/>
        <w:left w:val="none" w:sz="0" w:space="0" w:color="auto"/>
        <w:bottom w:val="none" w:sz="0" w:space="0" w:color="auto"/>
        <w:right w:val="none" w:sz="0" w:space="0" w:color="auto"/>
      </w:divBdr>
    </w:div>
    <w:div w:id="519317659">
      <w:bodyDiv w:val="1"/>
      <w:marLeft w:val="0"/>
      <w:marRight w:val="0"/>
      <w:marTop w:val="0"/>
      <w:marBottom w:val="0"/>
      <w:divBdr>
        <w:top w:val="none" w:sz="0" w:space="0" w:color="auto"/>
        <w:left w:val="none" w:sz="0" w:space="0" w:color="auto"/>
        <w:bottom w:val="none" w:sz="0" w:space="0" w:color="auto"/>
        <w:right w:val="none" w:sz="0" w:space="0" w:color="auto"/>
      </w:divBdr>
    </w:div>
    <w:div w:id="748159089">
      <w:bodyDiv w:val="1"/>
      <w:marLeft w:val="0"/>
      <w:marRight w:val="0"/>
      <w:marTop w:val="0"/>
      <w:marBottom w:val="0"/>
      <w:divBdr>
        <w:top w:val="none" w:sz="0" w:space="0" w:color="auto"/>
        <w:left w:val="none" w:sz="0" w:space="0" w:color="auto"/>
        <w:bottom w:val="none" w:sz="0" w:space="0" w:color="auto"/>
        <w:right w:val="none" w:sz="0" w:space="0" w:color="auto"/>
      </w:divBdr>
    </w:div>
    <w:div w:id="950363213">
      <w:bodyDiv w:val="1"/>
      <w:marLeft w:val="0"/>
      <w:marRight w:val="0"/>
      <w:marTop w:val="0"/>
      <w:marBottom w:val="0"/>
      <w:divBdr>
        <w:top w:val="none" w:sz="0" w:space="0" w:color="auto"/>
        <w:left w:val="none" w:sz="0" w:space="0" w:color="auto"/>
        <w:bottom w:val="none" w:sz="0" w:space="0" w:color="auto"/>
        <w:right w:val="none" w:sz="0" w:space="0" w:color="auto"/>
      </w:divBdr>
    </w:div>
    <w:div w:id="1150904567">
      <w:bodyDiv w:val="1"/>
      <w:marLeft w:val="0"/>
      <w:marRight w:val="0"/>
      <w:marTop w:val="0"/>
      <w:marBottom w:val="0"/>
      <w:divBdr>
        <w:top w:val="none" w:sz="0" w:space="0" w:color="auto"/>
        <w:left w:val="none" w:sz="0" w:space="0" w:color="auto"/>
        <w:bottom w:val="none" w:sz="0" w:space="0" w:color="auto"/>
        <w:right w:val="none" w:sz="0" w:space="0" w:color="auto"/>
      </w:divBdr>
      <w:divsChild>
        <w:div w:id="109982161">
          <w:marLeft w:val="0"/>
          <w:marRight w:val="0"/>
          <w:marTop w:val="0"/>
          <w:marBottom w:val="0"/>
          <w:divBdr>
            <w:top w:val="none" w:sz="0" w:space="0" w:color="auto"/>
            <w:left w:val="none" w:sz="0" w:space="0" w:color="auto"/>
            <w:bottom w:val="none" w:sz="0" w:space="0" w:color="auto"/>
            <w:right w:val="none" w:sz="0" w:space="0" w:color="auto"/>
          </w:divBdr>
        </w:div>
      </w:divsChild>
    </w:div>
    <w:div w:id="1163623279">
      <w:bodyDiv w:val="1"/>
      <w:marLeft w:val="0"/>
      <w:marRight w:val="0"/>
      <w:marTop w:val="0"/>
      <w:marBottom w:val="0"/>
      <w:divBdr>
        <w:top w:val="none" w:sz="0" w:space="0" w:color="auto"/>
        <w:left w:val="none" w:sz="0" w:space="0" w:color="auto"/>
        <w:bottom w:val="none" w:sz="0" w:space="0" w:color="auto"/>
        <w:right w:val="none" w:sz="0" w:space="0" w:color="auto"/>
      </w:divBdr>
    </w:div>
    <w:div w:id="1323268368">
      <w:bodyDiv w:val="1"/>
      <w:marLeft w:val="0"/>
      <w:marRight w:val="0"/>
      <w:marTop w:val="0"/>
      <w:marBottom w:val="0"/>
      <w:divBdr>
        <w:top w:val="none" w:sz="0" w:space="0" w:color="auto"/>
        <w:left w:val="none" w:sz="0" w:space="0" w:color="auto"/>
        <w:bottom w:val="none" w:sz="0" w:space="0" w:color="auto"/>
        <w:right w:val="none" w:sz="0" w:space="0" w:color="auto"/>
      </w:divBdr>
    </w:div>
    <w:div w:id="1553688488">
      <w:bodyDiv w:val="1"/>
      <w:marLeft w:val="0"/>
      <w:marRight w:val="0"/>
      <w:marTop w:val="0"/>
      <w:marBottom w:val="0"/>
      <w:divBdr>
        <w:top w:val="none" w:sz="0" w:space="0" w:color="auto"/>
        <w:left w:val="none" w:sz="0" w:space="0" w:color="auto"/>
        <w:bottom w:val="none" w:sz="0" w:space="0" w:color="auto"/>
        <w:right w:val="none" w:sz="0" w:space="0" w:color="auto"/>
      </w:divBdr>
      <w:divsChild>
        <w:div w:id="1835878874">
          <w:marLeft w:val="0"/>
          <w:marRight w:val="0"/>
          <w:marTop w:val="0"/>
          <w:marBottom w:val="0"/>
          <w:divBdr>
            <w:top w:val="none" w:sz="0" w:space="0" w:color="auto"/>
            <w:left w:val="none" w:sz="0" w:space="0" w:color="auto"/>
            <w:bottom w:val="none" w:sz="0" w:space="0" w:color="auto"/>
            <w:right w:val="none" w:sz="0" w:space="0" w:color="auto"/>
          </w:divBdr>
        </w:div>
      </w:divsChild>
    </w:div>
    <w:div w:id="19269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38E34-F8FA-46CD-A5B2-58A89A6B0022}">
  <ds:schemaRefs>
    <ds:schemaRef ds:uri="http://schemas.openxmlformats.org/officeDocument/2006/bibliography"/>
  </ds:schemaRefs>
</ds:datastoreItem>
</file>

<file path=customXml/itemProps2.xml><?xml version="1.0" encoding="utf-8"?>
<ds:datastoreItem xmlns:ds="http://schemas.openxmlformats.org/officeDocument/2006/customXml" ds:itemID="{35F23C62-3BE7-41E9-B00D-FCA49FD9761B}"/>
</file>

<file path=customXml/itemProps3.xml><?xml version="1.0" encoding="utf-8"?>
<ds:datastoreItem xmlns:ds="http://schemas.openxmlformats.org/officeDocument/2006/customXml" ds:itemID="{C20625E6-9C51-4E08-B9A7-84D89B679DDF}"/>
</file>

<file path=customXml/itemProps4.xml><?xml version="1.0" encoding="utf-8"?>
<ds:datastoreItem xmlns:ds="http://schemas.openxmlformats.org/officeDocument/2006/customXml" ds:itemID="{D1D3ED26-8BFD-40DE-AA6B-26F36EC8418B}"/>
</file>

<file path=docProps/app.xml><?xml version="1.0" encoding="utf-8"?>
<Properties xmlns="http://schemas.openxmlformats.org/officeDocument/2006/extended-properties" xmlns:vt="http://schemas.openxmlformats.org/officeDocument/2006/docPropsVTypes">
  <Template>Normal.dotm</Template>
  <TotalTime>0</TotalTime>
  <Pages>3</Pages>
  <Words>2837</Words>
  <Characters>16177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Antonio CHETTA</dc:creator>
  <cp:keywords/>
  <dc:description/>
  <cp:lastModifiedBy>utente</cp:lastModifiedBy>
  <cp:revision>2</cp:revision>
  <cp:lastPrinted>2021-05-04T12:03:00Z</cp:lastPrinted>
  <dcterms:created xsi:type="dcterms:W3CDTF">2021-08-03T09:13:00Z</dcterms:created>
  <dcterms:modified xsi:type="dcterms:W3CDTF">2021-08-03T09:13:00Z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http://www.zotero.org/styles/british-journal-of-pharmacology</vt:lpwstr>
  </property>
  <property fmtid="{D5CDD505-2E9C-101B-9397-08002B2CF9AE}" pid="10" name="Mendeley Recent Style Name 3_1">
    <vt:lpwstr>British Journal of Pharmacology</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http://www.zotero.org/styles/expert-review-of-respiratory-medicine</vt:lpwstr>
  </property>
  <property fmtid="{D5CDD505-2E9C-101B-9397-08002B2CF9AE}" pid="16" name="Mendeley Recent Style Name 6_1">
    <vt:lpwstr>Expert Review of Respiratory Medicine</vt:lpwstr>
  </property>
  <property fmtid="{D5CDD505-2E9C-101B-9397-08002B2CF9AE}" pid="17" name="Mendeley Recent Style Id 7_1">
    <vt:lpwstr>http://www.zotero.org/styles/jama</vt:lpwstr>
  </property>
  <property fmtid="{D5CDD505-2E9C-101B-9397-08002B2CF9AE}" pid="18" name="Mendeley Recent Style Name 7_1">
    <vt:lpwstr>JAMA (The Journal of the American Medical Association)</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http://www.zotero.org/styles/pulmonary-pharmacology-and-therapeutics</vt:lpwstr>
  </property>
  <property fmtid="{D5CDD505-2E9C-101B-9397-08002B2CF9AE}" pid="22" name="Mendeley Recent Style Name 9_1">
    <vt:lpwstr>Pulmonary Pharmacology &amp; Therapeutics</vt:lpwstr>
  </property>
  <property fmtid="{D5CDD505-2E9C-101B-9397-08002B2CF9AE}" pid="23" name="Mendeley Citation Style_1">
    <vt:lpwstr>http://www.zotero.org/styles/jama</vt:lpwstr>
  </property>
  <property fmtid="{D5CDD505-2E9C-101B-9397-08002B2CF9AE}" pid="24" name="Mendeley Unique User Id_1">
    <vt:lpwstr>d9586c8f-544b-34f4-ad88-c6c4161a569d</vt:lpwstr>
  </property>
  <property fmtid="{D5CDD505-2E9C-101B-9397-08002B2CF9AE}" pid="25" name="ContentTypeId">
    <vt:lpwstr>0x010100B689D60CD2ED204EAFDAF0E3751CDEB7</vt:lpwstr>
  </property>
</Properties>
</file>