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E38DB8" w14:textId="77777777" w:rsidR="00107882" w:rsidRPr="00D37F0E" w:rsidRDefault="00107882" w:rsidP="00107882">
      <w:pPr>
        <w:pStyle w:val="C"/>
        <w:rPr>
          <w:rStyle w:val="a"/>
          <w:sz w:val="22"/>
          <w:szCs w:val="22"/>
          <w:lang w:val="en-US"/>
        </w:rPr>
      </w:pPr>
      <w:r w:rsidRPr="00D37F0E">
        <w:rPr>
          <w:rStyle w:val="a"/>
          <w:rFonts w:eastAsia="Arial Unicode MS" w:cs="Arial Unicode MS"/>
          <w:b/>
          <w:bCs/>
          <w:sz w:val="22"/>
          <w:szCs w:val="22"/>
          <w:lang w:val="en-US"/>
        </w:rPr>
        <w:t>Supplementary Table 1</w:t>
      </w:r>
      <w:r w:rsidRPr="00D37F0E">
        <w:rPr>
          <w:rStyle w:val="a"/>
          <w:rFonts w:eastAsia="Arial Unicode MS" w:cs="Arial Unicode MS"/>
          <w:sz w:val="22"/>
          <w:szCs w:val="22"/>
          <w:lang w:val="en-US"/>
        </w:rPr>
        <w:t xml:space="preserve">. Details of treatment received after progression in </w:t>
      </w:r>
      <w:proofErr w:type="spellStart"/>
      <w:r w:rsidRPr="00D37F0E">
        <w:rPr>
          <w:rStyle w:val="a"/>
          <w:rFonts w:eastAsia="Arial Unicode MS" w:cs="Arial Unicode MS"/>
          <w:sz w:val="22"/>
          <w:szCs w:val="22"/>
          <w:lang w:val="en-US"/>
        </w:rPr>
        <w:t>afatinib</w:t>
      </w:r>
      <w:proofErr w:type="spellEnd"/>
      <w:r w:rsidRPr="00D37F0E">
        <w:rPr>
          <w:rStyle w:val="a"/>
          <w:rFonts w:eastAsia="Arial Unicode MS" w:cs="Arial Unicode MS"/>
          <w:sz w:val="22"/>
          <w:szCs w:val="22"/>
          <w:lang w:val="en-US"/>
        </w:rPr>
        <w:t xml:space="preserve"> per patient.</w:t>
      </w:r>
    </w:p>
    <w:p w14:paraId="07C0CFB9" w14:textId="77777777" w:rsidR="00107882" w:rsidRPr="00D37F0E" w:rsidRDefault="00107882" w:rsidP="00107882">
      <w:pPr>
        <w:pStyle w:val="C"/>
        <w:rPr>
          <w:rStyle w:val="a"/>
          <w:sz w:val="22"/>
          <w:szCs w:val="22"/>
          <w:lang w:val="en-US"/>
        </w:rPr>
      </w:pPr>
    </w:p>
    <w:tbl>
      <w:tblPr>
        <w:tblW w:w="1006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77"/>
        <w:gridCol w:w="1885"/>
        <w:gridCol w:w="1800"/>
        <w:gridCol w:w="1560"/>
        <w:gridCol w:w="1842"/>
        <w:gridCol w:w="1701"/>
      </w:tblGrid>
      <w:tr w:rsidR="00107882" w:rsidRPr="00D37F0E" w14:paraId="4BBB977E" w14:textId="77777777" w:rsidTr="00B50DFB">
        <w:trPr>
          <w:trHeight w:val="49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ED93B3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b/>
                <w:bCs/>
                <w:sz w:val="22"/>
                <w:szCs w:val="22"/>
                <w:lang w:val="en-US"/>
              </w:rPr>
              <w:t>Patient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47E2F0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b/>
                <w:bCs/>
                <w:sz w:val="22"/>
                <w:szCs w:val="22"/>
                <w:lang w:val="en-US"/>
              </w:rPr>
              <w:t>Drug 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D9F1C4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b/>
                <w:bCs/>
                <w:sz w:val="22"/>
                <w:szCs w:val="22"/>
                <w:lang w:val="en-US"/>
              </w:rPr>
              <w:t>Drug 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1CF193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b/>
                <w:bCs/>
                <w:sz w:val="22"/>
                <w:szCs w:val="22"/>
                <w:lang w:val="en-US"/>
              </w:rPr>
              <w:t>Drug 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6C7A88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b/>
                <w:bCs/>
                <w:sz w:val="22"/>
                <w:szCs w:val="22"/>
                <w:lang w:val="en-US"/>
              </w:rPr>
              <w:t>Drug 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A57D10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b/>
                <w:bCs/>
                <w:i/>
                <w:iCs/>
                <w:sz w:val="22"/>
                <w:szCs w:val="22"/>
                <w:lang w:val="en-US"/>
              </w:rPr>
              <w:t>EGFR mutation</w:t>
            </w:r>
          </w:p>
        </w:tc>
      </w:tr>
      <w:tr w:rsidR="00107882" w:rsidRPr="00D37F0E" w14:paraId="66DADCB6" w14:textId="77777777" w:rsidTr="00B50DFB">
        <w:trPr>
          <w:trHeight w:val="3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AF9DF4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4B8A08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Atezolizumab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FB406E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E3888A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F9E20A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614D30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1E09BC9E" w14:textId="77777777" w:rsidTr="00B50DFB">
        <w:trPr>
          <w:trHeight w:val="3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522DBF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B1ED59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Osimertinib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EB5E01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820AC7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E459E5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599730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6531908E" w14:textId="77777777" w:rsidTr="00B50DFB">
        <w:trPr>
          <w:trHeight w:val="37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95CB5E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7CA69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Carboplatin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0D0253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Gemcitabine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1EFE72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144284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489964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2547CDDF" w14:textId="77777777" w:rsidTr="00B50DFB">
        <w:trPr>
          <w:trHeight w:val="3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8381E9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B97D2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Gefitinib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9C1468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Denosumab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C78757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9FD8DD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4F8256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41E9697F" w14:textId="77777777" w:rsidTr="00B50DFB">
        <w:trPr>
          <w:trHeight w:val="36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B1B96E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238D80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Osimertinib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F8277D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0FC4E5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0160E7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EF6458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0D2CC06B" w14:textId="77777777" w:rsidTr="00B50DFB">
        <w:trPr>
          <w:trHeight w:val="37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810BC6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AD6E38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Osimertinib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6A122A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47BB75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EF6E6A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6BBC8A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L858R</w:t>
            </w:r>
          </w:p>
        </w:tc>
      </w:tr>
      <w:tr w:rsidR="00107882" w:rsidRPr="00D37F0E" w14:paraId="1A8EFADA" w14:textId="77777777" w:rsidTr="00B50DFB">
        <w:trPr>
          <w:trHeight w:val="3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DE8AE3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7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82DAEA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Osimertinib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15228B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DAF8AC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82D7F1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A32352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460900B4" w14:textId="77777777" w:rsidTr="00B50DFB">
        <w:trPr>
          <w:trHeight w:val="37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3A2C9F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8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CECF24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Osimertinib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ED69D4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01A403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FDD131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4F374B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2E7FB97C" w14:textId="77777777" w:rsidTr="00B50DFB">
        <w:trPr>
          <w:trHeight w:val="3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6CC5AA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9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E80784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proofErr w:type="spellStart"/>
            <w:r w:rsidRPr="00D37F0E">
              <w:rPr>
                <w:rStyle w:val="a"/>
                <w:sz w:val="22"/>
                <w:szCs w:val="22"/>
                <w:lang w:val="en-US"/>
              </w:rPr>
              <w:t>Afatinib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7516FD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FFBF0E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515015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7A00DB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R776S+L858R</w:t>
            </w:r>
          </w:p>
        </w:tc>
      </w:tr>
      <w:tr w:rsidR="00107882" w:rsidRPr="00D37F0E" w14:paraId="31045CC8" w14:textId="77777777" w:rsidTr="00B50DFB">
        <w:trPr>
          <w:trHeight w:val="36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FBA169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10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6C3167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Osimertinib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B02AC9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66504B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22F6AF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5E5C37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0C15DEB3" w14:textId="77777777" w:rsidTr="00B50DFB">
        <w:trPr>
          <w:trHeight w:val="3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F684458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11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1295B9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Nivolumab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06A510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F71BE6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F60C2A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3D7747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3CE515A8" w14:textId="77777777" w:rsidTr="00B50DFB">
        <w:trPr>
          <w:trHeight w:val="34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0D2EE7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12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CD1E66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Osimertinib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13F7A9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10E89B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B876D2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B34184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07012247" w14:textId="77777777" w:rsidTr="00B50DFB">
        <w:trPr>
          <w:trHeight w:val="37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7CAA6B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13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A2A34A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Osimertinib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5F0E3F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3B261DA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60AF4E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320546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L858R</w:t>
            </w:r>
          </w:p>
        </w:tc>
      </w:tr>
      <w:tr w:rsidR="00107882" w:rsidRPr="00D37F0E" w14:paraId="030FBC4C" w14:textId="77777777" w:rsidTr="00B50DFB">
        <w:trPr>
          <w:trHeight w:val="49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8CBB15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14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F204CD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Osimertinib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AEDCBA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56A482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F2005E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04FAA1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19+T790M</w:t>
            </w:r>
          </w:p>
        </w:tc>
      </w:tr>
      <w:tr w:rsidR="00107882" w:rsidRPr="00D37F0E" w14:paraId="4C119509" w14:textId="77777777" w:rsidTr="00B50DFB">
        <w:trPr>
          <w:trHeight w:val="3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B75FDE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15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E57A3A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Nivolumab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8EE4DA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EE5A9D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16DD3A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31C9A4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438C67D0" w14:textId="77777777" w:rsidTr="00B50DFB">
        <w:trPr>
          <w:trHeight w:val="49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8F48DE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16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EB5B3E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Osimertinib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183743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0CC1BB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710C35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EE2EF5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L858R+T790M</w:t>
            </w:r>
          </w:p>
        </w:tc>
      </w:tr>
      <w:tr w:rsidR="00107882" w:rsidRPr="00D37F0E" w14:paraId="3BE0B2A9" w14:textId="77777777" w:rsidTr="00B50DFB">
        <w:trPr>
          <w:trHeight w:val="49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77653C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17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73A45D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Osimertinib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75371C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D01746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1993B3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440781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19+T790M</w:t>
            </w:r>
          </w:p>
        </w:tc>
      </w:tr>
      <w:tr w:rsidR="00107882" w:rsidRPr="00D37F0E" w14:paraId="3AEC7666" w14:textId="77777777" w:rsidTr="00B50DFB">
        <w:trPr>
          <w:trHeight w:val="42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32CC38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18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D15D7B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Pemetrexed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FC090E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Carboplatin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F441F6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937F71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8CDC4E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547CC8DE" w14:textId="77777777" w:rsidTr="00B50DFB">
        <w:trPr>
          <w:trHeight w:val="3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870DA2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19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22CCE2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Osimertinib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1AA316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EF6A8C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D73163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8E631B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L858R</w:t>
            </w:r>
          </w:p>
        </w:tc>
      </w:tr>
      <w:tr w:rsidR="00107882" w:rsidRPr="00D37F0E" w14:paraId="020092F9" w14:textId="77777777" w:rsidTr="00B50DFB">
        <w:trPr>
          <w:trHeight w:val="49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32C01E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20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012614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Pemetrexed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1E8550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Carboplatin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ED22CE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5D313F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3713D4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G719X+L861Q</w:t>
            </w:r>
          </w:p>
        </w:tc>
      </w:tr>
      <w:tr w:rsidR="00107882" w:rsidRPr="00D37F0E" w14:paraId="77041090" w14:textId="77777777" w:rsidTr="00B50DFB">
        <w:trPr>
          <w:trHeight w:val="49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12FD99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21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97B7B1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Osimertinib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6EDB71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E5453C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9DD7B3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68E41D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L858R+T790M</w:t>
            </w:r>
          </w:p>
        </w:tc>
      </w:tr>
      <w:tr w:rsidR="00107882" w:rsidRPr="00D37F0E" w14:paraId="18F85B75" w14:textId="77777777" w:rsidTr="00B50DFB">
        <w:trPr>
          <w:trHeight w:val="4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FC5108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22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BD8F52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Cisplatin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3040E3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36274B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8E587E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E59100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2DFE5B83" w14:textId="77777777" w:rsidTr="00B50DFB">
        <w:trPr>
          <w:trHeight w:val="3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D962A9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lastRenderedPageBreak/>
              <w:t>23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AAA7FD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Carboplatin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FB7066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Pembrolizumab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13CA93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4F5B37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6B49E4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471524CD" w14:textId="77777777" w:rsidTr="00B50DFB">
        <w:trPr>
          <w:trHeight w:val="4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098676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24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78167D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Carboplatin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03870A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Pembrolizumab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604501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43FDF3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9720ACD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002554E4" w14:textId="77777777" w:rsidTr="00B50DFB">
        <w:trPr>
          <w:trHeight w:val="46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31AD82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25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DA1052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Carboplatin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B0E730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Pembrolizumab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A20EA2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180970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2EC416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09D038CE" w14:textId="77777777" w:rsidTr="00B50DFB">
        <w:trPr>
          <w:trHeight w:val="55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365A96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26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3E0954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Carboplatin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1F8C5C4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Pembrolizumab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C7B969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20B661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017AC9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6F5E6AFB" w14:textId="77777777" w:rsidTr="00B50DFB">
        <w:trPr>
          <w:trHeight w:val="46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1FEAC4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27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7E0FF6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Osimertinib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371108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953062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6DD639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C03282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63CA659B" w14:textId="77777777" w:rsidTr="00B50DFB">
        <w:trPr>
          <w:trHeight w:val="46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3B2383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28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CE03AD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Carboplatin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6FC854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Pembrolizumab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653F79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Bevacizumab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40A939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A8C641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L858R</w:t>
            </w:r>
          </w:p>
        </w:tc>
      </w:tr>
      <w:tr w:rsidR="00107882" w:rsidRPr="00D37F0E" w14:paraId="2B4891D9" w14:textId="77777777" w:rsidTr="00B50DFB">
        <w:trPr>
          <w:trHeight w:val="46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A8DBC6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29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042D6B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Paclitaxel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64F50B0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Carboplatin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D762A7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Bevacizumab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F07E1A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Atezolizumab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2298B1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02B8C690" w14:textId="77777777" w:rsidTr="00B50DFB">
        <w:trPr>
          <w:trHeight w:val="4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0FF99E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30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E7D652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Carboplatin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160345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Pembrolizumab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885517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354A32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6C16F0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3C628AF4" w14:textId="77777777" w:rsidTr="00B50DFB">
        <w:trPr>
          <w:trHeight w:val="46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A63FD5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31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EB86BA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Osimertinib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79C6ED1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543000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C2554D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4F5AFD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4E004F56" w14:textId="77777777" w:rsidTr="00B50DFB">
        <w:trPr>
          <w:trHeight w:val="37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B7993D3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32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28CFAE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Osimertinib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B431BC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E4C5F2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8ACE25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135DBF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0B1CB7B6" w14:textId="77777777" w:rsidTr="00B50DFB">
        <w:trPr>
          <w:trHeight w:val="37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F0861B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33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55C148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Carboplatin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E4AA38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Pembrolizumab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62EFA0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8F9953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F9FAF1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28FF24C2" w14:textId="77777777" w:rsidTr="00B50DFB">
        <w:trPr>
          <w:trHeight w:val="46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C07185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34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CFE231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Carboplatin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255AB4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Pembrolizumab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A156A41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Bevacizumab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9A28A9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16CE8E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L858R</w:t>
            </w:r>
          </w:p>
        </w:tc>
      </w:tr>
      <w:tr w:rsidR="00107882" w:rsidRPr="00D37F0E" w14:paraId="74C0C6D3" w14:textId="77777777" w:rsidTr="00B50DFB">
        <w:trPr>
          <w:trHeight w:val="4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31F407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35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6B8A4F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Vinorelbine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A5C368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4623EE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DD2F51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6CDF57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1651E789" w14:textId="77777777" w:rsidTr="00B50DFB">
        <w:trPr>
          <w:trHeight w:val="4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9882AB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36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D990E5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Osimertinib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987290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6FE231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455082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2E7BD8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  <w:tr w:rsidR="00107882" w:rsidRPr="00D37F0E" w14:paraId="24B88EA8" w14:textId="77777777" w:rsidTr="00B50DFB">
        <w:trPr>
          <w:trHeight w:val="4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2C32FB" w14:textId="77777777" w:rsidR="00107882" w:rsidRPr="00D37F0E" w:rsidRDefault="00107882" w:rsidP="00B50DFB">
            <w:pPr>
              <w:pStyle w:val="C"/>
              <w:rPr>
                <w:lang w:val="en-US"/>
              </w:rPr>
            </w:pPr>
            <w:r w:rsidRPr="00D37F0E">
              <w:rPr>
                <w:rStyle w:val="a"/>
                <w:rFonts w:eastAsia="Arial Unicode MS" w:cs="Arial Unicode MS"/>
                <w:sz w:val="22"/>
                <w:szCs w:val="22"/>
                <w:lang w:val="en-US"/>
              </w:rPr>
              <w:t>37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ACBA93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Carboplatin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7E68C1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Pembrolizumab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85754D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Bevacizumab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F1E5DC" w14:textId="77777777" w:rsidR="00107882" w:rsidRPr="00D37F0E" w:rsidRDefault="00107882" w:rsidP="00B50DFB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0C0F6C" w14:textId="77777777" w:rsidR="00107882" w:rsidRPr="00D37F0E" w:rsidRDefault="00107882" w:rsidP="00B50DFB">
            <w:pPr>
              <w:pStyle w:val="C"/>
              <w:jc w:val="center"/>
              <w:rPr>
                <w:lang w:val="en-US"/>
              </w:rPr>
            </w:pPr>
            <w:r w:rsidRPr="00D37F0E">
              <w:rPr>
                <w:rStyle w:val="a"/>
                <w:sz w:val="22"/>
                <w:szCs w:val="22"/>
                <w:lang w:val="en-US"/>
              </w:rPr>
              <w:t>deletion 19</w:t>
            </w:r>
          </w:p>
        </w:tc>
      </w:tr>
    </w:tbl>
    <w:p w14:paraId="57459693" w14:textId="77777777" w:rsidR="00107882" w:rsidRPr="00D37F0E" w:rsidRDefault="00107882" w:rsidP="00107882">
      <w:pPr>
        <w:pStyle w:val="C"/>
        <w:widowControl w:val="0"/>
        <w:ind w:left="108" w:hanging="108"/>
        <w:rPr>
          <w:rStyle w:val="a"/>
          <w:sz w:val="22"/>
          <w:szCs w:val="22"/>
          <w:lang w:val="en-US"/>
        </w:rPr>
      </w:pPr>
    </w:p>
    <w:p w14:paraId="23AE738D" w14:textId="77777777" w:rsidR="00107882" w:rsidRPr="00D37F0E" w:rsidRDefault="00107882" w:rsidP="00107882">
      <w:pPr>
        <w:pStyle w:val="C"/>
        <w:widowControl w:val="0"/>
        <w:rPr>
          <w:rStyle w:val="a"/>
          <w:sz w:val="22"/>
          <w:szCs w:val="22"/>
          <w:lang w:val="en-US"/>
        </w:rPr>
      </w:pPr>
    </w:p>
    <w:p w14:paraId="59DB6CC3" w14:textId="77777777" w:rsidR="00B965C9" w:rsidRDefault="00B965C9"/>
    <w:sectPr w:rsidR="00B965C9">
      <w:footerReference w:type="even" r:id="rId6"/>
      <w:footerReference w:type="firs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14FED" w14:textId="77777777" w:rsidR="006B0707" w:rsidRDefault="006B0707" w:rsidP="00107882">
      <w:r>
        <w:separator/>
      </w:r>
    </w:p>
  </w:endnote>
  <w:endnote w:type="continuationSeparator" w:id="0">
    <w:p w14:paraId="0697B4BE" w14:textId="77777777" w:rsidR="006B0707" w:rsidRDefault="006B0707" w:rsidP="0010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13989" w14:textId="77777777" w:rsidR="00107882" w:rsidRDefault="001078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0E3EA1" wp14:editId="6B8561D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8CEDE" w14:textId="77777777" w:rsidR="00107882" w:rsidRPr="00107882" w:rsidRDefault="00107882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107882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3E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/t/NgIAAGY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oZ29Ls7oxup+cpzh6xo5N8z5V2YxKmgA4+9fcJRStznVg0VJpe2Pv/lD&#10;PBTEKyUtRi+nCrtBiXxSUHZ6l16nYVTjDYYdjf1oqGOz0hjoKXbL8GiGOC9Hs7S6ecNiLEMiPDHF&#10;kS6nfjRXvt8ByMrFchmDMJCG+Y3aGh6gA0+BxF33xqwZmPaQ6FmPc8myD4T3seFLZ5ZHD9qjGoHT&#10;nsiBagxz1HNYvLAtv95j1Pvfw+InAA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PBP7fzYCAABm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7598CEDE" w14:textId="77777777" w:rsidR="00107882" w:rsidRPr="00107882" w:rsidRDefault="00107882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107882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1A6EE" w14:textId="77777777" w:rsidR="00107882" w:rsidRDefault="001078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F5BAA9" wp14:editId="1806C1D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7CDF1" w14:textId="77777777" w:rsidR="00107882" w:rsidRPr="00107882" w:rsidRDefault="00107882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107882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5BA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" filled="f" stroked="f">
              <v:fill o:detectmouseclick="t"/>
              <v:textbox style="mso-fit-shape-to-text:t" inset="15pt,0,0,0">
                <w:txbxContent>
                  <w:p w14:paraId="5647CDF1" w14:textId="77777777" w:rsidR="00107882" w:rsidRPr="00107882" w:rsidRDefault="00107882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107882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1C904" w14:textId="77777777" w:rsidR="006B0707" w:rsidRDefault="006B0707" w:rsidP="00107882">
      <w:r>
        <w:separator/>
      </w:r>
    </w:p>
  </w:footnote>
  <w:footnote w:type="continuationSeparator" w:id="0">
    <w:p w14:paraId="4863FAE4" w14:textId="77777777" w:rsidR="006B0707" w:rsidRDefault="006B0707" w:rsidP="00107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82"/>
    <w:rsid w:val="00107882"/>
    <w:rsid w:val="006B0707"/>
    <w:rsid w:val="00B15136"/>
    <w:rsid w:val="00B965C9"/>
    <w:rsid w:val="00D3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F4C9"/>
  <w15:chartTrackingRefBased/>
  <w15:docId w15:val="{B17A9893-A9D9-4180-A0A8-4DD98816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8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8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NZ"/>
    </w:rPr>
  </w:style>
  <w:style w:type="character" w:customStyle="1" w:styleId="HeaderChar">
    <w:name w:val="Header Char"/>
    <w:basedOn w:val="DefaultParagraphFont"/>
    <w:link w:val="Header"/>
    <w:uiPriority w:val="99"/>
    <w:rsid w:val="00107882"/>
  </w:style>
  <w:style w:type="paragraph" w:styleId="Footer">
    <w:name w:val="footer"/>
    <w:basedOn w:val="Normal"/>
    <w:link w:val="FooterChar"/>
    <w:uiPriority w:val="99"/>
    <w:unhideWhenUsed/>
    <w:rsid w:val="001078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NZ"/>
    </w:rPr>
  </w:style>
  <w:style w:type="character" w:customStyle="1" w:styleId="FooterChar">
    <w:name w:val="Footer Char"/>
    <w:basedOn w:val="DefaultParagraphFont"/>
    <w:link w:val="Footer"/>
    <w:uiPriority w:val="99"/>
    <w:rsid w:val="00107882"/>
  </w:style>
  <w:style w:type="character" w:customStyle="1" w:styleId="a">
    <w:name w:val="Κανένα"/>
    <w:rsid w:val="00107882"/>
  </w:style>
  <w:style w:type="paragraph" w:customStyle="1" w:styleId="C">
    <w:name w:val="Κύριο τμήμα C"/>
    <w:rsid w:val="001078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en-NZ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Ralph, Marina</dc:creator>
  <cp:keywords/>
  <dc:description/>
  <cp:lastModifiedBy>Ralph, Marina</cp:lastModifiedBy>
  <cp:revision>1</cp:revision>
  <dcterms:created xsi:type="dcterms:W3CDTF">2021-07-07T22:42:00Z</dcterms:created>
  <dcterms:modified xsi:type="dcterms:W3CDTF">2021-07-07T22:43:00Z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2021-07-07T22:42:40Z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17aa5c46-e78f-4d58-af38-6d34e9ac4aa6</vt:lpwstr>
  </property>
  <property fmtid="{D5CDD505-2E9C-101B-9397-08002B2CF9AE}" pid="11" name="MSIP_Label_2bbab825-a111-45e4-86a1-18cee0005896_ContentBits">
    <vt:lpwstr>2</vt:lpwstr>
  </property>
</Properties>
</file>