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8DA11D" w14:textId="34E68667" w:rsidR="006E510E" w:rsidRDefault="006E510E" w:rsidP="006E510E">
      <w:pPr>
        <w:pStyle w:val="Titolo"/>
      </w:pPr>
      <w:r>
        <w:t>Supplementary</w:t>
      </w:r>
      <w:r w:rsidR="0021545A">
        <w:t xml:space="preserve"> material</w:t>
      </w:r>
    </w:p>
    <w:p w14:paraId="12888BE5" w14:textId="68AD2A9B" w:rsidR="006E510E" w:rsidRPr="009409F3" w:rsidRDefault="006E510E" w:rsidP="006E510E">
      <w:pPr>
        <w:rPr>
          <w:b/>
          <w:bCs/>
        </w:rPr>
      </w:pPr>
      <w:r w:rsidRPr="009409F3">
        <w:rPr>
          <w:b/>
          <w:bCs/>
        </w:rPr>
        <w:t xml:space="preserve">Table </w:t>
      </w:r>
      <w:r w:rsidR="00673C1E">
        <w:rPr>
          <w:b/>
          <w:bCs/>
        </w:rPr>
        <w:t>S</w:t>
      </w:r>
      <w:r w:rsidRPr="009409F3">
        <w:rPr>
          <w:b/>
          <w:bCs/>
        </w:rPr>
        <w:t>1 Demographic characteristic of patient population with high-intermediate FLIPI score.</w:t>
      </w:r>
    </w:p>
    <w:tbl>
      <w:tblPr>
        <w:tblStyle w:val="Table"/>
        <w:tblW w:w="9350" w:type="dxa"/>
        <w:tblLayout w:type="fixed"/>
        <w:tblLook w:val="04A0" w:firstRow="1" w:lastRow="0" w:firstColumn="1" w:lastColumn="0" w:noHBand="0" w:noVBand="1"/>
      </w:tblPr>
      <w:tblGrid>
        <w:gridCol w:w="3256"/>
        <w:gridCol w:w="3047"/>
        <w:gridCol w:w="3047"/>
      </w:tblGrid>
      <w:tr w:rsidR="006E510E" w:rsidRPr="002B6D33" w14:paraId="708EAE11" w14:textId="77777777" w:rsidTr="00B86E11">
        <w:trPr>
          <w:trHeight w:val="794"/>
        </w:trPr>
        <w:tc>
          <w:tcPr>
            <w:tcW w:w="3256" w:type="dxa"/>
          </w:tcPr>
          <w:p w14:paraId="1B6B8C96" w14:textId="77777777" w:rsidR="006E510E" w:rsidRPr="002B6D33" w:rsidRDefault="006E510E" w:rsidP="00B86E11">
            <w:pPr>
              <w:rPr>
                <w:b/>
                <w:bCs/>
              </w:rPr>
            </w:pPr>
            <w:r w:rsidRPr="002B6D33">
              <w:rPr>
                <w:b/>
                <w:bCs/>
              </w:rPr>
              <w:t>Description</w:t>
            </w:r>
          </w:p>
        </w:tc>
        <w:tc>
          <w:tcPr>
            <w:tcW w:w="3047" w:type="dxa"/>
          </w:tcPr>
          <w:p w14:paraId="07FD1968" w14:textId="77777777" w:rsidR="006E510E" w:rsidRPr="002B6D33" w:rsidRDefault="006E510E" w:rsidP="00B86E11">
            <w:pPr>
              <w:jc w:val="center"/>
              <w:rPr>
                <w:b/>
                <w:bCs/>
              </w:rPr>
            </w:pPr>
            <w:r w:rsidRPr="002B6D33">
              <w:rPr>
                <w:b/>
                <w:bCs/>
              </w:rPr>
              <w:t>Value</w:t>
            </w:r>
          </w:p>
        </w:tc>
        <w:tc>
          <w:tcPr>
            <w:tcW w:w="3047" w:type="dxa"/>
          </w:tcPr>
          <w:p w14:paraId="13C46621" w14:textId="77777777" w:rsidR="006E510E" w:rsidRPr="002B6D33" w:rsidRDefault="006E510E" w:rsidP="00B86E11">
            <w:pPr>
              <w:rPr>
                <w:b/>
                <w:bCs/>
              </w:rPr>
            </w:pPr>
            <w:r w:rsidRPr="002B6D33">
              <w:rPr>
                <w:b/>
                <w:bCs/>
              </w:rPr>
              <w:t>Reference</w:t>
            </w:r>
          </w:p>
        </w:tc>
      </w:tr>
      <w:tr w:rsidR="006E510E" w:rsidRPr="00024723" w14:paraId="40B9F510" w14:textId="77777777" w:rsidTr="00B86E11">
        <w:trPr>
          <w:trHeight w:val="794"/>
        </w:trPr>
        <w:tc>
          <w:tcPr>
            <w:tcW w:w="3256" w:type="dxa"/>
          </w:tcPr>
          <w:p w14:paraId="2CB8B737" w14:textId="77777777" w:rsidR="006E510E" w:rsidRPr="00E32312" w:rsidRDefault="006E510E" w:rsidP="00B86E11">
            <w:r w:rsidRPr="00E32312">
              <w:t>Average age of cohorts (years)</w:t>
            </w:r>
          </w:p>
        </w:tc>
        <w:tc>
          <w:tcPr>
            <w:tcW w:w="3047" w:type="dxa"/>
          </w:tcPr>
          <w:p w14:paraId="45598854" w14:textId="77777777" w:rsidR="006E510E" w:rsidRPr="00E32312" w:rsidRDefault="006E510E" w:rsidP="00B86E11">
            <w:pPr>
              <w:jc w:val="center"/>
            </w:pPr>
            <w:r w:rsidRPr="00E32312">
              <w:t>57.90</w:t>
            </w:r>
          </w:p>
        </w:tc>
        <w:tc>
          <w:tcPr>
            <w:tcW w:w="3047" w:type="dxa"/>
          </w:tcPr>
          <w:p w14:paraId="16CFE612" w14:textId="7219A0C5" w:rsidR="006E510E" w:rsidRPr="00024723" w:rsidRDefault="006E510E" w:rsidP="00B86E11">
            <w:pPr>
              <w:rPr>
                <w:lang w:val="it-IT"/>
              </w:rPr>
            </w:pPr>
            <w:r w:rsidRPr="00024723">
              <w:rPr>
                <w:lang w:val="it-IT"/>
              </w:rPr>
              <w:t>GALLIUM study</w:t>
            </w:r>
            <w:r w:rsidR="003202E9">
              <w:rPr>
                <w:vertAlign w:val="superscript"/>
                <w:lang w:val="it-IT"/>
              </w:rPr>
              <w:t>S</w:t>
            </w:r>
            <w:r w:rsidRPr="00297673">
              <w:rPr>
                <w:vertAlign w:val="superscript"/>
                <w:lang w:val="it-IT"/>
              </w:rPr>
              <w:t>1</w:t>
            </w:r>
            <w:r w:rsidRPr="00E32312">
              <w:rPr>
                <w:vertAlign w:val="superscript"/>
              </w:rPr>
              <w:fldChar w:fldCharType="begin"/>
            </w:r>
            <w:r w:rsidRPr="00024723">
              <w:rPr>
                <w:vertAlign w:val="superscript"/>
                <w:lang w:val="it-IT"/>
              </w:rPr>
              <w:instrText xml:space="preserve"> REF _Ref64459900 \r \h  \* MERGEFORMAT </w:instrText>
            </w:r>
            <w:r w:rsidRPr="00E32312">
              <w:rPr>
                <w:vertAlign w:val="superscript"/>
              </w:rPr>
            </w:r>
            <w:r w:rsidRPr="00E32312">
              <w:rPr>
                <w:vertAlign w:val="superscript"/>
              </w:rPr>
              <w:fldChar w:fldCharType="end"/>
            </w:r>
          </w:p>
        </w:tc>
      </w:tr>
      <w:tr w:rsidR="003202E9" w:rsidRPr="00024723" w14:paraId="089DE922" w14:textId="77777777" w:rsidTr="00B86E11">
        <w:trPr>
          <w:trHeight w:val="794"/>
        </w:trPr>
        <w:tc>
          <w:tcPr>
            <w:tcW w:w="3256" w:type="dxa"/>
          </w:tcPr>
          <w:p w14:paraId="38FB4D51" w14:textId="77777777" w:rsidR="003202E9" w:rsidRPr="00E32312" w:rsidRDefault="003202E9" w:rsidP="003202E9">
            <w:r w:rsidRPr="00E32312">
              <w:t>Body weight (kg)</w:t>
            </w:r>
          </w:p>
        </w:tc>
        <w:tc>
          <w:tcPr>
            <w:tcW w:w="3047" w:type="dxa"/>
          </w:tcPr>
          <w:p w14:paraId="1BD1E27C" w14:textId="77777777" w:rsidR="003202E9" w:rsidRPr="00E32312" w:rsidRDefault="003202E9" w:rsidP="003202E9">
            <w:pPr>
              <w:jc w:val="center"/>
            </w:pPr>
            <w:r w:rsidRPr="00E32312">
              <w:t>75.70</w:t>
            </w:r>
          </w:p>
        </w:tc>
        <w:tc>
          <w:tcPr>
            <w:tcW w:w="3047" w:type="dxa"/>
          </w:tcPr>
          <w:p w14:paraId="5DEA8284" w14:textId="5A00047E" w:rsidR="003202E9" w:rsidRPr="00024723" w:rsidRDefault="003202E9" w:rsidP="003202E9">
            <w:pPr>
              <w:rPr>
                <w:lang w:val="it-IT"/>
              </w:rPr>
            </w:pPr>
            <w:r w:rsidRPr="00024723">
              <w:rPr>
                <w:lang w:val="it-IT"/>
              </w:rPr>
              <w:t>GALLIUM study</w:t>
            </w:r>
            <w:r>
              <w:rPr>
                <w:vertAlign w:val="superscript"/>
                <w:lang w:val="it-IT"/>
              </w:rPr>
              <w:t>S</w:t>
            </w:r>
            <w:r w:rsidRPr="00297673">
              <w:rPr>
                <w:vertAlign w:val="superscript"/>
                <w:lang w:val="it-IT"/>
              </w:rPr>
              <w:t>1</w:t>
            </w:r>
            <w:r w:rsidRPr="00E32312">
              <w:rPr>
                <w:vertAlign w:val="superscript"/>
              </w:rPr>
              <w:fldChar w:fldCharType="begin"/>
            </w:r>
            <w:r w:rsidRPr="00024723">
              <w:rPr>
                <w:vertAlign w:val="superscript"/>
                <w:lang w:val="it-IT"/>
              </w:rPr>
              <w:instrText xml:space="preserve"> REF _Ref64459900 \r \h  \* MERGEFORMAT </w:instrText>
            </w:r>
            <w:r w:rsidRPr="00E32312">
              <w:rPr>
                <w:vertAlign w:val="superscript"/>
              </w:rPr>
            </w:r>
            <w:r w:rsidRPr="00E32312">
              <w:rPr>
                <w:vertAlign w:val="superscript"/>
              </w:rPr>
              <w:fldChar w:fldCharType="end"/>
            </w:r>
          </w:p>
        </w:tc>
      </w:tr>
      <w:tr w:rsidR="003202E9" w:rsidRPr="00024723" w14:paraId="2F592C1C" w14:textId="77777777" w:rsidTr="00B86E11">
        <w:trPr>
          <w:trHeight w:val="794"/>
        </w:trPr>
        <w:tc>
          <w:tcPr>
            <w:tcW w:w="3256" w:type="dxa"/>
          </w:tcPr>
          <w:p w14:paraId="2D057566" w14:textId="77777777" w:rsidR="003202E9" w:rsidRPr="00E32312" w:rsidRDefault="003202E9" w:rsidP="003202E9">
            <w:r w:rsidRPr="00E32312">
              <w:t>Height (cm)</w:t>
            </w:r>
          </w:p>
        </w:tc>
        <w:tc>
          <w:tcPr>
            <w:tcW w:w="3047" w:type="dxa"/>
          </w:tcPr>
          <w:p w14:paraId="45759ECC" w14:textId="77777777" w:rsidR="003202E9" w:rsidRPr="00E32312" w:rsidRDefault="003202E9" w:rsidP="003202E9">
            <w:pPr>
              <w:jc w:val="center"/>
            </w:pPr>
            <w:r w:rsidRPr="00E32312">
              <w:t>168.30</w:t>
            </w:r>
          </w:p>
        </w:tc>
        <w:tc>
          <w:tcPr>
            <w:tcW w:w="3047" w:type="dxa"/>
          </w:tcPr>
          <w:p w14:paraId="4C59E2A8" w14:textId="1686CFDA" w:rsidR="003202E9" w:rsidRPr="00024723" w:rsidRDefault="003202E9" w:rsidP="003202E9">
            <w:pPr>
              <w:rPr>
                <w:lang w:val="it-IT"/>
              </w:rPr>
            </w:pPr>
            <w:r w:rsidRPr="00024723">
              <w:rPr>
                <w:lang w:val="it-IT"/>
              </w:rPr>
              <w:t>GALLIUM study</w:t>
            </w:r>
            <w:r>
              <w:rPr>
                <w:vertAlign w:val="superscript"/>
                <w:lang w:val="it-IT"/>
              </w:rPr>
              <w:t>S</w:t>
            </w:r>
            <w:r w:rsidRPr="00297673">
              <w:rPr>
                <w:vertAlign w:val="superscript"/>
                <w:lang w:val="it-IT"/>
              </w:rPr>
              <w:t>1</w:t>
            </w:r>
            <w:r w:rsidRPr="00E32312">
              <w:rPr>
                <w:vertAlign w:val="superscript"/>
              </w:rPr>
              <w:fldChar w:fldCharType="begin"/>
            </w:r>
            <w:r w:rsidRPr="00024723">
              <w:rPr>
                <w:vertAlign w:val="superscript"/>
                <w:lang w:val="it-IT"/>
              </w:rPr>
              <w:instrText xml:space="preserve"> REF _Ref64459900 \r \h  \* MERGEFORMAT </w:instrText>
            </w:r>
            <w:r w:rsidRPr="00E32312">
              <w:rPr>
                <w:vertAlign w:val="superscript"/>
              </w:rPr>
            </w:r>
            <w:r w:rsidRPr="00E32312">
              <w:rPr>
                <w:vertAlign w:val="superscript"/>
              </w:rPr>
              <w:fldChar w:fldCharType="end"/>
            </w:r>
          </w:p>
        </w:tc>
      </w:tr>
      <w:tr w:rsidR="006E510E" w:rsidRPr="00E32312" w14:paraId="79F00F1A" w14:textId="77777777" w:rsidTr="00B86E11">
        <w:trPr>
          <w:trHeight w:val="794"/>
        </w:trPr>
        <w:tc>
          <w:tcPr>
            <w:tcW w:w="3256" w:type="dxa"/>
          </w:tcPr>
          <w:p w14:paraId="0AFE094A" w14:textId="77777777" w:rsidR="006E510E" w:rsidRPr="00E32312" w:rsidRDefault="006E510E" w:rsidP="00B86E11">
            <w:r w:rsidRPr="00E32312">
              <w:t>Body Surface Area (m²)</w:t>
            </w:r>
          </w:p>
        </w:tc>
        <w:tc>
          <w:tcPr>
            <w:tcW w:w="3047" w:type="dxa"/>
          </w:tcPr>
          <w:p w14:paraId="4EB70A90" w14:textId="77777777" w:rsidR="006E510E" w:rsidRPr="00E32312" w:rsidRDefault="006E510E" w:rsidP="00B86E11">
            <w:pPr>
              <w:jc w:val="center"/>
            </w:pPr>
            <w:r w:rsidRPr="00E32312">
              <w:t>1.86</w:t>
            </w:r>
          </w:p>
        </w:tc>
        <w:tc>
          <w:tcPr>
            <w:tcW w:w="3047" w:type="dxa"/>
          </w:tcPr>
          <w:p w14:paraId="5F1D165E" w14:textId="5E162718" w:rsidR="006E510E" w:rsidRPr="00E32312" w:rsidRDefault="006E510E" w:rsidP="00B86E11">
            <w:r w:rsidRPr="00E32312">
              <w:t>Estimated by Dubois formula</w:t>
            </w:r>
            <w:r w:rsidR="003202E9">
              <w:rPr>
                <w:vertAlign w:val="superscript"/>
              </w:rPr>
              <w:t>S</w:t>
            </w:r>
            <w:r w:rsidRPr="00297673">
              <w:rPr>
                <w:vertAlign w:val="superscript"/>
              </w:rPr>
              <w:t>2</w:t>
            </w:r>
          </w:p>
        </w:tc>
      </w:tr>
    </w:tbl>
    <w:p w14:paraId="09805B6C" w14:textId="57481BC9" w:rsidR="006E510E" w:rsidRDefault="006E510E" w:rsidP="006E510E"/>
    <w:p w14:paraId="045ED5CD" w14:textId="4619D446" w:rsidR="0074699C" w:rsidRDefault="0074699C" w:rsidP="006E510E">
      <w:r>
        <w:br w:type="page"/>
      </w:r>
    </w:p>
    <w:p w14:paraId="1C400532" w14:textId="11CE67B8" w:rsidR="006E510E" w:rsidRDefault="006E510E" w:rsidP="006E510E">
      <w:r w:rsidRPr="009409F3">
        <w:rPr>
          <w:b/>
          <w:bCs/>
        </w:rPr>
        <w:lastRenderedPageBreak/>
        <w:t xml:space="preserve">Table </w:t>
      </w:r>
      <w:r w:rsidR="00673C1E">
        <w:rPr>
          <w:b/>
          <w:bCs/>
        </w:rPr>
        <w:t>S</w:t>
      </w:r>
      <w:r w:rsidR="003202E9">
        <w:rPr>
          <w:b/>
          <w:bCs/>
        </w:rPr>
        <w:t>2</w:t>
      </w:r>
      <w:r w:rsidRPr="009409F3">
        <w:rPr>
          <w:b/>
          <w:bCs/>
        </w:rPr>
        <w:t xml:space="preserve"> </w:t>
      </w:r>
      <w:r>
        <w:rPr>
          <w:b/>
          <w:bCs/>
        </w:rPr>
        <w:t>Monthly adverse event frequency from GALLIUM Clinical Trial</w:t>
      </w:r>
      <w:r w:rsidR="003202E9">
        <w:rPr>
          <w:b/>
          <w:bCs/>
          <w:vertAlign w:val="superscript"/>
        </w:rPr>
        <w:t>S</w:t>
      </w:r>
      <w:r w:rsidRPr="00297673">
        <w:rPr>
          <w:b/>
          <w:bCs/>
          <w:vertAlign w:val="superscript"/>
        </w:rPr>
        <w:t>1</w:t>
      </w:r>
    </w:p>
    <w:tbl>
      <w:tblPr>
        <w:tblStyle w:val="Table"/>
        <w:tblW w:w="5000" w:type="pct"/>
        <w:tblLook w:val="0400" w:firstRow="0" w:lastRow="0" w:firstColumn="0" w:lastColumn="0" w:noHBand="0" w:noVBand="1"/>
      </w:tblPr>
      <w:tblGrid>
        <w:gridCol w:w="2206"/>
        <w:gridCol w:w="1103"/>
        <w:gridCol w:w="1103"/>
        <w:gridCol w:w="1104"/>
        <w:gridCol w:w="1104"/>
        <w:gridCol w:w="1104"/>
        <w:gridCol w:w="1104"/>
      </w:tblGrid>
      <w:tr w:rsidR="006E510E" w:rsidRPr="002B6D33" w14:paraId="7A1F1722" w14:textId="77777777" w:rsidTr="00B86E11">
        <w:trPr>
          <w:trHeight w:val="794"/>
        </w:trPr>
        <w:tc>
          <w:tcPr>
            <w:tcW w:w="1250" w:type="pct"/>
            <w:shd w:val="clear" w:color="auto" w:fill="auto"/>
          </w:tcPr>
          <w:p w14:paraId="5F14032A" w14:textId="77777777" w:rsidR="006E510E" w:rsidRPr="002B6D33" w:rsidRDefault="006E510E" w:rsidP="00B86E11">
            <w:pPr>
              <w:rPr>
                <w:b/>
                <w:bCs/>
              </w:rPr>
            </w:pPr>
            <w:r w:rsidRPr="002B6D33">
              <w:rPr>
                <w:b/>
                <w:bCs/>
              </w:rPr>
              <w:t xml:space="preserve">Adverse Event </w:t>
            </w:r>
          </w:p>
        </w:tc>
        <w:tc>
          <w:tcPr>
            <w:tcW w:w="625" w:type="pct"/>
            <w:shd w:val="clear" w:color="auto" w:fill="auto"/>
          </w:tcPr>
          <w:p w14:paraId="1DCA3E59" w14:textId="77777777" w:rsidR="006E510E" w:rsidRPr="002B6D33" w:rsidRDefault="006E510E" w:rsidP="00B86E11">
            <w:pPr>
              <w:rPr>
                <w:b/>
                <w:bCs/>
              </w:rPr>
            </w:pPr>
            <w:r w:rsidRPr="002B6D33">
              <w:rPr>
                <w:b/>
                <w:bCs/>
              </w:rPr>
              <w:t>O-</w:t>
            </w:r>
            <w:proofErr w:type="spellStart"/>
            <w:r w:rsidRPr="002B6D33">
              <w:rPr>
                <w:b/>
                <w:bCs/>
              </w:rPr>
              <w:t>benda</w:t>
            </w:r>
            <w:proofErr w:type="spellEnd"/>
          </w:p>
        </w:tc>
        <w:tc>
          <w:tcPr>
            <w:tcW w:w="625" w:type="pct"/>
            <w:shd w:val="clear" w:color="auto" w:fill="auto"/>
          </w:tcPr>
          <w:p w14:paraId="72C698DF" w14:textId="77777777" w:rsidR="006E510E" w:rsidRPr="002B6D33" w:rsidRDefault="006E510E" w:rsidP="00B86E11">
            <w:pPr>
              <w:rPr>
                <w:b/>
                <w:bCs/>
              </w:rPr>
            </w:pPr>
            <w:r w:rsidRPr="002B6D33">
              <w:rPr>
                <w:b/>
                <w:bCs/>
              </w:rPr>
              <w:t>O-CHOP</w:t>
            </w:r>
          </w:p>
        </w:tc>
        <w:tc>
          <w:tcPr>
            <w:tcW w:w="625" w:type="pct"/>
            <w:shd w:val="clear" w:color="auto" w:fill="auto"/>
          </w:tcPr>
          <w:p w14:paraId="47E39A39" w14:textId="77777777" w:rsidR="006E510E" w:rsidRPr="002B6D33" w:rsidRDefault="006E510E" w:rsidP="00B86E11">
            <w:pPr>
              <w:rPr>
                <w:b/>
                <w:bCs/>
              </w:rPr>
            </w:pPr>
            <w:r w:rsidRPr="002B6D33">
              <w:rPr>
                <w:b/>
                <w:bCs/>
              </w:rPr>
              <w:t>O-CVP</w:t>
            </w:r>
          </w:p>
        </w:tc>
        <w:tc>
          <w:tcPr>
            <w:tcW w:w="625" w:type="pct"/>
            <w:shd w:val="clear" w:color="auto" w:fill="auto"/>
          </w:tcPr>
          <w:p w14:paraId="01A05640" w14:textId="77777777" w:rsidR="006E510E" w:rsidRPr="002B6D33" w:rsidRDefault="006E510E" w:rsidP="00B86E11">
            <w:pPr>
              <w:rPr>
                <w:b/>
                <w:bCs/>
              </w:rPr>
            </w:pPr>
            <w:r w:rsidRPr="002B6D33">
              <w:rPr>
                <w:b/>
                <w:bCs/>
              </w:rPr>
              <w:t>R-</w:t>
            </w:r>
            <w:proofErr w:type="spellStart"/>
            <w:r w:rsidRPr="002B6D33">
              <w:rPr>
                <w:b/>
                <w:bCs/>
              </w:rPr>
              <w:t>benda</w:t>
            </w:r>
            <w:proofErr w:type="spellEnd"/>
          </w:p>
        </w:tc>
        <w:tc>
          <w:tcPr>
            <w:tcW w:w="625" w:type="pct"/>
            <w:shd w:val="clear" w:color="auto" w:fill="auto"/>
          </w:tcPr>
          <w:p w14:paraId="7F198B0C" w14:textId="77777777" w:rsidR="006E510E" w:rsidRPr="002B6D33" w:rsidRDefault="006E510E" w:rsidP="00B86E11">
            <w:pPr>
              <w:rPr>
                <w:b/>
                <w:bCs/>
              </w:rPr>
            </w:pPr>
            <w:r w:rsidRPr="002B6D33">
              <w:rPr>
                <w:b/>
                <w:bCs/>
              </w:rPr>
              <w:t>R-CHOP</w:t>
            </w:r>
          </w:p>
        </w:tc>
        <w:tc>
          <w:tcPr>
            <w:tcW w:w="625" w:type="pct"/>
            <w:shd w:val="clear" w:color="auto" w:fill="auto"/>
          </w:tcPr>
          <w:p w14:paraId="11F8353D" w14:textId="77777777" w:rsidR="006E510E" w:rsidRPr="002B6D33" w:rsidRDefault="006E510E" w:rsidP="00B86E11">
            <w:pPr>
              <w:rPr>
                <w:b/>
                <w:bCs/>
              </w:rPr>
            </w:pPr>
            <w:r w:rsidRPr="002B6D33">
              <w:rPr>
                <w:b/>
                <w:bCs/>
              </w:rPr>
              <w:t>R-CVP</w:t>
            </w:r>
          </w:p>
        </w:tc>
      </w:tr>
      <w:tr w:rsidR="006E510E" w:rsidRPr="009E68DC" w14:paraId="54F55770" w14:textId="77777777" w:rsidTr="00B86E11">
        <w:trPr>
          <w:trHeight w:val="794"/>
        </w:trPr>
        <w:tc>
          <w:tcPr>
            <w:tcW w:w="1250" w:type="pct"/>
            <w:shd w:val="clear" w:color="auto" w:fill="auto"/>
          </w:tcPr>
          <w:p w14:paraId="15C7797A" w14:textId="77777777" w:rsidR="006E510E" w:rsidRPr="009E68DC" w:rsidRDefault="006E510E" w:rsidP="00B86E11">
            <w:r w:rsidRPr="009E68DC">
              <w:t>Anemia</w:t>
            </w:r>
          </w:p>
        </w:tc>
        <w:tc>
          <w:tcPr>
            <w:tcW w:w="625" w:type="pct"/>
            <w:shd w:val="clear" w:color="auto" w:fill="auto"/>
          </w:tcPr>
          <w:p w14:paraId="208BF631" w14:textId="77777777" w:rsidR="006E510E" w:rsidRPr="009E68DC" w:rsidRDefault="006E510E" w:rsidP="00B86E11">
            <w:r w:rsidRPr="009E68DC">
              <w:t>0.039%</w:t>
            </w:r>
          </w:p>
        </w:tc>
        <w:tc>
          <w:tcPr>
            <w:tcW w:w="625" w:type="pct"/>
            <w:shd w:val="clear" w:color="auto" w:fill="auto"/>
          </w:tcPr>
          <w:p w14:paraId="34708A79" w14:textId="77777777" w:rsidR="006E510E" w:rsidRPr="009E68DC" w:rsidRDefault="006E510E" w:rsidP="00B86E11">
            <w:r w:rsidRPr="009E68DC">
              <w:t>0.204%</w:t>
            </w:r>
          </w:p>
        </w:tc>
        <w:tc>
          <w:tcPr>
            <w:tcW w:w="625" w:type="pct"/>
            <w:shd w:val="clear" w:color="auto" w:fill="auto"/>
          </w:tcPr>
          <w:p w14:paraId="5C7D012C" w14:textId="77777777" w:rsidR="006E510E" w:rsidRPr="009E68DC" w:rsidRDefault="006E510E" w:rsidP="00B86E11">
            <w:r w:rsidRPr="009E68DC">
              <w:t>0.036%</w:t>
            </w:r>
          </w:p>
        </w:tc>
        <w:tc>
          <w:tcPr>
            <w:tcW w:w="625" w:type="pct"/>
            <w:shd w:val="clear" w:color="auto" w:fill="auto"/>
          </w:tcPr>
          <w:p w14:paraId="42A2DE2F" w14:textId="77777777" w:rsidR="006E510E" w:rsidRPr="009E68DC" w:rsidRDefault="006E510E" w:rsidP="00B86E11">
            <w:r w:rsidRPr="009E68DC">
              <w:t>0.035%</w:t>
            </w:r>
          </w:p>
        </w:tc>
        <w:tc>
          <w:tcPr>
            <w:tcW w:w="625" w:type="pct"/>
            <w:shd w:val="clear" w:color="auto" w:fill="auto"/>
          </w:tcPr>
          <w:p w14:paraId="7D328BCF" w14:textId="77777777" w:rsidR="006E510E" w:rsidRPr="009E68DC" w:rsidRDefault="006E510E" w:rsidP="00B86E11">
            <w:r w:rsidRPr="009E68DC">
              <w:t>0.099%</w:t>
            </w:r>
          </w:p>
        </w:tc>
        <w:tc>
          <w:tcPr>
            <w:tcW w:w="625" w:type="pct"/>
            <w:shd w:val="clear" w:color="auto" w:fill="auto"/>
          </w:tcPr>
          <w:p w14:paraId="172A8321" w14:textId="77777777" w:rsidR="006E510E" w:rsidRPr="009E68DC" w:rsidRDefault="006E510E" w:rsidP="00B86E11">
            <w:r w:rsidRPr="009E68DC">
              <w:t>0.000%</w:t>
            </w:r>
          </w:p>
        </w:tc>
      </w:tr>
      <w:tr w:rsidR="006E510E" w:rsidRPr="009E68DC" w14:paraId="54D92E43" w14:textId="77777777" w:rsidTr="00B86E11">
        <w:trPr>
          <w:trHeight w:val="794"/>
        </w:trPr>
        <w:tc>
          <w:tcPr>
            <w:tcW w:w="1250" w:type="pct"/>
            <w:shd w:val="clear" w:color="auto" w:fill="auto"/>
          </w:tcPr>
          <w:p w14:paraId="63284458" w14:textId="77777777" w:rsidR="006E510E" w:rsidRPr="009E68DC" w:rsidRDefault="006E510E" w:rsidP="00B86E11">
            <w:r w:rsidRPr="009E68DC">
              <w:t>Dyspnea</w:t>
            </w:r>
          </w:p>
        </w:tc>
        <w:tc>
          <w:tcPr>
            <w:tcW w:w="625" w:type="pct"/>
            <w:shd w:val="clear" w:color="auto" w:fill="auto"/>
          </w:tcPr>
          <w:p w14:paraId="1AD2C9F3" w14:textId="77777777" w:rsidR="006E510E" w:rsidRPr="009E68DC" w:rsidRDefault="006E510E" w:rsidP="00B86E11">
            <w:r w:rsidRPr="009E68DC">
              <w:t>0.039%</w:t>
            </w:r>
          </w:p>
        </w:tc>
        <w:tc>
          <w:tcPr>
            <w:tcW w:w="625" w:type="pct"/>
            <w:shd w:val="clear" w:color="auto" w:fill="auto"/>
          </w:tcPr>
          <w:p w14:paraId="239A2AEC" w14:textId="77777777" w:rsidR="006E510E" w:rsidRPr="009E68DC" w:rsidRDefault="006E510E" w:rsidP="00B86E11">
            <w:r w:rsidRPr="009E68DC">
              <w:t>0.068%</w:t>
            </w:r>
          </w:p>
        </w:tc>
        <w:tc>
          <w:tcPr>
            <w:tcW w:w="625" w:type="pct"/>
            <w:shd w:val="clear" w:color="auto" w:fill="auto"/>
          </w:tcPr>
          <w:p w14:paraId="6C6D69B0" w14:textId="77777777" w:rsidR="006E510E" w:rsidRPr="009E68DC" w:rsidRDefault="006E510E" w:rsidP="00B86E11">
            <w:r w:rsidRPr="009E68DC">
              <w:t>0.036%</w:t>
            </w:r>
          </w:p>
        </w:tc>
        <w:tc>
          <w:tcPr>
            <w:tcW w:w="625" w:type="pct"/>
            <w:shd w:val="clear" w:color="auto" w:fill="auto"/>
          </w:tcPr>
          <w:p w14:paraId="3C7C697E" w14:textId="77777777" w:rsidR="006E510E" w:rsidRPr="009E68DC" w:rsidRDefault="006E510E" w:rsidP="00B86E11">
            <w:r w:rsidRPr="009E68DC">
              <w:t>0.021%</w:t>
            </w:r>
          </w:p>
        </w:tc>
        <w:tc>
          <w:tcPr>
            <w:tcW w:w="625" w:type="pct"/>
            <w:shd w:val="clear" w:color="auto" w:fill="auto"/>
          </w:tcPr>
          <w:p w14:paraId="0BE7D7A0" w14:textId="77777777" w:rsidR="006E510E" w:rsidRPr="009E68DC" w:rsidRDefault="006E510E" w:rsidP="00B86E11">
            <w:r w:rsidRPr="009E68DC">
              <w:t>0.022%</w:t>
            </w:r>
          </w:p>
        </w:tc>
        <w:tc>
          <w:tcPr>
            <w:tcW w:w="625" w:type="pct"/>
            <w:shd w:val="clear" w:color="auto" w:fill="auto"/>
          </w:tcPr>
          <w:p w14:paraId="5847C83A" w14:textId="77777777" w:rsidR="006E510E" w:rsidRPr="009E68DC" w:rsidRDefault="006E510E" w:rsidP="00B86E11">
            <w:r w:rsidRPr="009E68DC">
              <w:t>0.143%</w:t>
            </w:r>
          </w:p>
        </w:tc>
      </w:tr>
      <w:tr w:rsidR="006E510E" w:rsidRPr="009E68DC" w14:paraId="1119B97F" w14:textId="77777777" w:rsidTr="00B86E11">
        <w:trPr>
          <w:trHeight w:val="794"/>
        </w:trPr>
        <w:tc>
          <w:tcPr>
            <w:tcW w:w="1250" w:type="pct"/>
            <w:shd w:val="clear" w:color="auto" w:fill="auto"/>
          </w:tcPr>
          <w:p w14:paraId="2AD0AE56" w14:textId="77777777" w:rsidR="006E510E" w:rsidRPr="009E68DC" w:rsidRDefault="006E510E" w:rsidP="00B86E11">
            <w:r w:rsidRPr="009E68DC">
              <w:t>Febrile neutropenia</w:t>
            </w:r>
          </w:p>
        </w:tc>
        <w:tc>
          <w:tcPr>
            <w:tcW w:w="625" w:type="pct"/>
            <w:shd w:val="clear" w:color="auto" w:fill="auto"/>
          </w:tcPr>
          <w:p w14:paraId="22BCE599" w14:textId="77777777" w:rsidR="006E510E" w:rsidRPr="009E68DC" w:rsidRDefault="006E510E" w:rsidP="00B86E11">
            <w:r w:rsidRPr="009E68DC">
              <w:t>0.124%</w:t>
            </w:r>
          </w:p>
        </w:tc>
        <w:tc>
          <w:tcPr>
            <w:tcW w:w="625" w:type="pct"/>
            <w:shd w:val="clear" w:color="auto" w:fill="auto"/>
          </w:tcPr>
          <w:p w14:paraId="43C0D594" w14:textId="77777777" w:rsidR="006E510E" w:rsidRPr="009E68DC" w:rsidRDefault="006E510E" w:rsidP="00B86E11">
            <w:r w:rsidRPr="009E68DC">
              <w:t>0.340%</w:t>
            </w:r>
          </w:p>
        </w:tc>
        <w:tc>
          <w:tcPr>
            <w:tcW w:w="625" w:type="pct"/>
            <w:shd w:val="clear" w:color="auto" w:fill="auto"/>
          </w:tcPr>
          <w:p w14:paraId="57CE750B" w14:textId="77777777" w:rsidR="006E510E" w:rsidRPr="009E68DC" w:rsidRDefault="006E510E" w:rsidP="00B86E11">
            <w:r w:rsidRPr="009E68DC">
              <w:t>0.107%</w:t>
            </w:r>
          </w:p>
        </w:tc>
        <w:tc>
          <w:tcPr>
            <w:tcW w:w="625" w:type="pct"/>
            <w:shd w:val="clear" w:color="auto" w:fill="auto"/>
          </w:tcPr>
          <w:p w14:paraId="266CFE84" w14:textId="77777777" w:rsidR="006E510E" w:rsidRPr="009E68DC" w:rsidRDefault="006E510E" w:rsidP="00B86E11">
            <w:r w:rsidRPr="009E68DC">
              <w:t>0.111%</w:t>
            </w:r>
          </w:p>
        </w:tc>
        <w:tc>
          <w:tcPr>
            <w:tcW w:w="625" w:type="pct"/>
            <w:shd w:val="clear" w:color="auto" w:fill="auto"/>
          </w:tcPr>
          <w:p w14:paraId="3E6CC76C" w14:textId="77777777" w:rsidR="006E510E" w:rsidRPr="009E68DC" w:rsidRDefault="006E510E" w:rsidP="00B86E11">
            <w:r w:rsidRPr="009E68DC">
              <w:t>0.209%</w:t>
            </w:r>
          </w:p>
        </w:tc>
        <w:tc>
          <w:tcPr>
            <w:tcW w:w="625" w:type="pct"/>
            <w:shd w:val="clear" w:color="auto" w:fill="auto"/>
          </w:tcPr>
          <w:p w14:paraId="6E2B6049" w14:textId="77777777" w:rsidR="006E510E" w:rsidRPr="009E68DC" w:rsidRDefault="006E510E" w:rsidP="00B86E11">
            <w:r w:rsidRPr="009E68DC">
              <w:t>0.095%</w:t>
            </w:r>
          </w:p>
        </w:tc>
      </w:tr>
      <w:tr w:rsidR="006E510E" w:rsidRPr="009E68DC" w14:paraId="3FDE28C6" w14:textId="77777777" w:rsidTr="00B86E11">
        <w:trPr>
          <w:trHeight w:val="794"/>
        </w:trPr>
        <w:tc>
          <w:tcPr>
            <w:tcW w:w="1250" w:type="pct"/>
            <w:shd w:val="clear" w:color="auto" w:fill="auto"/>
          </w:tcPr>
          <w:p w14:paraId="22EE030C" w14:textId="77777777" w:rsidR="006E510E" w:rsidRPr="009E68DC" w:rsidRDefault="006E510E" w:rsidP="00B86E11">
            <w:r w:rsidRPr="009E68DC">
              <w:t>Leukopenia</w:t>
            </w:r>
          </w:p>
        </w:tc>
        <w:tc>
          <w:tcPr>
            <w:tcW w:w="625" w:type="pct"/>
            <w:shd w:val="clear" w:color="auto" w:fill="auto"/>
          </w:tcPr>
          <w:p w14:paraId="1FF7A8E5" w14:textId="77777777" w:rsidR="006E510E" w:rsidRPr="009E68DC" w:rsidRDefault="006E510E" w:rsidP="00B86E11">
            <w:r w:rsidRPr="009E68DC">
              <w:t>0.072%</w:t>
            </w:r>
          </w:p>
        </w:tc>
        <w:tc>
          <w:tcPr>
            <w:tcW w:w="625" w:type="pct"/>
            <w:shd w:val="clear" w:color="auto" w:fill="auto"/>
          </w:tcPr>
          <w:p w14:paraId="7B17223E" w14:textId="77777777" w:rsidR="006E510E" w:rsidRPr="009E68DC" w:rsidRDefault="006E510E" w:rsidP="00B86E11">
            <w:r w:rsidRPr="009E68DC">
              <w:t>0.852%</w:t>
            </w:r>
          </w:p>
        </w:tc>
        <w:tc>
          <w:tcPr>
            <w:tcW w:w="625" w:type="pct"/>
            <w:shd w:val="clear" w:color="auto" w:fill="auto"/>
          </w:tcPr>
          <w:p w14:paraId="4189A88C" w14:textId="77777777" w:rsidR="006E510E" w:rsidRPr="009E68DC" w:rsidRDefault="006E510E" w:rsidP="00B86E11">
            <w:r w:rsidRPr="009E68DC">
              <w:t>0.036%</w:t>
            </w:r>
          </w:p>
        </w:tc>
        <w:tc>
          <w:tcPr>
            <w:tcW w:w="625" w:type="pct"/>
            <w:shd w:val="clear" w:color="auto" w:fill="auto"/>
          </w:tcPr>
          <w:p w14:paraId="5913DECC" w14:textId="77777777" w:rsidR="006E510E" w:rsidRPr="009E68DC" w:rsidRDefault="006E510E" w:rsidP="00B86E11">
            <w:r w:rsidRPr="009E68DC">
              <w:t>0.111%</w:t>
            </w:r>
          </w:p>
        </w:tc>
        <w:tc>
          <w:tcPr>
            <w:tcW w:w="625" w:type="pct"/>
            <w:shd w:val="clear" w:color="auto" w:fill="auto"/>
          </w:tcPr>
          <w:p w14:paraId="6A570D13" w14:textId="77777777" w:rsidR="006E510E" w:rsidRPr="009E68DC" w:rsidRDefault="006E510E" w:rsidP="00B86E11">
            <w:r w:rsidRPr="009E68DC">
              <w:t>1.072%</w:t>
            </w:r>
          </w:p>
        </w:tc>
        <w:tc>
          <w:tcPr>
            <w:tcW w:w="625" w:type="pct"/>
            <w:shd w:val="clear" w:color="auto" w:fill="auto"/>
          </w:tcPr>
          <w:p w14:paraId="289D915B" w14:textId="77777777" w:rsidR="006E510E" w:rsidRPr="009E68DC" w:rsidRDefault="006E510E" w:rsidP="00B86E11">
            <w:r w:rsidRPr="009E68DC">
              <w:t>0.047%</w:t>
            </w:r>
          </w:p>
        </w:tc>
      </w:tr>
      <w:tr w:rsidR="006E510E" w:rsidRPr="009E68DC" w14:paraId="09A1B71C" w14:textId="77777777" w:rsidTr="00B86E11">
        <w:trPr>
          <w:trHeight w:val="794"/>
        </w:trPr>
        <w:tc>
          <w:tcPr>
            <w:tcW w:w="1250" w:type="pct"/>
            <w:shd w:val="clear" w:color="auto" w:fill="auto"/>
          </w:tcPr>
          <w:p w14:paraId="48CF102B" w14:textId="77777777" w:rsidR="006E510E" w:rsidRPr="009E68DC" w:rsidRDefault="006E510E" w:rsidP="00B86E11">
            <w:r w:rsidRPr="009E68DC">
              <w:t>Neutropenia</w:t>
            </w:r>
          </w:p>
        </w:tc>
        <w:tc>
          <w:tcPr>
            <w:tcW w:w="625" w:type="pct"/>
            <w:shd w:val="clear" w:color="auto" w:fill="auto"/>
          </w:tcPr>
          <w:p w14:paraId="4AAC0C19" w14:textId="77777777" w:rsidR="006E510E" w:rsidRPr="009E68DC" w:rsidRDefault="006E510E" w:rsidP="00B86E11">
            <w:r w:rsidRPr="009E68DC">
              <w:t>1.350%</w:t>
            </w:r>
          </w:p>
        </w:tc>
        <w:tc>
          <w:tcPr>
            <w:tcW w:w="625" w:type="pct"/>
            <w:shd w:val="clear" w:color="auto" w:fill="auto"/>
          </w:tcPr>
          <w:p w14:paraId="45590A0D" w14:textId="77777777" w:rsidR="006E510E" w:rsidRPr="009E68DC" w:rsidRDefault="006E510E" w:rsidP="00B86E11">
            <w:r w:rsidRPr="009E68DC">
              <w:t>3.840%</w:t>
            </w:r>
          </w:p>
        </w:tc>
        <w:tc>
          <w:tcPr>
            <w:tcW w:w="625" w:type="pct"/>
            <w:shd w:val="clear" w:color="auto" w:fill="auto"/>
          </w:tcPr>
          <w:p w14:paraId="03E36EF1" w14:textId="77777777" w:rsidR="006E510E" w:rsidRPr="009E68DC" w:rsidRDefault="006E510E" w:rsidP="00B86E11">
            <w:r w:rsidRPr="009E68DC">
              <w:t>1.546%</w:t>
            </w:r>
          </w:p>
        </w:tc>
        <w:tc>
          <w:tcPr>
            <w:tcW w:w="625" w:type="pct"/>
            <w:shd w:val="clear" w:color="auto" w:fill="auto"/>
          </w:tcPr>
          <w:p w14:paraId="4723BB56" w14:textId="77777777" w:rsidR="006E510E" w:rsidRPr="009E68DC" w:rsidRDefault="006E510E" w:rsidP="00B86E11">
            <w:r w:rsidRPr="009E68DC">
              <w:t>1.157%</w:t>
            </w:r>
          </w:p>
        </w:tc>
        <w:tc>
          <w:tcPr>
            <w:tcW w:w="625" w:type="pct"/>
            <w:shd w:val="clear" w:color="auto" w:fill="auto"/>
          </w:tcPr>
          <w:p w14:paraId="40D6BD64" w14:textId="77777777" w:rsidR="006E510E" w:rsidRPr="009E68DC" w:rsidRDefault="006E510E" w:rsidP="00B86E11">
            <w:r w:rsidRPr="009E68DC">
              <w:t>3.661%</w:t>
            </w:r>
          </w:p>
        </w:tc>
        <w:tc>
          <w:tcPr>
            <w:tcW w:w="625" w:type="pct"/>
            <w:shd w:val="clear" w:color="auto" w:fill="auto"/>
          </w:tcPr>
          <w:p w14:paraId="092C756E" w14:textId="77777777" w:rsidR="006E510E" w:rsidRPr="009E68DC" w:rsidRDefault="006E510E" w:rsidP="00B86E11">
            <w:r w:rsidRPr="009E68DC">
              <w:t>1.098%</w:t>
            </w:r>
          </w:p>
        </w:tc>
      </w:tr>
      <w:tr w:rsidR="006E510E" w:rsidRPr="009E68DC" w14:paraId="4F75F63D" w14:textId="77777777" w:rsidTr="00B86E11">
        <w:trPr>
          <w:trHeight w:val="794"/>
        </w:trPr>
        <w:tc>
          <w:tcPr>
            <w:tcW w:w="1250" w:type="pct"/>
            <w:shd w:val="clear" w:color="auto" w:fill="auto"/>
          </w:tcPr>
          <w:p w14:paraId="1BFA5EDA" w14:textId="77777777" w:rsidR="006E510E" w:rsidRPr="009E68DC" w:rsidRDefault="006E510E" w:rsidP="00B86E11">
            <w:r w:rsidRPr="009E68DC">
              <w:t>Pneumonia</w:t>
            </w:r>
          </w:p>
        </w:tc>
        <w:tc>
          <w:tcPr>
            <w:tcW w:w="625" w:type="pct"/>
            <w:shd w:val="clear" w:color="auto" w:fill="auto"/>
          </w:tcPr>
          <w:p w14:paraId="6F159514" w14:textId="77777777" w:rsidR="006E510E" w:rsidRPr="009E68DC" w:rsidRDefault="006E510E" w:rsidP="00B86E11">
            <w:r w:rsidRPr="009E68DC">
              <w:t>0.065%</w:t>
            </w:r>
          </w:p>
        </w:tc>
        <w:tc>
          <w:tcPr>
            <w:tcW w:w="625" w:type="pct"/>
            <w:shd w:val="clear" w:color="auto" w:fill="auto"/>
          </w:tcPr>
          <w:p w14:paraId="2A050FD6" w14:textId="77777777" w:rsidR="006E510E" w:rsidRPr="009E68DC" w:rsidRDefault="006E510E" w:rsidP="00B86E11">
            <w:r w:rsidRPr="009E68DC">
              <w:t>0.045%</w:t>
            </w:r>
          </w:p>
        </w:tc>
        <w:tc>
          <w:tcPr>
            <w:tcW w:w="625" w:type="pct"/>
            <w:shd w:val="clear" w:color="auto" w:fill="auto"/>
          </w:tcPr>
          <w:p w14:paraId="1F3D4A0E" w14:textId="77777777" w:rsidR="006E510E" w:rsidRPr="009E68DC" w:rsidRDefault="006E510E" w:rsidP="00B86E11">
            <w:r w:rsidRPr="009E68DC">
              <w:t>0.000%</w:t>
            </w:r>
          </w:p>
        </w:tc>
        <w:tc>
          <w:tcPr>
            <w:tcW w:w="625" w:type="pct"/>
            <w:shd w:val="clear" w:color="auto" w:fill="auto"/>
          </w:tcPr>
          <w:p w14:paraId="0D4EAF3D" w14:textId="77777777" w:rsidR="006E510E" w:rsidRPr="009E68DC" w:rsidRDefault="006E510E" w:rsidP="00B86E11">
            <w:r w:rsidRPr="009E68DC">
              <w:t>0.021%</w:t>
            </w:r>
          </w:p>
        </w:tc>
        <w:tc>
          <w:tcPr>
            <w:tcW w:w="625" w:type="pct"/>
            <w:shd w:val="clear" w:color="auto" w:fill="auto"/>
          </w:tcPr>
          <w:p w14:paraId="1EA57AD3" w14:textId="77777777" w:rsidR="006E510E" w:rsidRPr="009E68DC" w:rsidRDefault="006E510E" w:rsidP="00B86E11">
            <w:r w:rsidRPr="009E68DC">
              <w:t>0.055%</w:t>
            </w:r>
          </w:p>
        </w:tc>
        <w:tc>
          <w:tcPr>
            <w:tcW w:w="625" w:type="pct"/>
            <w:shd w:val="clear" w:color="auto" w:fill="auto"/>
          </w:tcPr>
          <w:p w14:paraId="4D65A4F4" w14:textId="77777777" w:rsidR="006E510E" w:rsidRPr="009E68DC" w:rsidRDefault="006E510E" w:rsidP="00B86E11">
            <w:r w:rsidRPr="009E68DC">
              <w:t>0.047%</w:t>
            </w:r>
          </w:p>
        </w:tc>
      </w:tr>
      <w:tr w:rsidR="006E510E" w:rsidRPr="009E68DC" w14:paraId="24361CED" w14:textId="77777777" w:rsidTr="00B86E11">
        <w:trPr>
          <w:trHeight w:val="794"/>
        </w:trPr>
        <w:tc>
          <w:tcPr>
            <w:tcW w:w="1250" w:type="pct"/>
            <w:shd w:val="clear" w:color="auto" w:fill="auto"/>
          </w:tcPr>
          <w:p w14:paraId="7B745494" w14:textId="77777777" w:rsidR="006E510E" w:rsidRPr="009E68DC" w:rsidRDefault="006E510E" w:rsidP="00B86E11">
            <w:r w:rsidRPr="009E68DC">
              <w:t>Thrombocytopenia</w:t>
            </w:r>
          </w:p>
        </w:tc>
        <w:tc>
          <w:tcPr>
            <w:tcW w:w="625" w:type="pct"/>
            <w:shd w:val="clear" w:color="auto" w:fill="auto"/>
          </w:tcPr>
          <w:p w14:paraId="38DDAA7A" w14:textId="77777777" w:rsidR="006E510E" w:rsidRPr="009E68DC" w:rsidRDefault="006E510E" w:rsidP="00B86E11">
            <w:r w:rsidRPr="009E68DC">
              <w:t>0.229%</w:t>
            </w:r>
          </w:p>
        </w:tc>
        <w:tc>
          <w:tcPr>
            <w:tcW w:w="625" w:type="pct"/>
            <w:shd w:val="clear" w:color="auto" w:fill="auto"/>
          </w:tcPr>
          <w:p w14:paraId="2AE1D5C6" w14:textId="77777777" w:rsidR="006E510E" w:rsidRPr="009E68DC" w:rsidRDefault="006E510E" w:rsidP="00B86E11">
            <w:r w:rsidRPr="009E68DC">
              <w:t>0.238%</w:t>
            </w:r>
          </w:p>
        </w:tc>
        <w:tc>
          <w:tcPr>
            <w:tcW w:w="625" w:type="pct"/>
            <w:shd w:val="clear" w:color="auto" w:fill="auto"/>
          </w:tcPr>
          <w:p w14:paraId="34D2E366" w14:textId="77777777" w:rsidR="006E510E" w:rsidRPr="009E68DC" w:rsidRDefault="006E510E" w:rsidP="00B86E11">
            <w:r w:rsidRPr="009E68DC">
              <w:t>0.036%</w:t>
            </w:r>
          </w:p>
        </w:tc>
        <w:tc>
          <w:tcPr>
            <w:tcW w:w="625" w:type="pct"/>
            <w:shd w:val="clear" w:color="auto" w:fill="auto"/>
          </w:tcPr>
          <w:p w14:paraId="196A8B10" w14:textId="77777777" w:rsidR="006E510E" w:rsidRPr="009E68DC" w:rsidRDefault="006E510E" w:rsidP="00B86E11">
            <w:r w:rsidRPr="009E68DC">
              <w:t>0.083%</w:t>
            </w:r>
          </w:p>
        </w:tc>
        <w:tc>
          <w:tcPr>
            <w:tcW w:w="625" w:type="pct"/>
            <w:shd w:val="clear" w:color="auto" w:fill="auto"/>
          </w:tcPr>
          <w:p w14:paraId="27659179" w14:textId="77777777" w:rsidR="006E510E" w:rsidRPr="009E68DC" w:rsidRDefault="006E510E" w:rsidP="00B86E11">
            <w:r w:rsidRPr="009E68DC">
              <w:t>0.066%</w:t>
            </w:r>
          </w:p>
        </w:tc>
        <w:tc>
          <w:tcPr>
            <w:tcW w:w="625" w:type="pct"/>
            <w:shd w:val="clear" w:color="auto" w:fill="auto"/>
          </w:tcPr>
          <w:p w14:paraId="7E8A8C52" w14:textId="77777777" w:rsidR="006E510E" w:rsidRPr="009E68DC" w:rsidRDefault="006E510E" w:rsidP="00B86E11">
            <w:r w:rsidRPr="009E68DC">
              <w:t>0.000%</w:t>
            </w:r>
          </w:p>
        </w:tc>
      </w:tr>
    </w:tbl>
    <w:p w14:paraId="4B0082BE" w14:textId="77777777" w:rsidR="006E510E" w:rsidRDefault="006E510E" w:rsidP="006E510E">
      <w:r w:rsidRPr="00411355">
        <w:t xml:space="preserve">O, </w:t>
      </w:r>
      <w:proofErr w:type="spellStart"/>
      <w:r w:rsidRPr="00411355">
        <w:t>obinutuzumab</w:t>
      </w:r>
      <w:proofErr w:type="spellEnd"/>
      <w:r w:rsidRPr="00411355">
        <w:t xml:space="preserve">; R, rituximab; </w:t>
      </w:r>
      <w:proofErr w:type="spellStart"/>
      <w:r w:rsidRPr="00411355">
        <w:t>benda</w:t>
      </w:r>
      <w:proofErr w:type="spellEnd"/>
      <w:r w:rsidRPr="00411355">
        <w:t xml:space="preserve">, </w:t>
      </w:r>
      <w:proofErr w:type="spellStart"/>
      <w:r w:rsidRPr="00411355">
        <w:t>bendamustine</w:t>
      </w:r>
      <w:proofErr w:type="spellEnd"/>
      <w:r w:rsidRPr="00411355">
        <w:t xml:space="preserve">; </w:t>
      </w:r>
      <w:r>
        <w:t xml:space="preserve">CHOP, </w:t>
      </w:r>
      <w:r w:rsidRPr="00411355">
        <w:t>cyclophosphamide, doxorubicin, vincristine, and oral prednisone</w:t>
      </w:r>
      <w:r>
        <w:t xml:space="preserve">; CVP, </w:t>
      </w:r>
      <w:r w:rsidRPr="00411355">
        <w:t xml:space="preserve">cyclophosphamide, </w:t>
      </w:r>
      <w:proofErr w:type="gramStart"/>
      <w:r w:rsidRPr="00411355">
        <w:t>vincristine</w:t>
      </w:r>
      <w:proofErr w:type="gramEnd"/>
      <w:r w:rsidRPr="00411355">
        <w:t xml:space="preserve"> and prednisone</w:t>
      </w:r>
    </w:p>
    <w:p w14:paraId="6DA49A46" w14:textId="77777777" w:rsidR="006E510E" w:rsidRPr="00411355" w:rsidRDefault="006E510E" w:rsidP="006E510E"/>
    <w:p w14:paraId="2DD6E976" w14:textId="77777777" w:rsidR="0074699C" w:rsidRDefault="0074699C" w:rsidP="006E510E">
      <w:pPr>
        <w:rPr>
          <w:b/>
          <w:bCs/>
        </w:rPr>
      </w:pPr>
      <w:r>
        <w:rPr>
          <w:b/>
          <w:bCs/>
        </w:rPr>
        <w:br w:type="page"/>
      </w:r>
    </w:p>
    <w:p w14:paraId="5EBF54CE" w14:textId="71CCA0D9" w:rsidR="006E510E" w:rsidRDefault="006E510E" w:rsidP="006E510E">
      <w:r w:rsidRPr="009409F3">
        <w:rPr>
          <w:b/>
          <w:bCs/>
        </w:rPr>
        <w:lastRenderedPageBreak/>
        <w:t xml:space="preserve">Table </w:t>
      </w:r>
      <w:r w:rsidR="00673C1E">
        <w:rPr>
          <w:b/>
          <w:bCs/>
        </w:rPr>
        <w:t>S</w:t>
      </w:r>
      <w:r w:rsidR="007377E3">
        <w:rPr>
          <w:b/>
          <w:bCs/>
        </w:rPr>
        <w:t>3</w:t>
      </w:r>
      <w:r w:rsidRPr="009409F3">
        <w:rPr>
          <w:b/>
          <w:bCs/>
        </w:rPr>
        <w:t xml:space="preserve"> </w:t>
      </w:r>
      <w:r>
        <w:rPr>
          <w:b/>
          <w:bCs/>
        </w:rPr>
        <w:t xml:space="preserve">PSA </w:t>
      </w:r>
      <w:r w:rsidRPr="00FE4711">
        <w:rPr>
          <w:b/>
          <w:bCs/>
        </w:rPr>
        <w:t xml:space="preserve">parameter </w:t>
      </w:r>
      <w:r>
        <w:rPr>
          <w:b/>
          <w:bCs/>
        </w:rPr>
        <w:t>details that are</w:t>
      </w:r>
      <w:r w:rsidRPr="00FE4711">
        <w:rPr>
          <w:b/>
          <w:bCs/>
        </w:rPr>
        <w:t xml:space="preserve"> varying simultaneously</w:t>
      </w:r>
    </w:p>
    <w:tbl>
      <w:tblPr>
        <w:tblStyle w:val="Table"/>
        <w:tblW w:w="9350" w:type="dxa"/>
        <w:tblLayout w:type="fixed"/>
        <w:tblLook w:val="04A0" w:firstRow="1" w:lastRow="0" w:firstColumn="1" w:lastColumn="0" w:noHBand="0" w:noVBand="1"/>
      </w:tblPr>
      <w:tblGrid>
        <w:gridCol w:w="3256"/>
        <w:gridCol w:w="3047"/>
        <w:gridCol w:w="3047"/>
      </w:tblGrid>
      <w:tr w:rsidR="006E510E" w:rsidRPr="002B6D33" w14:paraId="3427C20F" w14:textId="77777777" w:rsidTr="00B86E11">
        <w:trPr>
          <w:trHeight w:val="794"/>
        </w:trPr>
        <w:tc>
          <w:tcPr>
            <w:tcW w:w="3256" w:type="dxa"/>
          </w:tcPr>
          <w:p w14:paraId="6D2559E5" w14:textId="77777777" w:rsidR="006E510E" w:rsidRPr="002B6D33" w:rsidRDefault="006E510E" w:rsidP="00B86E11">
            <w:pPr>
              <w:rPr>
                <w:b/>
                <w:bCs/>
              </w:rPr>
            </w:pPr>
            <w:r w:rsidRPr="002B6D33">
              <w:rPr>
                <w:b/>
                <w:bCs/>
              </w:rPr>
              <w:t>Model Variable</w:t>
            </w:r>
          </w:p>
        </w:tc>
        <w:tc>
          <w:tcPr>
            <w:tcW w:w="3047" w:type="dxa"/>
          </w:tcPr>
          <w:p w14:paraId="4CF69815" w14:textId="77777777" w:rsidR="006E510E" w:rsidRPr="002B6D33" w:rsidRDefault="006E510E" w:rsidP="00B86E11">
            <w:pPr>
              <w:rPr>
                <w:b/>
                <w:bCs/>
              </w:rPr>
            </w:pPr>
            <w:r w:rsidRPr="002B6D33">
              <w:rPr>
                <w:b/>
                <w:bCs/>
              </w:rPr>
              <w:t>Distribution used</w:t>
            </w:r>
          </w:p>
        </w:tc>
        <w:tc>
          <w:tcPr>
            <w:tcW w:w="3047" w:type="dxa"/>
          </w:tcPr>
          <w:p w14:paraId="2B353B11" w14:textId="77777777" w:rsidR="006E510E" w:rsidRPr="002B6D33" w:rsidRDefault="006E510E" w:rsidP="00B86E11">
            <w:pPr>
              <w:rPr>
                <w:b/>
                <w:bCs/>
              </w:rPr>
            </w:pPr>
            <w:r w:rsidRPr="002B6D33">
              <w:rPr>
                <w:b/>
                <w:bCs/>
              </w:rPr>
              <w:t>Reference</w:t>
            </w:r>
          </w:p>
        </w:tc>
      </w:tr>
      <w:tr w:rsidR="006E510E" w:rsidRPr="00024723" w14:paraId="3118FA9C" w14:textId="77777777" w:rsidTr="00B86E11">
        <w:trPr>
          <w:trHeight w:val="794"/>
        </w:trPr>
        <w:tc>
          <w:tcPr>
            <w:tcW w:w="3256" w:type="dxa"/>
          </w:tcPr>
          <w:p w14:paraId="744C8CD7" w14:textId="77777777" w:rsidR="006E510E" w:rsidRPr="00E32312" w:rsidRDefault="006E510E" w:rsidP="00B86E11">
            <w:r w:rsidRPr="00186D7C">
              <w:t>Utility values</w:t>
            </w:r>
          </w:p>
        </w:tc>
        <w:tc>
          <w:tcPr>
            <w:tcW w:w="3047" w:type="dxa"/>
          </w:tcPr>
          <w:p w14:paraId="37C41AAD" w14:textId="77777777" w:rsidR="006E510E" w:rsidRPr="00E32312" w:rsidRDefault="006E510E" w:rsidP="00B86E11">
            <w:r>
              <w:t>Beta distribution</w:t>
            </w:r>
          </w:p>
        </w:tc>
        <w:tc>
          <w:tcPr>
            <w:tcW w:w="3047" w:type="dxa"/>
          </w:tcPr>
          <w:p w14:paraId="79404160" w14:textId="37A9C0EB" w:rsidR="006E510E" w:rsidRPr="00FE4711" w:rsidRDefault="006E510E" w:rsidP="00B86E11">
            <w:r>
              <w:t xml:space="preserve">According to </w:t>
            </w:r>
            <w:r w:rsidRPr="00FE4711">
              <w:t>Briggs</w:t>
            </w:r>
            <w:r>
              <w:t xml:space="preserve"> A</w:t>
            </w:r>
            <w:r w:rsidRPr="00FE4711">
              <w:t xml:space="preserve">, </w:t>
            </w:r>
            <w:r>
              <w:t>et al. 2008</w:t>
            </w:r>
            <w:r w:rsidR="003202E9">
              <w:rPr>
                <w:vertAlign w:val="superscript"/>
              </w:rPr>
              <w:t>S</w:t>
            </w:r>
            <w:r>
              <w:rPr>
                <w:vertAlign w:val="superscript"/>
              </w:rPr>
              <w:t>3</w:t>
            </w:r>
          </w:p>
        </w:tc>
      </w:tr>
      <w:tr w:rsidR="003202E9" w:rsidRPr="00024723" w14:paraId="5400A17E" w14:textId="77777777" w:rsidTr="00B86E11">
        <w:trPr>
          <w:trHeight w:val="794"/>
        </w:trPr>
        <w:tc>
          <w:tcPr>
            <w:tcW w:w="3256" w:type="dxa"/>
          </w:tcPr>
          <w:p w14:paraId="2652FA88" w14:textId="77777777" w:rsidR="003202E9" w:rsidRPr="00E32312" w:rsidRDefault="003202E9" w:rsidP="003202E9">
            <w:r w:rsidRPr="00186D7C">
              <w:t>Parameter estimates for the parametric PFS and PPS function</w:t>
            </w:r>
          </w:p>
        </w:tc>
        <w:tc>
          <w:tcPr>
            <w:tcW w:w="3047" w:type="dxa"/>
          </w:tcPr>
          <w:p w14:paraId="5861EE4C" w14:textId="77777777" w:rsidR="003202E9" w:rsidRPr="00E32312" w:rsidRDefault="003202E9" w:rsidP="003202E9">
            <w:r w:rsidRPr="00186D7C">
              <w:t>Multivariate normal distribution</w:t>
            </w:r>
          </w:p>
        </w:tc>
        <w:tc>
          <w:tcPr>
            <w:tcW w:w="3047" w:type="dxa"/>
          </w:tcPr>
          <w:p w14:paraId="3FFFD0F8" w14:textId="4D446460" w:rsidR="003202E9" w:rsidRPr="00FE4711" w:rsidRDefault="003202E9" w:rsidP="003202E9">
            <w:r>
              <w:t xml:space="preserve">According to </w:t>
            </w:r>
            <w:r w:rsidRPr="00FE4711">
              <w:t>Briggs</w:t>
            </w:r>
            <w:r>
              <w:t xml:space="preserve"> A</w:t>
            </w:r>
            <w:r w:rsidRPr="00FE4711">
              <w:t xml:space="preserve">, </w:t>
            </w:r>
            <w:r>
              <w:t>et al. 2008</w:t>
            </w:r>
            <w:r>
              <w:rPr>
                <w:vertAlign w:val="superscript"/>
              </w:rPr>
              <w:t>S3</w:t>
            </w:r>
          </w:p>
        </w:tc>
      </w:tr>
      <w:tr w:rsidR="003202E9" w:rsidRPr="00024723" w14:paraId="7D6A839B" w14:textId="77777777" w:rsidTr="00B86E11">
        <w:trPr>
          <w:trHeight w:val="794"/>
        </w:trPr>
        <w:tc>
          <w:tcPr>
            <w:tcW w:w="3256" w:type="dxa"/>
          </w:tcPr>
          <w:p w14:paraId="37405217" w14:textId="77777777" w:rsidR="003202E9" w:rsidRPr="00E32312" w:rsidRDefault="003202E9" w:rsidP="003202E9">
            <w:r w:rsidRPr="00186D7C">
              <w:t xml:space="preserve">Number of adverse events </w:t>
            </w:r>
          </w:p>
        </w:tc>
        <w:tc>
          <w:tcPr>
            <w:tcW w:w="3047" w:type="dxa"/>
          </w:tcPr>
          <w:p w14:paraId="399A04BD" w14:textId="77777777" w:rsidR="003202E9" w:rsidRPr="00E32312" w:rsidRDefault="003202E9" w:rsidP="003202E9">
            <w:r w:rsidRPr="00186D7C">
              <w:t>Log-normal distribution</w:t>
            </w:r>
          </w:p>
        </w:tc>
        <w:tc>
          <w:tcPr>
            <w:tcW w:w="3047" w:type="dxa"/>
          </w:tcPr>
          <w:p w14:paraId="64B48BF8" w14:textId="428A1904" w:rsidR="003202E9" w:rsidRPr="00FE4711" w:rsidRDefault="003202E9" w:rsidP="003202E9">
            <w:r>
              <w:t xml:space="preserve">According to </w:t>
            </w:r>
            <w:r w:rsidRPr="00FE4711">
              <w:t>Briggs</w:t>
            </w:r>
            <w:r>
              <w:t xml:space="preserve"> A</w:t>
            </w:r>
            <w:r w:rsidRPr="00FE4711">
              <w:t xml:space="preserve">, </w:t>
            </w:r>
            <w:r>
              <w:t>et al. 2008</w:t>
            </w:r>
            <w:r>
              <w:rPr>
                <w:vertAlign w:val="superscript"/>
              </w:rPr>
              <w:t>S3</w:t>
            </w:r>
          </w:p>
        </w:tc>
      </w:tr>
      <w:tr w:rsidR="003202E9" w:rsidRPr="00E32312" w14:paraId="464838E7" w14:textId="77777777" w:rsidTr="00B86E11">
        <w:trPr>
          <w:trHeight w:val="794"/>
        </w:trPr>
        <w:tc>
          <w:tcPr>
            <w:tcW w:w="3256" w:type="dxa"/>
          </w:tcPr>
          <w:p w14:paraId="7A47BB54" w14:textId="77777777" w:rsidR="003202E9" w:rsidRPr="00E32312" w:rsidRDefault="003202E9" w:rsidP="003202E9">
            <w:r w:rsidRPr="00186D7C">
              <w:t xml:space="preserve">Costs of adverse events </w:t>
            </w:r>
          </w:p>
        </w:tc>
        <w:tc>
          <w:tcPr>
            <w:tcW w:w="3047" w:type="dxa"/>
          </w:tcPr>
          <w:p w14:paraId="2CEA869E" w14:textId="77777777" w:rsidR="003202E9" w:rsidRPr="00E32312" w:rsidRDefault="003202E9" w:rsidP="003202E9">
            <w:r w:rsidRPr="00186D7C">
              <w:t>Log-normal distribution</w:t>
            </w:r>
          </w:p>
        </w:tc>
        <w:tc>
          <w:tcPr>
            <w:tcW w:w="3047" w:type="dxa"/>
          </w:tcPr>
          <w:p w14:paraId="3C3B340A" w14:textId="4800B624" w:rsidR="003202E9" w:rsidRPr="00E32312" w:rsidRDefault="003202E9" w:rsidP="003202E9">
            <w:r>
              <w:t xml:space="preserve">According to </w:t>
            </w:r>
            <w:r w:rsidRPr="00FE4711">
              <w:t>Briggs</w:t>
            </w:r>
            <w:r>
              <w:t xml:space="preserve"> A</w:t>
            </w:r>
            <w:r w:rsidRPr="00FE4711">
              <w:t xml:space="preserve">, </w:t>
            </w:r>
            <w:r>
              <w:t>et al. 2008</w:t>
            </w:r>
            <w:r>
              <w:rPr>
                <w:vertAlign w:val="superscript"/>
              </w:rPr>
              <w:t>S3</w:t>
            </w:r>
          </w:p>
        </w:tc>
      </w:tr>
      <w:tr w:rsidR="003202E9" w:rsidRPr="00E32312" w14:paraId="4156DBF9" w14:textId="77777777" w:rsidTr="00B86E11">
        <w:trPr>
          <w:trHeight w:val="794"/>
        </w:trPr>
        <w:tc>
          <w:tcPr>
            <w:tcW w:w="3256" w:type="dxa"/>
          </w:tcPr>
          <w:p w14:paraId="5BBBC484" w14:textId="77777777" w:rsidR="003202E9" w:rsidRPr="00E32312" w:rsidRDefault="003202E9" w:rsidP="003202E9">
            <w:r w:rsidRPr="00186D7C">
              <w:t>Monthly supportive care costs for the PFS and Progressed health states</w:t>
            </w:r>
          </w:p>
        </w:tc>
        <w:tc>
          <w:tcPr>
            <w:tcW w:w="3047" w:type="dxa"/>
          </w:tcPr>
          <w:p w14:paraId="4D6EEA8C" w14:textId="77777777" w:rsidR="003202E9" w:rsidRPr="00E32312" w:rsidRDefault="003202E9" w:rsidP="003202E9">
            <w:r w:rsidRPr="00186D7C">
              <w:t>Log-normal distribution</w:t>
            </w:r>
          </w:p>
        </w:tc>
        <w:tc>
          <w:tcPr>
            <w:tcW w:w="3047" w:type="dxa"/>
          </w:tcPr>
          <w:p w14:paraId="3328DA99" w14:textId="00EB5E49" w:rsidR="003202E9" w:rsidRPr="00FE4711" w:rsidRDefault="003202E9" w:rsidP="003202E9">
            <w:r>
              <w:t xml:space="preserve">According to </w:t>
            </w:r>
            <w:r w:rsidRPr="00FE4711">
              <w:t>Briggs</w:t>
            </w:r>
            <w:r>
              <w:t xml:space="preserve"> A</w:t>
            </w:r>
            <w:r w:rsidRPr="00FE4711">
              <w:t xml:space="preserve">, </w:t>
            </w:r>
            <w:r>
              <w:t>et al. 2008</w:t>
            </w:r>
            <w:r>
              <w:rPr>
                <w:vertAlign w:val="superscript"/>
              </w:rPr>
              <w:t>S3</w:t>
            </w:r>
          </w:p>
        </w:tc>
      </w:tr>
      <w:tr w:rsidR="003202E9" w:rsidRPr="00E32312" w14:paraId="4D45C3DB" w14:textId="77777777" w:rsidTr="00B86E11">
        <w:trPr>
          <w:trHeight w:val="794"/>
        </w:trPr>
        <w:tc>
          <w:tcPr>
            <w:tcW w:w="3256" w:type="dxa"/>
          </w:tcPr>
          <w:p w14:paraId="3C41C8BB" w14:textId="77777777" w:rsidR="003202E9" w:rsidRPr="00E32312" w:rsidRDefault="003202E9" w:rsidP="003202E9">
            <w:r w:rsidRPr="00186D7C">
              <w:t>PFS extrapolation</w:t>
            </w:r>
          </w:p>
        </w:tc>
        <w:tc>
          <w:tcPr>
            <w:tcW w:w="3047" w:type="dxa"/>
          </w:tcPr>
          <w:p w14:paraId="42BE8FA4" w14:textId="77777777" w:rsidR="003202E9" w:rsidRPr="00E32312" w:rsidRDefault="003202E9" w:rsidP="003202E9">
            <w:r>
              <w:t>N</w:t>
            </w:r>
            <w:r w:rsidRPr="00186D7C">
              <w:t>ormal distribution with co-variance matrix</w:t>
            </w:r>
          </w:p>
        </w:tc>
        <w:tc>
          <w:tcPr>
            <w:tcW w:w="3047" w:type="dxa"/>
          </w:tcPr>
          <w:p w14:paraId="23995B06" w14:textId="14A6C7E2" w:rsidR="003202E9" w:rsidRPr="00FE4711" w:rsidRDefault="003202E9" w:rsidP="003202E9">
            <w:r>
              <w:t xml:space="preserve">According to </w:t>
            </w:r>
            <w:r w:rsidRPr="00FE4711">
              <w:t>Briggs</w:t>
            </w:r>
            <w:r>
              <w:t xml:space="preserve"> A</w:t>
            </w:r>
            <w:r w:rsidRPr="00FE4711">
              <w:t xml:space="preserve">, </w:t>
            </w:r>
            <w:r>
              <w:t>et al. 2008</w:t>
            </w:r>
            <w:r>
              <w:rPr>
                <w:vertAlign w:val="superscript"/>
              </w:rPr>
              <w:t>S3</w:t>
            </w:r>
          </w:p>
        </w:tc>
      </w:tr>
      <w:tr w:rsidR="003202E9" w:rsidRPr="00E32312" w14:paraId="4C1FFACD" w14:textId="77777777" w:rsidTr="00B86E11">
        <w:trPr>
          <w:trHeight w:val="794"/>
        </w:trPr>
        <w:tc>
          <w:tcPr>
            <w:tcW w:w="3256" w:type="dxa"/>
          </w:tcPr>
          <w:p w14:paraId="087777C3" w14:textId="77777777" w:rsidR="003202E9" w:rsidRPr="00E32312" w:rsidRDefault="003202E9" w:rsidP="003202E9">
            <w:r w:rsidRPr="00186D7C">
              <w:t>PPS extrapolation</w:t>
            </w:r>
          </w:p>
        </w:tc>
        <w:tc>
          <w:tcPr>
            <w:tcW w:w="3047" w:type="dxa"/>
          </w:tcPr>
          <w:p w14:paraId="6A3A2717" w14:textId="77777777" w:rsidR="003202E9" w:rsidRPr="00E32312" w:rsidRDefault="003202E9" w:rsidP="003202E9">
            <w:r>
              <w:t>N</w:t>
            </w:r>
            <w:r w:rsidRPr="00186D7C">
              <w:t>ormal distribution with co-variance matrix</w:t>
            </w:r>
          </w:p>
        </w:tc>
        <w:tc>
          <w:tcPr>
            <w:tcW w:w="3047" w:type="dxa"/>
          </w:tcPr>
          <w:p w14:paraId="53FA807C" w14:textId="34265A50" w:rsidR="003202E9" w:rsidRPr="00FE4711" w:rsidRDefault="003202E9" w:rsidP="003202E9">
            <w:r>
              <w:t xml:space="preserve">According to </w:t>
            </w:r>
            <w:r w:rsidRPr="00FE4711">
              <w:t>Briggs</w:t>
            </w:r>
            <w:r>
              <w:t xml:space="preserve"> A</w:t>
            </w:r>
            <w:r w:rsidRPr="00FE4711">
              <w:t xml:space="preserve">, </w:t>
            </w:r>
            <w:r>
              <w:t>et al. 2008</w:t>
            </w:r>
            <w:r>
              <w:rPr>
                <w:vertAlign w:val="superscript"/>
              </w:rPr>
              <w:t>S3</w:t>
            </w:r>
          </w:p>
        </w:tc>
      </w:tr>
      <w:tr w:rsidR="003202E9" w:rsidRPr="00E32312" w14:paraId="534985B2" w14:textId="77777777" w:rsidTr="00B86E11">
        <w:trPr>
          <w:trHeight w:val="794"/>
        </w:trPr>
        <w:tc>
          <w:tcPr>
            <w:tcW w:w="3256" w:type="dxa"/>
          </w:tcPr>
          <w:p w14:paraId="01E55794" w14:textId="77777777" w:rsidR="003202E9" w:rsidRPr="00E32312" w:rsidRDefault="003202E9" w:rsidP="003202E9">
            <w:r w:rsidRPr="00186D7C">
              <w:t>Administration costs</w:t>
            </w:r>
          </w:p>
        </w:tc>
        <w:tc>
          <w:tcPr>
            <w:tcW w:w="3047" w:type="dxa"/>
          </w:tcPr>
          <w:p w14:paraId="565D78B8" w14:textId="77777777" w:rsidR="003202E9" w:rsidRPr="00E32312" w:rsidRDefault="003202E9" w:rsidP="003202E9">
            <w:r w:rsidRPr="00186D7C">
              <w:t>Log-normal distribution</w:t>
            </w:r>
          </w:p>
        </w:tc>
        <w:tc>
          <w:tcPr>
            <w:tcW w:w="3047" w:type="dxa"/>
          </w:tcPr>
          <w:p w14:paraId="5AED0E46" w14:textId="07BF232D" w:rsidR="003202E9" w:rsidRPr="00FE4711" w:rsidRDefault="003202E9" w:rsidP="003202E9">
            <w:r>
              <w:t xml:space="preserve">According to </w:t>
            </w:r>
            <w:r w:rsidRPr="00FE4711">
              <w:t>Briggs</w:t>
            </w:r>
            <w:r>
              <w:t xml:space="preserve"> A</w:t>
            </w:r>
            <w:r w:rsidRPr="00FE4711">
              <w:t xml:space="preserve">, </w:t>
            </w:r>
            <w:r>
              <w:t>et al. 2008</w:t>
            </w:r>
            <w:r>
              <w:rPr>
                <w:vertAlign w:val="superscript"/>
              </w:rPr>
              <w:t>S3</w:t>
            </w:r>
          </w:p>
        </w:tc>
      </w:tr>
    </w:tbl>
    <w:p w14:paraId="469AD794" w14:textId="77777777" w:rsidR="006E510E" w:rsidRPr="00FE4711" w:rsidRDefault="006E510E" w:rsidP="006E510E">
      <w:r w:rsidRPr="00FE4711">
        <w:t>No distribution was applied to the cost of study drugs, given that these are certain parameters.</w:t>
      </w:r>
      <w:r>
        <w:t xml:space="preserve"> </w:t>
      </w:r>
    </w:p>
    <w:p w14:paraId="3D4D2168" w14:textId="77777777" w:rsidR="006E510E" w:rsidRDefault="006E510E" w:rsidP="006E510E">
      <w:pPr>
        <w:rPr>
          <w:b/>
          <w:bCs/>
        </w:rPr>
      </w:pPr>
    </w:p>
    <w:p w14:paraId="0FC1B678" w14:textId="77777777" w:rsidR="006E510E" w:rsidRDefault="006E510E" w:rsidP="006E510E"/>
    <w:p w14:paraId="1C371B87" w14:textId="77777777" w:rsidR="0074699C" w:rsidRDefault="0074699C" w:rsidP="006E510E">
      <w:pPr>
        <w:pStyle w:val="Titolo2"/>
      </w:pPr>
      <w:r>
        <w:br w:type="page"/>
      </w:r>
    </w:p>
    <w:p w14:paraId="1581C56E" w14:textId="79430C2D" w:rsidR="006E510E" w:rsidRDefault="003202E9" w:rsidP="006E510E">
      <w:pPr>
        <w:pStyle w:val="Titolo2"/>
      </w:pPr>
      <w:r>
        <w:lastRenderedPageBreak/>
        <w:t>Supplementary</w:t>
      </w:r>
      <w:r w:rsidR="006E510E">
        <w:t xml:space="preserve"> reference</w:t>
      </w:r>
    </w:p>
    <w:p w14:paraId="2E7FCA67" w14:textId="2402CBC8" w:rsidR="006E510E" w:rsidRPr="007377E3" w:rsidRDefault="003202E9" w:rsidP="006E510E">
      <w:pPr>
        <w:rPr>
          <w:lang w:val="fr-FR"/>
        </w:rPr>
      </w:pPr>
      <w:r>
        <w:t>S</w:t>
      </w:r>
      <w:r w:rsidR="006E510E">
        <w:t xml:space="preserve">1. </w:t>
      </w:r>
      <w:r w:rsidR="006E510E" w:rsidRPr="00297673">
        <w:t xml:space="preserve">Marcus R, Davies A, Ando K, et al. Obinutuzumab for the First-Line Treatment of Follicular Lymphoma. </w:t>
      </w:r>
      <w:r w:rsidR="006E510E" w:rsidRPr="007377E3">
        <w:rPr>
          <w:lang w:val="fr-FR"/>
        </w:rPr>
        <w:t xml:space="preserve">N </w:t>
      </w:r>
      <w:proofErr w:type="spellStart"/>
      <w:r w:rsidR="006E510E" w:rsidRPr="007377E3">
        <w:rPr>
          <w:lang w:val="fr-FR"/>
        </w:rPr>
        <w:t>Engl</w:t>
      </w:r>
      <w:proofErr w:type="spellEnd"/>
      <w:r w:rsidR="006E510E" w:rsidRPr="007377E3">
        <w:rPr>
          <w:lang w:val="fr-FR"/>
        </w:rPr>
        <w:t xml:space="preserve"> J Med. </w:t>
      </w:r>
      <w:proofErr w:type="gramStart"/>
      <w:r w:rsidR="006E510E" w:rsidRPr="007377E3">
        <w:rPr>
          <w:lang w:val="fr-FR"/>
        </w:rPr>
        <w:t>2017;</w:t>
      </w:r>
      <w:proofErr w:type="gramEnd"/>
      <w:r w:rsidR="006E510E" w:rsidRPr="007377E3">
        <w:rPr>
          <w:lang w:val="fr-FR"/>
        </w:rPr>
        <w:t xml:space="preserve">377(14):1331-1344. </w:t>
      </w:r>
      <w:proofErr w:type="gramStart"/>
      <w:r w:rsidR="006E510E" w:rsidRPr="007377E3">
        <w:rPr>
          <w:lang w:val="fr-FR"/>
        </w:rPr>
        <w:t>doi:</w:t>
      </w:r>
      <w:proofErr w:type="gramEnd"/>
      <w:r w:rsidR="006E510E" w:rsidRPr="007377E3">
        <w:rPr>
          <w:lang w:val="fr-FR"/>
        </w:rPr>
        <w:t>10.1056/NEJMoa1614598</w:t>
      </w:r>
    </w:p>
    <w:p w14:paraId="7784A928" w14:textId="1D6F4364" w:rsidR="006E510E" w:rsidRDefault="003202E9" w:rsidP="006E510E">
      <w:r>
        <w:rPr>
          <w:lang w:val="fr-FR"/>
        </w:rPr>
        <w:t>S</w:t>
      </w:r>
      <w:r w:rsidR="006E510E" w:rsidRPr="00297673">
        <w:rPr>
          <w:lang w:val="fr-FR"/>
        </w:rPr>
        <w:t xml:space="preserve">2. </w:t>
      </w:r>
      <w:r w:rsidR="006E510E" w:rsidRPr="00C0746E">
        <w:rPr>
          <w:lang w:val="fr-FR"/>
        </w:rPr>
        <w:t xml:space="preserve">Du Bois D, Du Bois EF. </w:t>
      </w:r>
      <w:r w:rsidR="006E510E" w:rsidRPr="00C0746E">
        <w:t>A formula to estimate the approximate surface area if height and weight be known. 1916. </w:t>
      </w:r>
      <w:r w:rsidR="006E510E" w:rsidRPr="00C0746E">
        <w:rPr>
          <w:i/>
          <w:iCs/>
        </w:rPr>
        <w:t>Nutrition</w:t>
      </w:r>
      <w:r w:rsidR="006E510E" w:rsidRPr="00C0746E">
        <w:t>. 1989;5(5):303-313</w:t>
      </w:r>
    </w:p>
    <w:p w14:paraId="375A5845" w14:textId="52370E45" w:rsidR="006E510E" w:rsidRPr="00FE4711" w:rsidRDefault="003202E9" w:rsidP="006E510E">
      <w:r>
        <w:t>S</w:t>
      </w:r>
      <w:r w:rsidR="006E510E">
        <w:t xml:space="preserve">3. </w:t>
      </w:r>
      <w:r w:rsidR="006E510E" w:rsidRPr="00FE4711">
        <w:t>Briggs</w:t>
      </w:r>
      <w:r w:rsidR="006E510E">
        <w:t xml:space="preserve"> A</w:t>
      </w:r>
      <w:r w:rsidR="006E510E" w:rsidRPr="00FE4711">
        <w:t xml:space="preserve">, </w:t>
      </w:r>
      <w:proofErr w:type="spellStart"/>
      <w:r w:rsidR="006E510E" w:rsidRPr="00FE4711">
        <w:t>Sculpher</w:t>
      </w:r>
      <w:proofErr w:type="spellEnd"/>
      <w:r w:rsidR="006E510E">
        <w:t xml:space="preserve"> M</w:t>
      </w:r>
      <w:r w:rsidR="006E510E" w:rsidRPr="00FE4711">
        <w:t>, and Claxton</w:t>
      </w:r>
      <w:r w:rsidR="006E510E">
        <w:t xml:space="preserve"> K. </w:t>
      </w:r>
      <w:r w:rsidR="006E510E" w:rsidRPr="00FE4711">
        <w:rPr>
          <w:i/>
          <w:iCs/>
        </w:rPr>
        <w:t>Decision Modelling for Health Economic Evaluation</w:t>
      </w:r>
      <w:r w:rsidR="006E510E">
        <w:rPr>
          <w:i/>
          <w:iCs/>
        </w:rPr>
        <w:t xml:space="preserve">. </w:t>
      </w:r>
      <w:r w:rsidR="006E510E">
        <w:t>Oxford: Oxford University Press; 2008</w:t>
      </w:r>
    </w:p>
    <w:p w14:paraId="1FF928E8" w14:textId="77777777" w:rsidR="006E510E" w:rsidRPr="000C7520" w:rsidRDefault="006E510E" w:rsidP="006E510E"/>
    <w:p w14:paraId="3B44E1AF" w14:textId="7A04BB2D" w:rsidR="00ED44C1" w:rsidRPr="006E510E" w:rsidRDefault="00ED44C1" w:rsidP="006E510E"/>
    <w:sectPr w:rsidR="00ED44C1" w:rsidRPr="006E510E" w:rsidSect="00ED3BCA">
      <w:footerReference w:type="default" r:id="rId9"/>
      <w:pgSz w:w="12240" w:h="15840"/>
      <w:pgMar w:top="1701" w:right="1701" w:bottom="170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472118" w14:textId="77777777" w:rsidR="007C7A7A" w:rsidRDefault="007C7A7A">
      <w:pPr>
        <w:spacing w:line="240" w:lineRule="auto"/>
      </w:pPr>
      <w:r>
        <w:separator/>
      </w:r>
    </w:p>
  </w:endnote>
  <w:endnote w:type="continuationSeparator" w:id="0">
    <w:p w14:paraId="635CAEBE" w14:textId="77777777" w:rsidR="007C7A7A" w:rsidRDefault="007C7A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1AD" w14:textId="40DAB919" w:rsidR="007C7A7A" w:rsidRDefault="007C7A7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6</w:t>
    </w:r>
    <w:r>
      <w:rPr>
        <w:color w:val="000000"/>
      </w:rPr>
      <w:fldChar w:fldCharType="end"/>
    </w:r>
  </w:p>
  <w:p w14:paraId="000001AE" w14:textId="77777777" w:rsidR="007C7A7A" w:rsidRDefault="007C7A7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A5BA41" w14:textId="77777777" w:rsidR="007C7A7A" w:rsidRDefault="007C7A7A">
      <w:pPr>
        <w:spacing w:line="240" w:lineRule="auto"/>
      </w:pPr>
      <w:r>
        <w:separator/>
      </w:r>
    </w:p>
  </w:footnote>
  <w:footnote w:type="continuationSeparator" w:id="0">
    <w:p w14:paraId="1BDDF375" w14:textId="77777777" w:rsidR="007C7A7A" w:rsidRDefault="007C7A7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826DB"/>
    <w:multiLevelType w:val="multilevel"/>
    <w:tmpl w:val="B6E2A7DC"/>
    <w:lvl w:ilvl="0">
      <w:start w:val="1"/>
      <w:numFmt w:val="decimal"/>
      <w:pStyle w:val="Paragrafoelenco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8F23D3"/>
    <w:multiLevelType w:val="hybridMultilevel"/>
    <w:tmpl w:val="231C717C"/>
    <w:lvl w:ilvl="0" w:tplc="C576C50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23D"/>
    <w:rsid w:val="00004518"/>
    <w:rsid w:val="0002286C"/>
    <w:rsid w:val="00046772"/>
    <w:rsid w:val="00083321"/>
    <w:rsid w:val="00092D36"/>
    <w:rsid w:val="0009754D"/>
    <w:rsid w:val="000A7438"/>
    <w:rsid w:val="000B5F83"/>
    <w:rsid w:val="000C7E64"/>
    <w:rsid w:val="000E2C6F"/>
    <w:rsid w:val="000F7DC1"/>
    <w:rsid w:val="001030CF"/>
    <w:rsid w:val="00104003"/>
    <w:rsid w:val="001557F9"/>
    <w:rsid w:val="0016552B"/>
    <w:rsid w:val="00175983"/>
    <w:rsid w:val="001F02DE"/>
    <w:rsid w:val="00205E85"/>
    <w:rsid w:val="00214A78"/>
    <w:rsid w:val="0021545A"/>
    <w:rsid w:val="0022130E"/>
    <w:rsid w:val="00225802"/>
    <w:rsid w:val="0023062D"/>
    <w:rsid w:val="00234077"/>
    <w:rsid w:val="00234A4D"/>
    <w:rsid w:val="0025197A"/>
    <w:rsid w:val="0025641C"/>
    <w:rsid w:val="00260E51"/>
    <w:rsid w:val="002934F3"/>
    <w:rsid w:val="002B0596"/>
    <w:rsid w:val="002B1D20"/>
    <w:rsid w:val="002C2BF6"/>
    <w:rsid w:val="002C5FA5"/>
    <w:rsid w:val="002D51FE"/>
    <w:rsid w:val="002E34AF"/>
    <w:rsid w:val="002F38B3"/>
    <w:rsid w:val="00306666"/>
    <w:rsid w:val="00313C75"/>
    <w:rsid w:val="003202E9"/>
    <w:rsid w:val="0032206F"/>
    <w:rsid w:val="003251CD"/>
    <w:rsid w:val="0036156A"/>
    <w:rsid w:val="00367445"/>
    <w:rsid w:val="0038528B"/>
    <w:rsid w:val="003878D1"/>
    <w:rsid w:val="00390282"/>
    <w:rsid w:val="003B39D4"/>
    <w:rsid w:val="003C09B1"/>
    <w:rsid w:val="003D4CF4"/>
    <w:rsid w:val="003F0230"/>
    <w:rsid w:val="00421FBA"/>
    <w:rsid w:val="00422527"/>
    <w:rsid w:val="004313E4"/>
    <w:rsid w:val="00445862"/>
    <w:rsid w:val="004A71EE"/>
    <w:rsid w:val="004B242D"/>
    <w:rsid w:val="004C41F1"/>
    <w:rsid w:val="004F1AD1"/>
    <w:rsid w:val="00535B88"/>
    <w:rsid w:val="00541D31"/>
    <w:rsid w:val="00544F90"/>
    <w:rsid w:val="00547D25"/>
    <w:rsid w:val="00571F9E"/>
    <w:rsid w:val="00572E96"/>
    <w:rsid w:val="00576D2C"/>
    <w:rsid w:val="005D3BBE"/>
    <w:rsid w:val="005D55E4"/>
    <w:rsid w:val="005E305C"/>
    <w:rsid w:val="005E57F7"/>
    <w:rsid w:val="00601CEC"/>
    <w:rsid w:val="00606AE1"/>
    <w:rsid w:val="0061577B"/>
    <w:rsid w:val="0061660C"/>
    <w:rsid w:val="006370B3"/>
    <w:rsid w:val="006407E9"/>
    <w:rsid w:val="00644890"/>
    <w:rsid w:val="00650CB9"/>
    <w:rsid w:val="00671994"/>
    <w:rsid w:val="00673C1E"/>
    <w:rsid w:val="006A1453"/>
    <w:rsid w:val="006A4A45"/>
    <w:rsid w:val="006B7A33"/>
    <w:rsid w:val="006D47B8"/>
    <w:rsid w:val="006E510E"/>
    <w:rsid w:val="00703378"/>
    <w:rsid w:val="00720592"/>
    <w:rsid w:val="00734DFC"/>
    <w:rsid w:val="00735171"/>
    <w:rsid w:val="007377E3"/>
    <w:rsid w:val="00743495"/>
    <w:rsid w:val="0074699C"/>
    <w:rsid w:val="0075019D"/>
    <w:rsid w:val="00786F99"/>
    <w:rsid w:val="007946D5"/>
    <w:rsid w:val="007C4B7E"/>
    <w:rsid w:val="007C5567"/>
    <w:rsid w:val="007C7A7A"/>
    <w:rsid w:val="007E5472"/>
    <w:rsid w:val="00822341"/>
    <w:rsid w:val="00845823"/>
    <w:rsid w:val="008903A7"/>
    <w:rsid w:val="0089156A"/>
    <w:rsid w:val="008A73BF"/>
    <w:rsid w:val="008D7234"/>
    <w:rsid w:val="008E134A"/>
    <w:rsid w:val="008F3B91"/>
    <w:rsid w:val="008F41AD"/>
    <w:rsid w:val="00924B43"/>
    <w:rsid w:val="009704B3"/>
    <w:rsid w:val="009822FA"/>
    <w:rsid w:val="0098530E"/>
    <w:rsid w:val="009950E8"/>
    <w:rsid w:val="00997631"/>
    <w:rsid w:val="009E0F81"/>
    <w:rsid w:val="00A357D2"/>
    <w:rsid w:val="00A4388E"/>
    <w:rsid w:val="00A47A03"/>
    <w:rsid w:val="00A51376"/>
    <w:rsid w:val="00A57348"/>
    <w:rsid w:val="00A619FD"/>
    <w:rsid w:val="00A70F71"/>
    <w:rsid w:val="00A76543"/>
    <w:rsid w:val="00A809CB"/>
    <w:rsid w:val="00A813C8"/>
    <w:rsid w:val="00A93712"/>
    <w:rsid w:val="00AB082C"/>
    <w:rsid w:val="00AB291B"/>
    <w:rsid w:val="00AB3605"/>
    <w:rsid w:val="00AD3D7B"/>
    <w:rsid w:val="00B02BB8"/>
    <w:rsid w:val="00B04F74"/>
    <w:rsid w:val="00B051C4"/>
    <w:rsid w:val="00B13BA4"/>
    <w:rsid w:val="00B14923"/>
    <w:rsid w:val="00B20338"/>
    <w:rsid w:val="00B25655"/>
    <w:rsid w:val="00B37636"/>
    <w:rsid w:val="00B41016"/>
    <w:rsid w:val="00B53CEC"/>
    <w:rsid w:val="00B560F9"/>
    <w:rsid w:val="00B87066"/>
    <w:rsid w:val="00B8751C"/>
    <w:rsid w:val="00B97904"/>
    <w:rsid w:val="00BA27DF"/>
    <w:rsid w:val="00BB36DD"/>
    <w:rsid w:val="00BF036D"/>
    <w:rsid w:val="00BF1FA0"/>
    <w:rsid w:val="00BF45C2"/>
    <w:rsid w:val="00BF69DC"/>
    <w:rsid w:val="00C0746E"/>
    <w:rsid w:val="00C2034C"/>
    <w:rsid w:val="00C343B1"/>
    <w:rsid w:val="00C6163B"/>
    <w:rsid w:val="00C70B10"/>
    <w:rsid w:val="00C75A28"/>
    <w:rsid w:val="00C80C8D"/>
    <w:rsid w:val="00CD24F2"/>
    <w:rsid w:val="00CE7E54"/>
    <w:rsid w:val="00D5672E"/>
    <w:rsid w:val="00D65509"/>
    <w:rsid w:val="00D670F5"/>
    <w:rsid w:val="00D94AC6"/>
    <w:rsid w:val="00DA66C4"/>
    <w:rsid w:val="00DB42CF"/>
    <w:rsid w:val="00DC33B7"/>
    <w:rsid w:val="00DE5C2A"/>
    <w:rsid w:val="00DF7749"/>
    <w:rsid w:val="00E04F38"/>
    <w:rsid w:val="00E250CD"/>
    <w:rsid w:val="00E26821"/>
    <w:rsid w:val="00E32312"/>
    <w:rsid w:val="00E335A9"/>
    <w:rsid w:val="00E446A5"/>
    <w:rsid w:val="00E6223D"/>
    <w:rsid w:val="00E65A4E"/>
    <w:rsid w:val="00E763EE"/>
    <w:rsid w:val="00EB2EA1"/>
    <w:rsid w:val="00ED1D52"/>
    <w:rsid w:val="00ED3BCA"/>
    <w:rsid w:val="00ED44C1"/>
    <w:rsid w:val="00EE1E7E"/>
    <w:rsid w:val="00F101A2"/>
    <w:rsid w:val="00F258D4"/>
    <w:rsid w:val="00F304A4"/>
    <w:rsid w:val="00F30E1A"/>
    <w:rsid w:val="00F53C4A"/>
    <w:rsid w:val="00F60390"/>
    <w:rsid w:val="00F77C27"/>
    <w:rsid w:val="00F96F29"/>
    <w:rsid w:val="00FA1E1E"/>
    <w:rsid w:val="00FB0332"/>
    <w:rsid w:val="00FB51BC"/>
    <w:rsid w:val="00FB76F4"/>
    <w:rsid w:val="00FC05A8"/>
    <w:rsid w:val="00FF5B45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04CCD"/>
  <w15:docId w15:val="{6FBB6EC2-E18A-4ADE-BB96-9A71CA5A8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it-IT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0F81"/>
    <w:rPr>
      <w:rFonts w:ascii="Arial" w:hAnsi="Arial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F4F97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F4F97"/>
    <w:pPr>
      <w:keepNext/>
      <w:keepLines/>
      <w:outlineLvl w:val="1"/>
    </w:pPr>
    <w:rPr>
      <w:rFonts w:eastAsiaTheme="majorEastAsia" w:cstheme="majorBidi"/>
      <w:b/>
      <w:bCs/>
      <w:i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rsid w:val="00803D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Titolo1"/>
    <w:next w:val="Normale"/>
    <w:link w:val="TitoloCarattere"/>
    <w:uiPriority w:val="10"/>
    <w:qFormat/>
    <w:rsid w:val="00E81D24"/>
    <w:pPr>
      <w:pBdr>
        <w:bottom w:val="single" w:sz="4" w:space="1" w:color="auto"/>
      </w:pBdr>
      <w:spacing w:after="240"/>
    </w:pPr>
    <w:rPr>
      <w:b w:val="0"/>
      <w:sz w:val="32"/>
    </w:rPr>
  </w:style>
  <w:style w:type="table" w:styleId="Grigliatabella">
    <w:name w:val="Table Grid"/>
    <w:basedOn w:val="Tabellanormale"/>
    <w:rsid w:val="00E50435"/>
    <w:pPr>
      <w:spacing w:line="240" w:lineRule="auto"/>
    </w:pPr>
    <w:rPr>
      <w:color w:val="000000" w:themeColor="text1"/>
      <w:sz w:val="18"/>
      <w:szCs w:val="20"/>
    </w:rPr>
    <w:tblPr>
      <w:tblStyleRowBandSize w:val="2"/>
      <w:tblBorders>
        <w:top w:val="single" w:sz="8" w:space="0" w:color="6D8DC8"/>
        <w:left w:val="single" w:sz="8" w:space="0" w:color="6D8DC8"/>
        <w:bottom w:val="single" w:sz="8" w:space="0" w:color="6D8DC8"/>
        <w:right w:val="single" w:sz="8" w:space="0" w:color="6D8DC8"/>
        <w:insideH w:val="single" w:sz="8" w:space="0" w:color="6D8DC8"/>
        <w:insideV w:val="single" w:sz="8" w:space="0" w:color="6D8DC8"/>
      </w:tblBorders>
    </w:tblPr>
    <w:tcPr>
      <w:shd w:val="clear" w:color="auto" w:fill="D2DCEE"/>
    </w:tcPr>
  </w:style>
  <w:style w:type="character" w:styleId="Numeroriga">
    <w:name w:val="line number"/>
    <w:basedOn w:val="Carpredefinitoparagrafo"/>
    <w:uiPriority w:val="99"/>
    <w:semiHidden/>
    <w:unhideWhenUsed/>
    <w:rsid w:val="000E13F2"/>
  </w:style>
  <w:style w:type="paragraph" w:styleId="Intestazione">
    <w:name w:val="header"/>
    <w:basedOn w:val="Normale"/>
    <w:link w:val="IntestazioneCarattere"/>
    <w:uiPriority w:val="99"/>
    <w:unhideWhenUsed/>
    <w:rsid w:val="000E13F2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3F2"/>
    <w:rPr>
      <w:rFonts w:ascii="Times New Roman" w:hAnsi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0E13F2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3F2"/>
    <w:rPr>
      <w:rFonts w:ascii="Times New Roman" w:hAnsi="Times New Roman"/>
      <w:sz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F4F97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F4F97"/>
    <w:rPr>
      <w:rFonts w:ascii="Times New Roman" w:eastAsiaTheme="majorEastAsia" w:hAnsi="Times New Roman" w:cstheme="majorBidi"/>
      <w:b/>
      <w:bCs/>
      <w:i/>
      <w:sz w:val="24"/>
      <w:szCs w:val="26"/>
    </w:rPr>
  </w:style>
  <w:style w:type="character" w:styleId="Riferimentodelicato">
    <w:name w:val="Subtle Reference"/>
    <w:basedOn w:val="Carpredefinitoparagrafo"/>
    <w:uiPriority w:val="31"/>
    <w:rsid w:val="00035B46"/>
    <w:rPr>
      <w:smallCaps/>
      <w:color w:val="C0504D" w:themeColor="accent2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E81D24"/>
    <w:rPr>
      <w:rFonts w:ascii="Times New Roman" w:eastAsiaTheme="majorEastAsia" w:hAnsi="Times New Roman" w:cstheme="majorBidi"/>
      <w:bCs/>
      <w:sz w:val="32"/>
      <w:szCs w:val="28"/>
      <w:lang w:val="en-US"/>
    </w:rPr>
  </w:style>
  <w:style w:type="paragraph" w:styleId="Paragrafoelenco">
    <w:name w:val="List Paragraph"/>
    <w:aliases w:val="Bullet1,Bullet 1,Bulleted - 2"/>
    <w:basedOn w:val="Normale"/>
    <w:link w:val="ParagrafoelencoCarattere"/>
    <w:uiPriority w:val="34"/>
    <w:qFormat/>
    <w:rsid w:val="004F4F97"/>
    <w:pPr>
      <w:numPr>
        <w:numId w:val="1"/>
      </w:numPr>
      <w:ind w:hanging="436"/>
      <w:contextualSpacing/>
    </w:pPr>
    <w:rPr>
      <w:rFonts w:eastAsia="Calibri"/>
    </w:rPr>
  </w:style>
  <w:style w:type="character" w:customStyle="1" w:styleId="ParagrafoelencoCarattere">
    <w:name w:val="Paragrafo elenco Carattere"/>
    <w:aliases w:val="Bullet1 Carattere,Bullet 1 Carattere,Bulleted - 2 Carattere"/>
    <w:link w:val="Paragrafoelenco"/>
    <w:uiPriority w:val="34"/>
    <w:locked/>
    <w:rsid w:val="004F4F97"/>
    <w:rPr>
      <w:rFonts w:ascii="Times New Roman" w:eastAsia="Calibri" w:hAnsi="Times New Roman" w:cs="Times New Roman"/>
      <w:sz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03D9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803D96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D53473"/>
    <w:rPr>
      <w:i/>
      <w:iCs/>
    </w:rPr>
  </w:style>
  <w:style w:type="character" w:styleId="Rimandocommento">
    <w:name w:val="annotation reference"/>
    <w:basedOn w:val="Carpredefinitoparagrafo"/>
    <w:uiPriority w:val="99"/>
    <w:semiHidden/>
    <w:unhideWhenUsed/>
    <w:rsid w:val="0059411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9411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94115"/>
    <w:rPr>
      <w:rFonts w:ascii="Times New Roman" w:hAnsi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9411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94115"/>
    <w:rPr>
      <w:rFonts w:ascii="Times New Roman" w:hAnsi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411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4115"/>
    <w:rPr>
      <w:rFonts w:ascii="Segoe UI" w:hAnsi="Segoe UI" w:cs="Segoe UI"/>
      <w:sz w:val="18"/>
      <w:szCs w:val="18"/>
    </w:rPr>
  </w:style>
  <w:style w:type="table" w:styleId="Elencochiaro-Colore2">
    <w:name w:val="Light List Accent 2"/>
    <w:basedOn w:val="Tabellanormale"/>
    <w:uiPriority w:val="61"/>
    <w:rsid w:val="00770BB7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B13C8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B13C8"/>
    <w:rPr>
      <w:rFonts w:ascii="Times New Roman" w:hAnsi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B13C8"/>
    <w:rPr>
      <w:vertAlign w:val="superscrip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line="240" w:lineRule="auto"/>
    </w:pPr>
    <w:rPr>
      <w:color w:val="000000"/>
      <w:sz w:val="18"/>
      <w:szCs w:val="1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DCEE"/>
    </w:tc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pPr>
      <w:spacing w:line="240" w:lineRule="auto"/>
    </w:pPr>
    <w:rPr>
      <w:color w:val="000000"/>
      <w:sz w:val="18"/>
      <w:szCs w:val="1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DCEE"/>
    </w:tcPr>
  </w:style>
  <w:style w:type="table" w:customStyle="1" w:styleId="a2">
    <w:basedOn w:val="TableNormal1"/>
    <w:pPr>
      <w:spacing w:line="240" w:lineRule="auto"/>
    </w:pPr>
    <w:rPr>
      <w:color w:val="000000"/>
      <w:sz w:val="18"/>
      <w:szCs w:val="1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DCEE"/>
    </w:tcPr>
  </w:style>
  <w:style w:type="table" w:customStyle="1" w:styleId="a3">
    <w:basedOn w:val="TableNormal1"/>
    <w:pPr>
      <w:spacing w:line="240" w:lineRule="auto"/>
    </w:pPr>
    <w:rPr>
      <w:color w:val="000000"/>
      <w:sz w:val="18"/>
      <w:szCs w:val="1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DCEE"/>
    </w:tcPr>
  </w:style>
  <w:style w:type="table" w:customStyle="1" w:styleId="a4">
    <w:basedOn w:val="TableNormal1"/>
    <w:pPr>
      <w:spacing w:line="240" w:lineRule="auto"/>
    </w:pPr>
    <w:rPr>
      <w:color w:val="000000"/>
      <w:sz w:val="18"/>
      <w:szCs w:val="1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DCEE"/>
    </w:tcPr>
  </w:style>
  <w:style w:type="table" w:customStyle="1" w:styleId="Table">
    <w:name w:val="Table"/>
    <w:basedOn w:val="Tabellanormale"/>
    <w:uiPriority w:val="99"/>
    <w:rsid w:val="00E3231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styleId="NormaleWeb">
    <w:name w:val="Normal (Web)"/>
    <w:basedOn w:val="Normale"/>
    <w:uiPriority w:val="99"/>
    <w:semiHidden/>
    <w:unhideWhenUsed/>
    <w:rsid w:val="00544F90"/>
    <w:pPr>
      <w:spacing w:before="100" w:beforeAutospacing="1" w:after="100" w:afterAutospacing="1" w:line="240" w:lineRule="auto"/>
    </w:pPr>
    <w:rPr>
      <w:lang w:val="it-IT"/>
    </w:rPr>
  </w:style>
  <w:style w:type="character" w:styleId="Enfasigrassetto">
    <w:name w:val="Strong"/>
    <w:basedOn w:val="Carpredefinitoparagrafo"/>
    <w:uiPriority w:val="22"/>
    <w:qFormat/>
    <w:rsid w:val="00544F90"/>
    <w:rPr>
      <w:b/>
      <w:bCs/>
    </w:rPr>
  </w:style>
  <w:style w:type="character" w:customStyle="1" w:styleId="il">
    <w:name w:val="il"/>
    <w:basedOn w:val="Carpredefinitoparagrafo"/>
    <w:rsid w:val="00544F90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44F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szCs w:val="20"/>
      <w:lang w:val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44F90"/>
    <w:rPr>
      <w:rFonts w:ascii="Courier New" w:hAnsi="Courier New" w:cs="Courier New"/>
      <w:sz w:val="20"/>
      <w:szCs w:val="20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2564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9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4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49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96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0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8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049945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17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792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606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82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63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93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2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GwO+5UnLyGydpRmzFZeKxwDgSw==">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</go:docsCustomData>
</go:gDocsCustomXmlDataStorage>
</file>

<file path=customXml/itemProps1.xml><?xml version="1.0" encoding="utf-8"?>
<ds:datastoreItem xmlns:ds="http://schemas.openxmlformats.org/officeDocument/2006/customXml" ds:itemID="{7B4C5A30-E1CE-47E8-AAC9-5311B56E3A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392</Words>
  <Characters>2237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F. Hoffmann-La Roche, Ltd.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Enzo Cappelluti</dc:creator>
  <cp:lastModifiedBy>Marco Bellone</cp:lastModifiedBy>
  <cp:revision>2</cp:revision>
  <dcterms:created xsi:type="dcterms:W3CDTF">2021-06-30T14:35:00Z</dcterms:created>
  <dcterms:modified xsi:type="dcterms:W3CDTF">2021-06-30T14:35:00Z</dcterms:modified>
</cp:coreProperties>
</file>