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AD93D" w14:textId="15C991C3" w:rsidR="00514082" w:rsidRPr="0064527A" w:rsidRDefault="0095255E" w:rsidP="00514082">
      <w:pPr>
        <w:rPr>
          <w:rFonts w:cstheme="minorHAnsi"/>
          <w:b/>
          <w:sz w:val="18"/>
          <w:szCs w:val="18"/>
          <w:lang w:val="en-US"/>
        </w:rPr>
      </w:pPr>
      <w:r w:rsidRPr="0095255E">
        <w:rPr>
          <w:rFonts w:cstheme="minorHAnsi"/>
          <w:b/>
          <w:sz w:val="28"/>
          <w:szCs w:val="28"/>
          <w:lang w:val="en-US"/>
        </w:rPr>
        <w:t>Electronic supplementary information</w:t>
      </w:r>
      <w:r w:rsidRPr="0095255E">
        <w:rPr>
          <w:rFonts w:cstheme="minorHAnsi"/>
          <w:b/>
          <w:sz w:val="18"/>
          <w:szCs w:val="18"/>
          <w:lang w:val="en-US"/>
        </w:rPr>
        <w:t xml:space="preserve"> </w:t>
      </w:r>
    </w:p>
    <w:p w14:paraId="0810B9D8" w14:textId="77777777" w:rsidR="00013C9A" w:rsidRPr="00BC498C" w:rsidRDefault="00013C9A" w:rsidP="00013C9A">
      <w:pPr>
        <w:rPr>
          <w:rFonts w:ascii="Arial" w:hAnsi="Arial" w:cs="Arial"/>
        </w:rPr>
      </w:pPr>
      <w:r w:rsidRPr="00BC498C">
        <w:rPr>
          <w:rFonts w:ascii="Arial" w:hAnsi="Arial" w:cs="Arial"/>
          <w:b/>
          <w:bCs/>
        </w:rPr>
        <w:t>Table S1.</w:t>
      </w:r>
      <w:r w:rsidRPr="00BC498C">
        <w:rPr>
          <w:rFonts w:ascii="Arial" w:hAnsi="Arial" w:cs="Arial"/>
        </w:rPr>
        <w:t xml:space="preserve"> IC</w:t>
      </w:r>
      <w:r w:rsidRPr="00BC498C">
        <w:rPr>
          <w:rFonts w:ascii="Arial" w:hAnsi="Arial" w:cs="Arial"/>
          <w:vertAlign w:val="subscript"/>
        </w:rPr>
        <w:t>50</w:t>
      </w:r>
      <w:r w:rsidRPr="00BC498C">
        <w:rPr>
          <w:rFonts w:ascii="Arial" w:hAnsi="Arial" w:cs="Arial"/>
        </w:rPr>
        <w:t xml:space="preserve"> of free DTX (using 1 </w:t>
      </w:r>
      <w:r w:rsidRPr="006A13EA">
        <w:rPr>
          <w:rFonts w:ascii="Arial" w:hAnsi="Arial" w:cs="Arial"/>
        </w:rPr>
        <w:t>mg/mL</w:t>
      </w:r>
      <w:r w:rsidRPr="008A7B7A">
        <w:rPr>
          <w:rFonts w:ascii="Arial" w:hAnsi="Arial" w:cs="Arial"/>
        </w:rPr>
        <w:t xml:space="preserve"> </w:t>
      </w:r>
      <w:r w:rsidRPr="00BC498C">
        <w:rPr>
          <w:rFonts w:ascii="Arial" w:hAnsi="Arial" w:cs="Arial"/>
        </w:rPr>
        <w:t>DTX solution in DMSO), DTX/</w:t>
      </w:r>
      <w:proofErr w:type="spellStart"/>
      <w:r w:rsidRPr="00BC498C">
        <w:rPr>
          <w:rFonts w:ascii="Arial" w:hAnsi="Arial" w:cs="Arial"/>
        </w:rPr>
        <w:t>Lipo</w:t>
      </w:r>
      <w:proofErr w:type="spellEnd"/>
      <w:r w:rsidRPr="00BC498C">
        <w:rPr>
          <w:rFonts w:ascii="Arial" w:hAnsi="Arial" w:cs="Arial"/>
        </w:rPr>
        <w:t>, and DTX/AE-</w:t>
      </w:r>
      <w:proofErr w:type="spellStart"/>
      <w:r w:rsidRPr="00BC498C">
        <w:rPr>
          <w:rFonts w:ascii="Arial" w:hAnsi="Arial" w:cs="Arial"/>
        </w:rPr>
        <w:t>Lipo</w:t>
      </w:r>
      <w:proofErr w:type="spellEnd"/>
      <w:r w:rsidRPr="00BC498C">
        <w:rPr>
          <w:rFonts w:ascii="Arial" w:hAnsi="Arial" w:cs="Arial"/>
        </w:rPr>
        <w:t xml:space="preserve"> in MDA-MB-231 cells when exposed to a series of equivalent concentrations of DTX for 48 h.</w:t>
      </w:r>
    </w:p>
    <w:tbl>
      <w:tblPr>
        <w:tblW w:w="4843" w:type="pct"/>
        <w:tblInd w:w="1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44"/>
        <w:gridCol w:w="6441"/>
      </w:tblGrid>
      <w:tr w:rsidR="00013C9A" w:rsidRPr="00013C9A" w14:paraId="1C80D96E" w14:textId="77777777" w:rsidTr="00BC498C">
        <w:trPr>
          <w:trHeight w:hRule="exact" w:val="567"/>
        </w:trPr>
        <w:tc>
          <w:tcPr>
            <w:tcW w:w="174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B64693" w14:textId="77777777" w:rsidR="00013C9A" w:rsidRPr="00BC498C" w:rsidRDefault="00013C9A" w:rsidP="00BC498C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BC498C">
              <w:rPr>
                <w:rFonts w:ascii="Arial" w:hAnsi="Arial" w:cs="Arial"/>
                <w:b/>
                <w:bCs/>
                <w:szCs w:val="20"/>
              </w:rPr>
              <w:t>Sample</w:t>
            </w:r>
          </w:p>
        </w:tc>
        <w:tc>
          <w:tcPr>
            <w:tcW w:w="325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BE243B" w14:textId="77777777" w:rsidR="00013C9A" w:rsidRPr="00BC498C" w:rsidRDefault="00013C9A" w:rsidP="00BC498C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BC498C">
              <w:rPr>
                <w:rFonts w:ascii="Arial" w:hAnsi="Arial" w:cs="Arial"/>
                <w:b/>
                <w:szCs w:val="20"/>
              </w:rPr>
              <w:t>IC</w:t>
            </w:r>
            <w:r w:rsidRPr="00BC498C">
              <w:rPr>
                <w:rFonts w:ascii="Arial" w:hAnsi="Arial" w:cs="Arial"/>
                <w:b/>
                <w:szCs w:val="20"/>
                <w:vertAlign w:val="subscript"/>
              </w:rPr>
              <w:t>50</w:t>
            </w:r>
            <w:r w:rsidRPr="00BC498C">
              <w:rPr>
                <w:rFonts w:ascii="Arial" w:hAnsi="Arial" w:cs="Arial"/>
                <w:b/>
                <w:szCs w:val="20"/>
              </w:rPr>
              <w:t xml:space="preserve"> of formulations in MDA-MB-231 cells</w:t>
            </w:r>
            <w:r w:rsidRPr="00BC498C" w:rsidDel="007316B9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Pr="00BC498C">
              <w:rPr>
                <w:rFonts w:ascii="Arial" w:hAnsi="Arial" w:cs="Arial"/>
                <w:b/>
                <w:bCs/>
                <w:szCs w:val="20"/>
              </w:rPr>
              <w:t>(</w:t>
            </w:r>
            <w:r w:rsidRPr="006A13EA">
              <w:rPr>
                <w:rFonts w:ascii="Arial" w:hAnsi="Arial" w:cs="Arial" w:hint="eastAsia"/>
                <w:b/>
                <w:szCs w:val="20"/>
              </w:rPr>
              <w:t>µ</w:t>
            </w:r>
            <w:r w:rsidRPr="006A13EA">
              <w:rPr>
                <w:rFonts w:ascii="Arial" w:hAnsi="Arial" w:cs="Arial"/>
                <w:b/>
                <w:szCs w:val="20"/>
              </w:rPr>
              <w:t>g/</w:t>
            </w:r>
            <w:r w:rsidRPr="006A13EA">
              <w:rPr>
                <w:rFonts w:ascii="Arial" w:hAnsi="Arial" w:cs="Arial"/>
                <w:b/>
                <w:bCs/>
                <w:szCs w:val="20"/>
              </w:rPr>
              <w:t>mL</w:t>
            </w:r>
            <w:r w:rsidRPr="00BC498C">
              <w:rPr>
                <w:rFonts w:ascii="Arial" w:hAnsi="Arial" w:cs="Arial"/>
                <w:b/>
                <w:bCs/>
                <w:szCs w:val="20"/>
              </w:rPr>
              <w:t>)</w:t>
            </w:r>
          </w:p>
        </w:tc>
      </w:tr>
      <w:tr w:rsidR="00013C9A" w:rsidRPr="00013C9A" w14:paraId="56B20C83" w14:textId="77777777" w:rsidTr="00BC498C">
        <w:trPr>
          <w:trHeight w:hRule="exact" w:val="567"/>
        </w:trPr>
        <w:tc>
          <w:tcPr>
            <w:tcW w:w="174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221D51" w14:textId="77777777" w:rsidR="00013C9A" w:rsidRPr="00BC498C" w:rsidRDefault="00013C9A" w:rsidP="00BC498C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C498C">
              <w:rPr>
                <w:rFonts w:ascii="Arial" w:hAnsi="Arial" w:cs="Arial"/>
                <w:szCs w:val="20"/>
              </w:rPr>
              <w:t>free DTX</w:t>
            </w:r>
          </w:p>
        </w:tc>
        <w:tc>
          <w:tcPr>
            <w:tcW w:w="325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CB636D" w14:textId="77777777" w:rsidR="00013C9A" w:rsidRPr="00BC498C" w:rsidRDefault="00013C9A" w:rsidP="00BC498C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C498C">
              <w:rPr>
                <w:rFonts w:ascii="Arial" w:hAnsi="Arial" w:cs="Arial"/>
                <w:szCs w:val="20"/>
              </w:rPr>
              <w:t>7.13 ± 0.51</w:t>
            </w:r>
          </w:p>
        </w:tc>
      </w:tr>
      <w:tr w:rsidR="00013C9A" w:rsidRPr="00013C9A" w14:paraId="2EDB15A2" w14:textId="77777777" w:rsidTr="00BC498C">
        <w:trPr>
          <w:trHeight w:hRule="exact" w:val="567"/>
        </w:trPr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96D51C" w14:textId="77777777" w:rsidR="00013C9A" w:rsidRPr="00BC498C" w:rsidRDefault="00013C9A" w:rsidP="00BC498C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C498C">
              <w:rPr>
                <w:rFonts w:ascii="Arial" w:hAnsi="Arial" w:cs="Arial"/>
                <w:szCs w:val="20"/>
              </w:rPr>
              <w:t>DTX/</w:t>
            </w:r>
            <w:proofErr w:type="spellStart"/>
            <w:r w:rsidRPr="00BC498C">
              <w:rPr>
                <w:rFonts w:ascii="Arial" w:hAnsi="Arial" w:cs="Arial"/>
                <w:szCs w:val="20"/>
              </w:rPr>
              <w:t>Lipo</w:t>
            </w:r>
            <w:proofErr w:type="spellEnd"/>
          </w:p>
        </w:tc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7A4CA4" w14:textId="77777777" w:rsidR="00013C9A" w:rsidRPr="00BC498C" w:rsidRDefault="00013C9A" w:rsidP="00BC498C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C498C">
              <w:rPr>
                <w:rFonts w:ascii="Arial" w:hAnsi="Arial" w:cs="Arial"/>
                <w:szCs w:val="20"/>
              </w:rPr>
              <w:t>8.68 ± 0.95</w:t>
            </w:r>
          </w:p>
        </w:tc>
      </w:tr>
      <w:tr w:rsidR="00013C9A" w:rsidRPr="00013C9A" w14:paraId="409813BE" w14:textId="77777777" w:rsidTr="00BC498C">
        <w:trPr>
          <w:trHeight w:hRule="exact" w:val="567"/>
        </w:trPr>
        <w:tc>
          <w:tcPr>
            <w:tcW w:w="174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D9AA77" w14:textId="77777777" w:rsidR="00013C9A" w:rsidRPr="00BC498C" w:rsidRDefault="00013C9A" w:rsidP="00BC498C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C498C">
              <w:rPr>
                <w:rFonts w:ascii="Arial" w:hAnsi="Arial" w:cs="Arial"/>
                <w:szCs w:val="20"/>
              </w:rPr>
              <w:t>DTX/AE-</w:t>
            </w:r>
            <w:proofErr w:type="spellStart"/>
            <w:r w:rsidRPr="00BC498C">
              <w:rPr>
                <w:rFonts w:ascii="Arial" w:hAnsi="Arial" w:cs="Arial"/>
                <w:szCs w:val="20"/>
              </w:rPr>
              <w:t>Lipo</w:t>
            </w:r>
            <w:proofErr w:type="spellEnd"/>
          </w:p>
        </w:tc>
        <w:tc>
          <w:tcPr>
            <w:tcW w:w="325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6D5D11" w14:textId="77777777" w:rsidR="00013C9A" w:rsidRPr="00BC498C" w:rsidRDefault="00013C9A" w:rsidP="00BC498C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C498C">
              <w:rPr>
                <w:rFonts w:ascii="Arial" w:hAnsi="Arial" w:cs="Arial"/>
                <w:szCs w:val="20"/>
              </w:rPr>
              <w:t>4.72 ± 1.08</w:t>
            </w:r>
          </w:p>
        </w:tc>
      </w:tr>
    </w:tbl>
    <w:p w14:paraId="253A2D34" w14:textId="3C75A790" w:rsidR="00013C9A" w:rsidRPr="00BC498C" w:rsidRDefault="00013C9A" w:rsidP="00013C9A">
      <w:pPr>
        <w:widowControl w:val="0"/>
        <w:spacing w:before="240"/>
        <w:rPr>
          <w:rFonts w:ascii="Arial" w:hAnsi="Arial" w:cs="Arial"/>
          <w:szCs w:val="20"/>
        </w:rPr>
      </w:pPr>
      <w:r w:rsidRPr="00BC498C">
        <w:rPr>
          <w:rFonts w:ascii="Arial" w:hAnsi="Arial" w:cs="Arial"/>
          <w:b/>
          <w:szCs w:val="20"/>
        </w:rPr>
        <w:t>Abbreviations:</w:t>
      </w:r>
      <w:r w:rsidRPr="00BC498C">
        <w:rPr>
          <w:rFonts w:ascii="Arial" w:hAnsi="Arial" w:cs="Arial"/>
          <w:szCs w:val="20"/>
        </w:rPr>
        <w:t xml:space="preserve"> DTX/</w:t>
      </w:r>
      <w:proofErr w:type="spellStart"/>
      <w:r w:rsidRPr="00BC498C">
        <w:rPr>
          <w:rFonts w:ascii="Arial" w:hAnsi="Arial" w:cs="Arial"/>
          <w:szCs w:val="20"/>
        </w:rPr>
        <w:t>Lipo</w:t>
      </w:r>
      <w:proofErr w:type="spellEnd"/>
      <w:r w:rsidRPr="00BC498C">
        <w:rPr>
          <w:rFonts w:ascii="Arial" w:hAnsi="Arial" w:cs="Arial"/>
          <w:szCs w:val="20"/>
        </w:rPr>
        <w:t>, DTX-loaded liposomes; DTX/AE-</w:t>
      </w:r>
      <w:proofErr w:type="spellStart"/>
      <w:r w:rsidRPr="00BC498C">
        <w:rPr>
          <w:rFonts w:ascii="Arial" w:hAnsi="Arial" w:cs="Arial"/>
          <w:szCs w:val="20"/>
        </w:rPr>
        <w:t>Lipo</w:t>
      </w:r>
      <w:proofErr w:type="spellEnd"/>
      <w:r w:rsidRPr="00BC498C">
        <w:rPr>
          <w:rFonts w:ascii="Arial" w:hAnsi="Arial" w:cs="Arial"/>
          <w:szCs w:val="20"/>
        </w:rPr>
        <w:t>, DTX-loaded targeting liposomes.</w:t>
      </w:r>
    </w:p>
    <w:p w14:paraId="08AA248B" w14:textId="77777777" w:rsidR="00013C9A" w:rsidRDefault="00013C9A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239F5AA2" w14:textId="59DDBD1D" w:rsidR="00A940B1" w:rsidRDefault="000008BE" w:rsidP="003C7562">
      <w:pPr>
        <w:pStyle w:val="EndNoteBibliography"/>
        <w:spacing w:after="0" w:line="480" w:lineRule="auto"/>
        <w:jc w:val="left"/>
        <w:rPr>
          <w:rFonts w:ascii="Arial" w:eastAsia="Malgun Gothic" w:hAnsi="Arial" w:cs="Arial"/>
          <w:b/>
          <w:bCs/>
          <w:noProof w:val="0"/>
          <w:sz w:val="20"/>
          <w:szCs w:val="24"/>
          <w:highlight w:val="yellow"/>
        </w:rPr>
      </w:pPr>
      <w:r>
        <w:rPr>
          <w:rFonts w:ascii="Arial" w:eastAsia="Malgun Gothic" w:hAnsi="Arial" w:cs="Arial"/>
          <w:b/>
          <w:bCs/>
          <w:sz w:val="20"/>
          <w:szCs w:val="24"/>
          <w:lang w:eastAsia="ko-KR"/>
        </w:rPr>
        <w:lastRenderedPageBreak/>
        <w:drawing>
          <wp:inline distT="0" distB="0" distL="0" distR="0" wp14:anchorId="13250B04" wp14:editId="19D8F124">
            <wp:extent cx="6445250" cy="4927981"/>
            <wp:effectExtent l="0" t="0" r="0" b="635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4705" cy="4950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C9DD4" w14:textId="160D9F27" w:rsidR="003C7562" w:rsidRPr="006A13EA" w:rsidRDefault="003C7562" w:rsidP="00BC498C">
      <w:pPr>
        <w:pStyle w:val="EndNoteBibliography"/>
        <w:spacing w:after="0" w:line="480" w:lineRule="auto"/>
        <w:jc w:val="left"/>
        <w:rPr>
          <w:rFonts w:ascii="Arial" w:eastAsia="Malgun Gothic" w:hAnsi="Arial" w:cs="Arial"/>
          <w:sz w:val="20"/>
          <w:szCs w:val="24"/>
        </w:rPr>
      </w:pPr>
      <w:r w:rsidRPr="006A13EA">
        <w:rPr>
          <w:rFonts w:ascii="Arial" w:eastAsia="Malgun Gothic" w:hAnsi="Arial" w:cs="Arial"/>
          <w:b/>
          <w:bCs/>
          <w:noProof w:val="0"/>
          <w:sz w:val="20"/>
          <w:szCs w:val="24"/>
        </w:rPr>
        <w:t>Figure S1.</w:t>
      </w:r>
      <w:r w:rsidRPr="006A13EA">
        <w:rPr>
          <w:rFonts w:ascii="Arial" w:eastAsia="Malgun Gothic" w:hAnsi="Arial" w:cs="Arial"/>
          <w:sz w:val="20"/>
          <w:szCs w:val="24"/>
        </w:rPr>
        <w:t xml:space="preserve"> (A) Validation of synthesized DSPE-PEG-Ce6 by </w:t>
      </w:r>
      <w:r w:rsidRPr="006A13EA">
        <w:rPr>
          <w:rFonts w:ascii="Arial" w:eastAsia="Malgun Gothic" w:hAnsi="Arial" w:cs="Arial"/>
          <w:sz w:val="20"/>
          <w:szCs w:val="24"/>
          <w:vertAlign w:val="superscript"/>
        </w:rPr>
        <w:t>1</w:t>
      </w:r>
      <w:r w:rsidRPr="006A13EA">
        <w:rPr>
          <w:rFonts w:ascii="Arial" w:eastAsia="Malgun Gothic" w:hAnsi="Arial" w:cs="Arial"/>
          <w:sz w:val="20"/>
          <w:szCs w:val="24"/>
        </w:rPr>
        <w:t>H NMR and (B) size distribution of Ce6-Lipo and Ce6-AE-Lipo.</w:t>
      </w:r>
    </w:p>
    <w:p w14:paraId="170FB352" w14:textId="2AACDAC7" w:rsidR="003C7562" w:rsidRPr="00BC498C" w:rsidRDefault="003C7562" w:rsidP="003C7562">
      <w:pPr>
        <w:widowControl w:val="0"/>
        <w:jc w:val="both"/>
        <w:rPr>
          <w:rFonts w:ascii="Arial" w:hAnsi="Arial" w:cs="Arial"/>
          <w:b/>
          <w:bCs/>
        </w:rPr>
      </w:pPr>
      <w:r w:rsidRPr="006A13EA">
        <w:rPr>
          <w:rFonts w:ascii="Arial" w:eastAsia="Malgun Gothic" w:hAnsi="Arial" w:cs="Arial"/>
          <w:b/>
          <w:bCs/>
          <w:sz w:val="20"/>
          <w:szCs w:val="24"/>
          <w:lang w:val="en-US"/>
        </w:rPr>
        <w:t xml:space="preserve">Abbreviations: </w:t>
      </w:r>
      <w:r w:rsidR="00D61E74" w:rsidRPr="001D2BC1">
        <w:rPr>
          <w:rFonts w:ascii="Arial" w:eastAsia="Malgun Gothic" w:hAnsi="Arial" w:cs="Arial"/>
          <w:sz w:val="20"/>
          <w:szCs w:val="20"/>
          <w:lang w:val="en-US"/>
        </w:rPr>
        <w:t xml:space="preserve">Ce6-Lipo, Ce6 conjugated </w:t>
      </w:r>
      <w:proofErr w:type="spellStart"/>
      <w:r w:rsidR="00D61E74" w:rsidRPr="001D2BC1">
        <w:rPr>
          <w:rFonts w:ascii="Arial" w:eastAsia="Malgun Gothic" w:hAnsi="Arial" w:cs="Arial"/>
          <w:sz w:val="20"/>
          <w:szCs w:val="20"/>
          <w:lang w:val="en-US"/>
        </w:rPr>
        <w:t>Lipo</w:t>
      </w:r>
      <w:proofErr w:type="spellEnd"/>
      <w:r w:rsidR="00D61E74">
        <w:rPr>
          <w:rFonts w:ascii="Arial" w:eastAsia="Malgun Gothic" w:hAnsi="Arial" w:cs="Arial"/>
          <w:sz w:val="20"/>
          <w:szCs w:val="20"/>
          <w:lang w:val="en-US"/>
        </w:rPr>
        <w:t>;</w:t>
      </w:r>
      <w:r w:rsidR="00D61E74" w:rsidRPr="00574158">
        <w:rPr>
          <w:rFonts w:ascii="Arial" w:eastAsia="Malgun Gothic" w:hAnsi="Arial" w:cs="Arial"/>
          <w:sz w:val="20"/>
          <w:szCs w:val="20"/>
          <w:lang w:val="en-US"/>
        </w:rPr>
        <w:t xml:space="preserve"> </w:t>
      </w:r>
      <w:r w:rsidRPr="006A13EA">
        <w:rPr>
          <w:rFonts w:ascii="Arial" w:eastAsia="Malgun Gothic" w:hAnsi="Arial" w:cs="Arial"/>
          <w:sz w:val="20"/>
          <w:szCs w:val="20"/>
          <w:lang w:val="en-US"/>
        </w:rPr>
        <w:t>Ce6-AE-Lipo, Ce6 conjugated AE-</w:t>
      </w:r>
      <w:proofErr w:type="spellStart"/>
      <w:r w:rsidRPr="006A13EA">
        <w:rPr>
          <w:rFonts w:ascii="Arial" w:eastAsia="Malgun Gothic" w:hAnsi="Arial" w:cs="Arial"/>
          <w:sz w:val="20"/>
          <w:szCs w:val="20"/>
          <w:lang w:val="en-US"/>
        </w:rPr>
        <w:t>Lipo</w:t>
      </w:r>
      <w:proofErr w:type="spellEnd"/>
      <w:r w:rsidRPr="006A13EA">
        <w:rPr>
          <w:rFonts w:ascii="Arial" w:eastAsia="Malgun Gothic" w:hAnsi="Arial" w:cs="Arial"/>
          <w:sz w:val="20"/>
          <w:szCs w:val="20"/>
          <w:lang w:val="en-US"/>
        </w:rPr>
        <w:t>.</w:t>
      </w:r>
    </w:p>
    <w:p w14:paraId="505F1A71" w14:textId="2A32E747" w:rsidR="00A940B1" w:rsidRDefault="00A940B1">
      <w:pPr>
        <w:spacing w:after="160"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br w:type="page"/>
      </w:r>
    </w:p>
    <w:p w14:paraId="7DDF6482" w14:textId="4451C495" w:rsidR="003C7562" w:rsidRPr="00BC498C" w:rsidRDefault="000008BE" w:rsidP="003C7562">
      <w:pPr>
        <w:pStyle w:val="EndNoteBibliography"/>
        <w:spacing w:line="480" w:lineRule="auto"/>
        <w:rPr>
          <w:rFonts w:ascii="Arial" w:hAnsi="Arial" w:cs="Arial"/>
          <w:noProof w:val="0"/>
          <w:sz w:val="22"/>
        </w:rPr>
      </w:pPr>
      <w:r>
        <w:rPr>
          <w:rFonts w:ascii="Arial" w:hAnsi="Arial" w:cs="Arial"/>
          <w:sz w:val="22"/>
        </w:rPr>
        <w:lastRenderedPageBreak/>
        <w:drawing>
          <wp:inline distT="0" distB="0" distL="0" distR="0" wp14:anchorId="7EFC971E" wp14:editId="61D3B6ED">
            <wp:extent cx="6493216" cy="3968750"/>
            <wp:effectExtent l="0" t="0" r="3175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그림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9895" cy="3978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65018" w14:textId="77777777" w:rsidR="003C7562" w:rsidRPr="00BC498C" w:rsidRDefault="003C7562" w:rsidP="003C7562">
      <w:pPr>
        <w:rPr>
          <w:rFonts w:ascii="Arial" w:eastAsia="Malgun Gothic" w:hAnsi="Arial" w:cs="Arial"/>
          <w:noProof/>
          <w:sz w:val="20"/>
          <w:szCs w:val="24"/>
          <w:lang w:val="en-US"/>
        </w:rPr>
      </w:pPr>
      <w:r w:rsidRPr="00BC498C">
        <w:rPr>
          <w:rFonts w:ascii="Arial" w:eastAsia="Malgun Gothic" w:hAnsi="Arial" w:cs="Arial"/>
          <w:b/>
          <w:bCs/>
          <w:sz w:val="20"/>
          <w:szCs w:val="24"/>
          <w:lang w:val="en-US"/>
        </w:rPr>
        <w:t>Figure S2.</w:t>
      </w:r>
      <w:r w:rsidRPr="00BC498C">
        <w:rPr>
          <w:rFonts w:ascii="Arial" w:hAnsi="Arial" w:cs="Arial"/>
          <w:b/>
          <w:bCs/>
        </w:rPr>
        <w:t xml:space="preserve"> </w:t>
      </w:r>
      <w:r w:rsidRPr="00BC498C">
        <w:rPr>
          <w:rFonts w:ascii="Arial" w:eastAsia="Malgun Gothic" w:hAnsi="Arial" w:cs="Arial"/>
          <w:noProof/>
          <w:sz w:val="20"/>
          <w:szCs w:val="24"/>
          <w:lang w:val="en-US"/>
        </w:rPr>
        <w:t>Stability of DTX/Lipo and DTX/AE-Lipo.</w:t>
      </w:r>
    </w:p>
    <w:p w14:paraId="1ABB89E7" w14:textId="77777777" w:rsidR="003C7562" w:rsidRPr="00BC498C" w:rsidRDefault="003C7562" w:rsidP="003C7562">
      <w:pPr>
        <w:widowControl w:val="0"/>
        <w:jc w:val="both"/>
        <w:rPr>
          <w:rFonts w:ascii="Arial" w:hAnsi="Arial" w:cs="Arial"/>
          <w:noProof/>
        </w:rPr>
      </w:pPr>
      <w:r w:rsidRPr="00BC498C">
        <w:rPr>
          <w:rFonts w:ascii="Arial" w:eastAsia="Malgun Gothic" w:hAnsi="Arial" w:cs="Arial"/>
          <w:b/>
          <w:bCs/>
          <w:sz w:val="20"/>
          <w:szCs w:val="24"/>
          <w:lang w:val="en-US"/>
        </w:rPr>
        <w:t>Abbreviations:</w:t>
      </w:r>
      <w:r w:rsidRPr="00BC498C">
        <w:rPr>
          <w:rFonts w:ascii="Arial" w:hAnsi="Arial" w:cs="Arial"/>
        </w:rPr>
        <w:t xml:space="preserve"> </w:t>
      </w:r>
      <w:r w:rsidRPr="00BC498C">
        <w:rPr>
          <w:rFonts w:ascii="Arial" w:eastAsia="Malgun Gothic" w:hAnsi="Arial" w:cs="Arial"/>
          <w:sz w:val="20"/>
          <w:szCs w:val="20"/>
          <w:lang w:val="en-US"/>
        </w:rPr>
        <w:t>DTX/</w:t>
      </w:r>
      <w:proofErr w:type="spellStart"/>
      <w:r w:rsidRPr="00BC498C">
        <w:rPr>
          <w:rFonts w:ascii="Arial" w:eastAsia="Malgun Gothic" w:hAnsi="Arial" w:cs="Arial"/>
          <w:sz w:val="20"/>
          <w:szCs w:val="20"/>
          <w:lang w:val="en-US"/>
        </w:rPr>
        <w:t>Lipo</w:t>
      </w:r>
      <w:proofErr w:type="spellEnd"/>
      <w:r w:rsidRPr="00BC498C">
        <w:rPr>
          <w:rFonts w:ascii="Arial" w:eastAsia="Malgun Gothic" w:hAnsi="Arial" w:cs="Arial"/>
          <w:sz w:val="20"/>
          <w:szCs w:val="20"/>
          <w:lang w:val="en-US"/>
        </w:rPr>
        <w:t>, DTX-loaded liposomes; DTX/AE-</w:t>
      </w:r>
      <w:proofErr w:type="spellStart"/>
      <w:r w:rsidRPr="00BC498C">
        <w:rPr>
          <w:rFonts w:ascii="Arial" w:eastAsia="Malgun Gothic" w:hAnsi="Arial" w:cs="Arial"/>
          <w:sz w:val="20"/>
          <w:szCs w:val="20"/>
          <w:lang w:val="en-US"/>
        </w:rPr>
        <w:t>Lipo</w:t>
      </w:r>
      <w:proofErr w:type="spellEnd"/>
      <w:r w:rsidRPr="00BC498C">
        <w:rPr>
          <w:rFonts w:ascii="Arial" w:eastAsia="Malgun Gothic" w:hAnsi="Arial" w:cs="Arial"/>
          <w:sz w:val="20"/>
          <w:szCs w:val="20"/>
          <w:lang w:val="en-US"/>
        </w:rPr>
        <w:t>, DTX-loaded targeting liposomes.</w:t>
      </w:r>
    </w:p>
    <w:p w14:paraId="27A62D06" w14:textId="6D177D30" w:rsidR="00A940B1" w:rsidRDefault="00A940B1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92A83CA" w14:textId="5EF0A2BA" w:rsidR="003C7562" w:rsidRPr="00BC498C" w:rsidRDefault="00A940B1" w:rsidP="00BC498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ko-KR"/>
        </w:rPr>
        <w:lastRenderedPageBreak/>
        <w:drawing>
          <wp:inline distT="0" distB="0" distL="0" distR="0" wp14:anchorId="509FA6BD" wp14:editId="0E2B66E5">
            <wp:extent cx="5195284" cy="4707501"/>
            <wp:effectExtent l="0" t="0" r="5715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7499" cy="472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A0B4F" w14:textId="77777777" w:rsidR="003C7562" w:rsidRPr="00BC498C" w:rsidRDefault="003C7562" w:rsidP="003C7562">
      <w:pPr>
        <w:rPr>
          <w:rFonts w:ascii="Arial" w:hAnsi="Arial" w:cs="Arial"/>
        </w:rPr>
      </w:pPr>
      <w:r w:rsidRPr="00BC498C">
        <w:rPr>
          <w:rFonts w:ascii="Arial" w:eastAsia="Malgun Gothic" w:hAnsi="Arial" w:cs="Arial"/>
          <w:b/>
          <w:bCs/>
          <w:sz w:val="20"/>
          <w:szCs w:val="24"/>
          <w:lang w:val="en-US"/>
        </w:rPr>
        <w:t xml:space="preserve">Figure S3. </w:t>
      </w:r>
      <w:r w:rsidRPr="00BC498C">
        <w:rPr>
          <w:rFonts w:ascii="Arial" w:eastAsia="Malgun Gothic" w:hAnsi="Arial" w:cs="Arial"/>
          <w:noProof/>
          <w:sz w:val="20"/>
          <w:szCs w:val="24"/>
          <w:lang w:val="en-US"/>
        </w:rPr>
        <w:t xml:space="preserve">Cell viability of MCF-7 cells treated with free DTX (using 1 </w:t>
      </w:r>
      <w:r w:rsidRPr="006A13EA">
        <w:rPr>
          <w:rFonts w:ascii="Arial" w:eastAsia="Malgun Gothic" w:hAnsi="Arial" w:cs="Arial"/>
          <w:noProof/>
          <w:sz w:val="20"/>
          <w:szCs w:val="24"/>
          <w:lang w:val="en-US"/>
        </w:rPr>
        <w:t>mg/mL</w:t>
      </w:r>
      <w:r w:rsidRPr="00BC498C">
        <w:rPr>
          <w:rFonts w:ascii="Arial" w:eastAsia="Malgun Gothic" w:hAnsi="Arial" w:cs="Arial"/>
          <w:noProof/>
          <w:sz w:val="20"/>
          <w:szCs w:val="24"/>
          <w:lang w:val="en-US"/>
        </w:rPr>
        <w:t xml:space="preserve"> DTX solution in DMSO), DTX/Lipo and DTX/AE-Lipo used in a series of equivalent concentrations of DTX for 48 h.</w:t>
      </w:r>
    </w:p>
    <w:p w14:paraId="5B309E27" w14:textId="77777777" w:rsidR="003C7562" w:rsidRPr="00BC498C" w:rsidRDefault="003C7562" w:rsidP="003C7562">
      <w:pPr>
        <w:widowControl w:val="0"/>
        <w:jc w:val="both"/>
        <w:rPr>
          <w:rFonts w:ascii="Arial" w:hAnsi="Arial" w:cs="Arial"/>
          <w:noProof/>
        </w:rPr>
      </w:pPr>
      <w:r w:rsidRPr="00BC498C">
        <w:rPr>
          <w:rFonts w:ascii="Arial" w:eastAsia="Malgun Gothic" w:hAnsi="Arial" w:cs="Arial"/>
          <w:b/>
          <w:bCs/>
          <w:sz w:val="20"/>
          <w:szCs w:val="24"/>
          <w:lang w:val="en-US"/>
        </w:rPr>
        <w:t>Abbreviations:</w:t>
      </w:r>
      <w:r w:rsidRPr="00BC498C">
        <w:rPr>
          <w:rFonts w:ascii="Arial" w:hAnsi="Arial" w:cs="Arial"/>
        </w:rPr>
        <w:t xml:space="preserve"> </w:t>
      </w:r>
      <w:r w:rsidRPr="00BC498C">
        <w:rPr>
          <w:rFonts w:ascii="Arial" w:eastAsia="Malgun Gothic" w:hAnsi="Arial" w:cs="Arial"/>
          <w:sz w:val="20"/>
          <w:szCs w:val="20"/>
          <w:lang w:val="en-US"/>
        </w:rPr>
        <w:t>DTX/</w:t>
      </w:r>
      <w:proofErr w:type="spellStart"/>
      <w:r w:rsidRPr="00BC498C">
        <w:rPr>
          <w:rFonts w:ascii="Arial" w:eastAsia="Malgun Gothic" w:hAnsi="Arial" w:cs="Arial"/>
          <w:sz w:val="20"/>
          <w:szCs w:val="20"/>
          <w:lang w:val="en-US"/>
        </w:rPr>
        <w:t>Lipo</w:t>
      </w:r>
      <w:proofErr w:type="spellEnd"/>
      <w:r w:rsidRPr="00BC498C">
        <w:rPr>
          <w:rFonts w:ascii="Arial" w:eastAsia="Malgun Gothic" w:hAnsi="Arial" w:cs="Arial"/>
          <w:sz w:val="20"/>
          <w:szCs w:val="20"/>
          <w:lang w:val="en-US"/>
        </w:rPr>
        <w:t>, DTX-loaded liposomes; DTX/AE-</w:t>
      </w:r>
      <w:proofErr w:type="spellStart"/>
      <w:r w:rsidRPr="00BC498C">
        <w:rPr>
          <w:rFonts w:ascii="Arial" w:eastAsia="Malgun Gothic" w:hAnsi="Arial" w:cs="Arial"/>
          <w:sz w:val="20"/>
          <w:szCs w:val="20"/>
          <w:lang w:val="en-US"/>
        </w:rPr>
        <w:t>Lipo</w:t>
      </w:r>
      <w:proofErr w:type="spellEnd"/>
      <w:r w:rsidRPr="00BC498C">
        <w:rPr>
          <w:rFonts w:ascii="Arial" w:eastAsia="Malgun Gothic" w:hAnsi="Arial" w:cs="Arial"/>
          <w:sz w:val="20"/>
          <w:szCs w:val="20"/>
          <w:lang w:val="en-US"/>
        </w:rPr>
        <w:t>, DTX-loaded targeting liposomes.</w:t>
      </w:r>
    </w:p>
    <w:p w14:paraId="733030CE" w14:textId="32172420" w:rsidR="00A940B1" w:rsidRDefault="00A940B1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CD1BDA9" w14:textId="3E9C302F" w:rsidR="003C7562" w:rsidRPr="00BC498C" w:rsidRDefault="00A940B1" w:rsidP="003C7562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 w:eastAsia="ko-KR"/>
        </w:rPr>
        <w:lastRenderedPageBreak/>
        <w:drawing>
          <wp:inline distT="0" distB="0" distL="0" distR="0" wp14:anchorId="08F15E48" wp14:editId="2253D0DE">
            <wp:extent cx="6426017" cy="2683484"/>
            <wp:effectExtent l="0" t="0" r="0" b="317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992" cy="270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D4B98" w14:textId="77777777" w:rsidR="003C7562" w:rsidRPr="006A13EA" w:rsidRDefault="003C7562" w:rsidP="003C7562">
      <w:pPr>
        <w:pStyle w:val="EndNoteBibliography"/>
        <w:spacing w:line="480" w:lineRule="auto"/>
        <w:rPr>
          <w:rFonts w:ascii="Arial" w:eastAsia="Malgun Gothic" w:hAnsi="Arial" w:cs="Arial"/>
          <w:sz w:val="20"/>
          <w:szCs w:val="24"/>
        </w:rPr>
      </w:pPr>
      <w:r w:rsidRPr="006A13EA">
        <w:rPr>
          <w:rFonts w:ascii="Arial" w:eastAsia="Malgun Gothic" w:hAnsi="Arial" w:cs="Arial"/>
          <w:b/>
          <w:bCs/>
          <w:noProof w:val="0"/>
          <w:sz w:val="20"/>
          <w:szCs w:val="24"/>
        </w:rPr>
        <w:t xml:space="preserve">Figure S4. </w:t>
      </w:r>
      <w:r w:rsidRPr="006A13EA">
        <w:rPr>
          <w:rFonts w:ascii="Arial" w:eastAsia="Malgun Gothic" w:hAnsi="Arial" w:cs="Arial"/>
          <w:sz w:val="20"/>
          <w:szCs w:val="24"/>
        </w:rPr>
        <w:t>(A) Overall fluorescence intensity of accumulated systems in each organ and (B) the fluorescence intensity of each organ normalized by sum of total fluorescence intensity from all organs.</w:t>
      </w:r>
    </w:p>
    <w:p w14:paraId="10CDDB27" w14:textId="45D964C8" w:rsidR="00BB57DB" w:rsidRPr="00514082" w:rsidRDefault="003C7562">
      <w:pPr>
        <w:rPr>
          <w:lang w:val="en-US"/>
        </w:rPr>
      </w:pPr>
      <w:r w:rsidRPr="006A13EA">
        <w:rPr>
          <w:rFonts w:ascii="Arial" w:eastAsia="Malgun Gothic" w:hAnsi="Arial" w:cs="Arial"/>
          <w:b/>
          <w:bCs/>
          <w:sz w:val="20"/>
          <w:szCs w:val="24"/>
          <w:lang w:val="en-US"/>
        </w:rPr>
        <w:t>Abbreviations:</w:t>
      </w:r>
      <w:r w:rsidRPr="006A13EA">
        <w:rPr>
          <w:rFonts w:ascii="Arial" w:hAnsi="Arial" w:cs="Arial"/>
          <w:b/>
        </w:rPr>
        <w:t xml:space="preserve"> </w:t>
      </w:r>
      <w:r w:rsidRPr="006A13EA">
        <w:rPr>
          <w:rFonts w:ascii="Arial" w:eastAsia="Malgun Gothic" w:hAnsi="Arial" w:cs="Arial"/>
          <w:sz w:val="20"/>
          <w:szCs w:val="20"/>
          <w:lang w:val="en-US"/>
        </w:rPr>
        <w:t>Ce6-AE-Lipo, Ce6 conjugated AE-</w:t>
      </w:r>
      <w:proofErr w:type="spellStart"/>
      <w:r w:rsidRPr="006A13EA">
        <w:rPr>
          <w:rFonts w:ascii="Arial" w:eastAsia="Malgun Gothic" w:hAnsi="Arial" w:cs="Arial"/>
          <w:sz w:val="20"/>
          <w:szCs w:val="20"/>
          <w:lang w:val="en-US"/>
        </w:rPr>
        <w:t>Lipo</w:t>
      </w:r>
      <w:proofErr w:type="spellEnd"/>
      <w:r w:rsidRPr="006A13EA">
        <w:rPr>
          <w:rFonts w:ascii="Arial" w:eastAsia="Malgun Gothic" w:hAnsi="Arial" w:cs="Arial"/>
          <w:sz w:val="20"/>
          <w:szCs w:val="20"/>
          <w:lang w:val="en-US"/>
        </w:rPr>
        <w:t xml:space="preserve">; Ce6-Lipo, Ce6 conjugated </w:t>
      </w:r>
      <w:proofErr w:type="spellStart"/>
      <w:r w:rsidRPr="006A13EA">
        <w:rPr>
          <w:rFonts w:ascii="Arial" w:eastAsia="Malgun Gothic" w:hAnsi="Arial" w:cs="Arial"/>
          <w:sz w:val="20"/>
          <w:szCs w:val="20"/>
          <w:lang w:val="en-US"/>
        </w:rPr>
        <w:t>Lipo</w:t>
      </w:r>
      <w:proofErr w:type="spellEnd"/>
      <w:r w:rsidRPr="006A13EA">
        <w:rPr>
          <w:rFonts w:ascii="Arial" w:eastAsia="Malgun Gothic" w:hAnsi="Arial" w:cs="Arial"/>
          <w:sz w:val="20"/>
          <w:szCs w:val="20"/>
          <w:lang w:val="en-US"/>
        </w:rPr>
        <w:t>.</w:t>
      </w:r>
    </w:p>
    <w:sectPr w:rsidR="00BB57DB" w:rsidRPr="00514082" w:rsidSect="00514082">
      <w:pgSz w:w="11907" w:h="16840" w:code="9"/>
      <w:pgMar w:top="1009" w:right="851" w:bottom="1758" w:left="851" w:header="851" w:footer="1049" w:gutter="0"/>
      <w:cols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5394D" w14:textId="77777777" w:rsidR="00C32F90" w:rsidRDefault="00C32F90" w:rsidP="00BB57DB">
      <w:pPr>
        <w:spacing w:after="0" w:line="240" w:lineRule="auto"/>
      </w:pPr>
      <w:r>
        <w:separator/>
      </w:r>
    </w:p>
  </w:endnote>
  <w:endnote w:type="continuationSeparator" w:id="0">
    <w:p w14:paraId="3FF2A4A0" w14:textId="77777777" w:rsidR="00C32F90" w:rsidRDefault="00C32F90" w:rsidP="00BB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70EF1" w14:textId="77777777" w:rsidR="00C32F90" w:rsidRDefault="00C32F90" w:rsidP="00BB57DB">
      <w:pPr>
        <w:spacing w:after="0" w:line="240" w:lineRule="auto"/>
      </w:pPr>
      <w:r>
        <w:separator/>
      </w:r>
    </w:p>
  </w:footnote>
  <w:footnote w:type="continuationSeparator" w:id="0">
    <w:p w14:paraId="6767E025" w14:textId="77777777" w:rsidR="00C32F90" w:rsidRDefault="00C32F90" w:rsidP="00BB5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C4793E"/>
    <w:multiLevelType w:val="hybridMultilevel"/>
    <w:tmpl w:val="1E5E52AA"/>
    <w:lvl w:ilvl="0" w:tplc="56CAF6AA">
      <w:start w:val="1"/>
      <w:numFmt w:val="decimal"/>
      <w:pStyle w:val="RSCR02References"/>
      <w:lvlText w:val="%1"/>
      <w:lvlJc w:val="left"/>
      <w:pPr>
        <w:ind w:left="720" w:hanging="360"/>
      </w:pPr>
      <w:rPr>
        <w:rFonts w:hint="default"/>
      </w:rPr>
    </w:lvl>
    <w:lvl w:ilvl="1" w:tplc="743804B6" w:tentative="1">
      <w:start w:val="1"/>
      <w:numFmt w:val="lowerLetter"/>
      <w:lvlText w:val="%2."/>
      <w:lvlJc w:val="left"/>
      <w:pPr>
        <w:ind w:left="1440" w:hanging="360"/>
      </w:pPr>
    </w:lvl>
    <w:lvl w:ilvl="2" w:tplc="F36C1AB8" w:tentative="1">
      <w:start w:val="1"/>
      <w:numFmt w:val="lowerRoman"/>
      <w:lvlText w:val="%3."/>
      <w:lvlJc w:val="right"/>
      <w:pPr>
        <w:ind w:left="2160" w:hanging="180"/>
      </w:pPr>
    </w:lvl>
    <w:lvl w:ilvl="3" w:tplc="68B6AAA8" w:tentative="1">
      <w:start w:val="1"/>
      <w:numFmt w:val="decimal"/>
      <w:lvlText w:val="%4."/>
      <w:lvlJc w:val="left"/>
      <w:pPr>
        <w:ind w:left="2880" w:hanging="360"/>
      </w:pPr>
    </w:lvl>
    <w:lvl w:ilvl="4" w:tplc="6C50B322" w:tentative="1">
      <w:start w:val="1"/>
      <w:numFmt w:val="lowerLetter"/>
      <w:lvlText w:val="%5."/>
      <w:lvlJc w:val="left"/>
      <w:pPr>
        <w:ind w:left="3600" w:hanging="360"/>
      </w:pPr>
    </w:lvl>
    <w:lvl w:ilvl="5" w:tplc="921822CE" w:tentative="1">
      <w:start w:val="1"/>
      <w:numFmt w:val="lowerRoman"/>
      <w:lvlText w:val="%6."/>
      <w:lvlJc w:val="right"/>
      <w:pPr>
        <w:ind w:left="4320" w:hanging="180"/>
      </w:pPr>
    </w:lvl>
    <w:lvl w:ilvl="6" w:tplc="AA3AE10C" w:tentative="1">
      <w:start w:val="1"/>
      <w:numFmt w:val="decimal"/>
      <w:lvlText w:val="%7."/>
      <w:lvlJc w:val="left"/>
      <w:pPr>
        <w:ind w:left="5040" w:hanging="360"/>
      </w:pPr>
    </w:lvl>
    <w:lvl w:ilvl="7" w:tplc="34A2B03C" w:tentative="1">
      <w:start w:val="1"/>
      <w:numFmt w:val="lowerLetter"/>
      <w:lvlText w:val="%8."/>
      <w:lvlJc w:val="left"/>
      <w:pPr>
        <w:ind w:left="5760" w:hanging="360"/>
      </w:pPr>
    </w:lvl>
    <w:lvl w:ilvl="8" w:tplc="6540B74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25A"/>
    <w:rsid w:val="000008BE"/>
    <w:rsid w:val="000072E7"/>
    <w:rsid w:val="00013C9A"/>
    <w:rsid w:val="000859C5"/>
    <w:rsid w:val="003530DD"/>
    <w:rsid w:val="00393965"/>
    <w:rsid w:val="003C7562"/>
    <w:rsid w:val="00514082"/>
    <w:rsid w:val="00574158"/>
    <w:rsid w:val="0059013A"/>
    <w:rsid w:val="00590E9C"/>
    <w:rsid w:val="006145E9"/>
    <w:rsid w:val="0064527A"/>
    <w:rsid w:val="006A13EA"/>
    <w:rsid w:val="006B24E5"/>
    <w:rsid w:val="007316B9"/>
    <w:rsid w:val="00795486"/>
    <w:rsid w:val="007B0765"/>
    <w:rsid w:val="008334AB"/>
    <w:rsid w:val="00896F91"/>
    <w:rsid w:val="008A7B7A"/>
    <w:rsid w:val="0095255E"/>
    <w:rsid w:val="0095725A"/>
    <w:rsid w:val="00A940B1"/>
    <w:rsid w:val="00A97F90"/>
    <w:rsid w:val="00AB3B5E"/>
    <w:rsid w:val="00AD3995"/>
    <w:rsid w:val="00AD6C54"/>
    <w:rsid w:val="00B74292"/>
    <w:rsid w:val="00BA496F"/>
    <w:rsid w:val="00BB57DB"/>
    <w:rsid w:val="00BC498C"/>
    <w:rsid w:val="00C32F90"/>
    <w:rsid w:val="00D10351"/>
    <w:rsid w:val="00D4702B"/>
    <w:rsid w:val="00D61E74"/>
    <w:rsid w:val="00E2338E"/>
    <w:rsid w:val="00E3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996A1"/>
  <w15:chartTrackingRefBased/>
  <w15:docId w15:val="{14CCB166-1A8C-4479-9925-1CB0AB94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082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SCR02References">
    <w:name w:val="RSC R02 References"/>
    <w:basedOn w:val="Normal"/>
    <w:link w:val="RSCR02ReferencesChar"/>
    <w:rsid w:val="00514082"/>
    <w:pPr>
      <w:numPr>
        <w:numId w:val="1"/>
      </w:numPr>
      <w:spacing w:after="0" w:line="200" w:lineRule="exact"/>
      <w:ind w:left="284" w:hanging="284"/>
      <w:jc w:val="both"/>
    </w:pPr>
    <w:rPr>
      <w:rFonts w:cs="Times New Roman"/>
      <w:w w:val="105"/>
      <w:sz w:val="18"/>
      <w:szCs w:val="18"/>
    </w:rPr>
  </w:style>
  <w:style w:type="character" w:customStyle="1" w:styleId="RSCR02ReferencesChar">
    <w:name w:val="RSC R02 References Char"/>
    <w:basedOn w:val="DefaultParagraphFont"/>
    <w:link w:val="RSCR02References"/>
    <w:rsid w:val="00514082"/>
    <w:rPr>
      <w:rFonts w:cs="Times New Roman"/>
      <w:w w:val="105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14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40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4082"/>
    <w:rPr>
      <w:sz w:val="20"/>
      <w:szCs w:val="20"/>
      <w:lang w:val="en-GB" w:eastAsia="en-US"/>
    </w:rPr>
  </w:style>
  <w:style w:type="paragraph" w:customStyle="1" w:styleId="EndNoteBibliography">
    <w:name w:val="EndNote Bibliography"/>
    <w:basedOn w:val="Normal"/>
    <w:link w:val="EndNoteBibliographyChar"/>
    <w:rsid w:val="00514082"/>
    <w:pPr>
      <w:spacing w:line="240" w:lineRule="auto"/>
      <w:jc w:val="both"/>
    </w:pPr>
    <w:rPr>
      <w:rFonts w:ascii="Calibri" w:hAnsi="Calibri" w:cs="Calibri"/>
      <w:noProof/>
      <w:sz w:val="18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14082"/>
    <w:rPr>
      <w:rFonts w:ascii="Calibri" w:hAnsi="Calibri" w:cs="Calibri"/>
      <w:noProof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082"/>
    <w:rPr>
      <w:rFonts w:ascii="Segoe UI" w:hAnsi="Segoe UI" w:cs="Segoe UI"/>
      <w:sz w:val="18"/>
      <w:szCs w:val="18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55E"/>
    <w:rPr>
      <w:b/>
      <w:bCs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BB57D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B57DB"/>
    <w:rPr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B57D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B57DB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박준용</dc:creator>
  <cp:keywords/>
  <dc:description/>
  <cp:lastModifiedBy>Valida Delalic</cp:lastModifiedBy>
  <cp:revision>2</cp:revision>
  <dcterms:created xsi:type="dcterms:W3CDTF">2021-06-22T22:13:00Z</dcterms:created>
  <dcterms:modified xsi:type="dcterms:W3CDTF">2021-06-22T22:13:00Z</dcterms:modified>
</cp:coreProperties>
</file>