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9DF76" w14:textId="77777777" w:rsidR="00FA1C1B" w:rsidRDefault="00804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Material</w:t>
      </w:r>
    </w:p>
    <w:p w14:paraId="413E7770" w14:textId="77777777" w:rsidR="00FA1C1B" w:rsidRDefault="008048A0">
      <w:r>
        <w:rPr>
          <w:rFonts w:hint="eastAsia"/>
          <w:noProof/>
        </w:rPr>
        <w:drawing>
          <wp:inline distT="0" distB="0" distL="114300" distR="114300" wp14:anchorId="3C5EB151" wp14:editId="17C53A4F">
            <wp:extent cx="4998720" cy="7597775"/>
            <wp:effectExtent l="0" t="0" r="0" b="6985"/>
            <wp:docPr id="1" name="图片 1" descr="supplement,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,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7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E373" w14:textId="6DCE2006" w:rsidR="00FA1C1B" w:rsidRDefault="008048A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Supplementary </w:t>
      </w:r>
      <w:r>
        <w:rPr>
          <w:rFonts w:ascii="Times New Roman" w:hAnsi="Times New Roman" w:cs="Times New Roman"/>
          <w:szCs w:val="21"/>
        </w:rPr>
        <w:t xml:space="preserve">Figure 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szCs w:val="21"/>
        </w:rPr>
        <w:t>Go analysis and KEGG analysis of metabolic gene demeanor</w:t>
      </w:r>
    </w:p>
    <w:p w14:paraId="7CBA6B7F" w14:textId="77777777" w:rsidR="00FA1C1B" w:rsidRDefault="00FA1C1B"/>
    <w:p w14:paraId="16BAD43C" w14:textId="77777777" w:rsidR="00FA1C1B" w:rsidRDefault="008048A0">
      <w:pPr>
        <w:spacing w:line="360" w:lineRule="auto"/>
        <w:rPr>
          <w:rFonts w:ascii="Times New Roman" w:eastAsia="SimSun" w:hAnsi="Times New Roman" w:cs="Times New Roman"/>
          <w:szCs w:val="21"/>
          <w:lang w:bidi="ar"/>
        </w:rPr>
      </w:pPr>
      <w:r>
        <w:rPr>
          <w:rFonts w:ascii="Times New Roman" w:eastAsia="SimSun" w:hAnsi="Times New Roman" w:cs="Times New Roman"/>
          <w:szCs w:val="21"/>
          <w:lang w:bidi="ar"/>
        </w:rPr>
        <w:t xml:space="preserve">Table S1. Drug sensitivity of clinical drug-resistant S. </w:t>
      </w:r>
      <w:proofErr w:type="spellStart"/>
      <w:r>
        <w:rPr>
          <w:rFonts w:ascii="Times New Roman" w:eastAsia="SimSun" w:hAnsi="Times New Roman" w:cs="Times New Roman"/>
          <w:szCs w:val="21"/>
          <w:lang w:bidi="ar"/>
        </w:rPr>
        <w:t>flexneri</w:t>
      </w:r>
      <w:proofErr w:type="spellEnd"/>
      <w:r>
        <w:rPr>
          <w:rFonts w:ascii="Times New Roman" w:eastAsia="SimSun" w:hAnsi="Times New Roman" w:cs="Times New Roman"/>
          <w:szCs w:val="21"/>
          <w:lang w:bidi="ar"/>
        </w:rPr>
        <w:t xml:space="preserve"> R2448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1337"/>
        <w:gridCol w:w="1028"/>
        <w:gridCol w:w="1028"/>
        <w:gridCol w:w="1638"/>
        <w:gridCol w:w="1191"/>
        <w:gridCol w:w="1072"/>
      </w:tblGrid>
      <w:tr w:rsidR="00FA1C1B" w14:paraId="1E7DC3B2" w14:textId="77777777"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6CC74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lastRenderedPageBreak/>
              <w:t>Antimicrobial agents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4F11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MIC (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μg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/mL)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40D498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28A6A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Sensitivity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8D5F6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Antimicrobial agents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91E85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MIC </w:t>
            </w: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μg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/mL)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BC12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Sensitivity</w:t>
            </w:r>
          </w:p>
        </w:tc>
      </w:tr>
      <w:tr w:rsidR="00FA1C1B" w14:paraId="18BFD8F4" w14:textId="77777777">
        <w:tc>
          <w:tcPr>
            <w:tcW w:w="22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C944E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Doxycycline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6619F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FE8805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B5149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E49AF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Cefuroxime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1A881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E4C75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03ADF2CD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F2D0A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Amoxicillin-clavulanic acid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83B392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30BBC78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44A2FB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D16784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Minocycline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11C12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E2B718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357CC757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34857E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Cefalotin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960D99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38830D3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AC5E69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52D1EA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Amikacin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FEC68A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F1360F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1DB62225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F830F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Cefepime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27C58B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7633EAA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567DAB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C3EB25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Cefotetan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4B8F5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9C7B6A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5AD49FC5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F48AF3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Cefotaxime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277DA8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B065FCD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E962C9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23A678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Cefpodoxime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A1FCA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267953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28F17E22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A02304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Ceftazidine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3102A08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CD55699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F68199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7AA0F1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Ceftizoxime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12CF4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6A5FD4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336299A5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38097D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Cefuroxime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74D395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89DA795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332C4F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DBAF64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Ciprofloxacin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878ECA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37D924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4378DDDB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8AD2A9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Imipenem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6474F3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8B72749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56ACC5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D2F42D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Levofloxacin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23DBF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FBB675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1914632B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E4058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Meropenem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CB6011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D5577EC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2E6700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D64877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Moxifloxacin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ADF90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136A99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6A427978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E2D184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Nadine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309235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09DF914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76955B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F0B665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Norfloxacin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62DFD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333189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61EADA23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33AE80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Piperacillin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5E442E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0E7D3D7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8B6A7D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2528B1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Piperacillin/Tazobactam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3AE1DC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9BA7A1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</w:tr>
      <w:tr w:rsidR="00FA1C1B" w14:paraId="27C29022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9BF4E6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tetracycline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B2E94AA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50A04CB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C669AB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74A367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Ticarcillin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1796B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4FCF7F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51B38F69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E203F7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Ticarcillin/Clavulanic Acid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630A82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3AECE6E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432470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7DA9A5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Tobramycin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602FE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D19CBF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212238D3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919B9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Compound trimethoprim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D09DD2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≥320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E75BBC5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5B13A8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B1FFFBA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Aztreonam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A2478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D9DFDE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2E54DC44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8EAA91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Cefoperazone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/Sulbactam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D65477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173B350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EB2F36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230B37A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Polymyxin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6208D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8FAF34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</w:tr>
      <w:tr w:rsidR="00FA1C1B" w14:paraId="66868264" w14:textId="77777777"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92E9E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Tigecycline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233A0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75D77C" w14:textId="77777777" w:rsidR="00FA1C1B" w:rsidRDefault="00FA1C1B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D8B20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3355E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Donipenem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72FC5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489B9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</w:tr>
    </w:tbl>
    <w:p w14:paraId="5145248C" w14:textId="77777777" w:rsidR="00FA1C1B" w:rsidRDefault="008048A0">
      <w:pPr>
        <w:spacing w:line="360" w:lineRule="auto"/>
        <w:rPr>
          <w:rFonts w:ascii="Times New Roman" w:eastAsia="SimSun" w:hAnsi="Times New Roman" w:cs="Times New Roman"/>
          <w:szCs w:val="21"/>
          <w:lang w:bidi="ar"/>
        </w:rPr>
      </w:pPr>
      <w:r>
        <w:rPr>
          <w:rFonts w:ascii="Times New Roman" w:eastAsia="SimSun" w:hAnsi="Times New Roman" w:cs="Times New Roman"/>
          <w:szCs w:val="21"/>
          <w:lang w:bidi="ar"/>
        </w:rPr>
        <w:t xml:space="preserve">Table S2. Drug sensitivity of clinical drug-resistant S. </w:t>
      </w:r>
      <w:proofErr w:type="spellStart"/>
      <w:r>
        <w:rPr>
          <w:rFonts w:ascii="Times New Roman" w:eastAsia="SimSun" w:hAnsi="Times New Roman" w:cs="Times New Roman"/>
          <w:szCs w:val="21"/>
          <w:lang w:bidi="ar"/>
        </w:rPr>
        <w:t>flexneri</w:t>
      </w:r>
      <w:proofErr w:type="spellEnd"/>
      <w:r>
        <w:rPr>
          <w:rFonts w:ascii="Times New Roman" w:eastAsia="SimSun" w:hAnsi="Times New Roman" w:cs="Times New Roman"/>
          <w:szCs w:val="21"/>
          <w:lang w:bidi="ar"/>
        </w:rPr>
        <w:t xml:space="preserve"> </w:t>
      </w:r>
      <w:r>
        <w:rPr>
          <w:rFonts w:ascii="Times New Roman" w:eastAsia="SimSun" w:hAnsi="Times New Roman" w:cs="Times New Roman"/>
          <w:szCs w:val="21"/>
          <w:lang w:bidi="ar"/>
        </w:rPr>
        <w:t>RII-1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1337"/>
        <w:gridCol w:w="1028"/>
        <w:gridCol w:w="1638"/>
        <w:gridCol w:w="1191"/>
        <w:gridCol w:w="1072"/>
      </w:tblGrid>
      <w:tr w:rsidR="00FA1C1B" w14:paraId="0DC540C3" w14:textId="77777777"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97F01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Antimicrobial agents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37FE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MIC (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μg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/mL)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AE5B9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Sensitivity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FCA32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Antimicrobial agents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0C975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MIC (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μg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/mL)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17B69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Sensitivity</w:t>
            </w:r>
          </w:p>
        </w:tc>
      </w:tr>
      <w:tr w:rsidR="00FA1C1B" w14:paraId="2B87BC88" w14:textId="77777777">
        <w:tc>
          <w:tcPr>
            <w:tcW w:w="22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52344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Doxycycline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ABA36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A7FDE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C396A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Cefuroxime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7840F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602C1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7988D8BB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15868E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Amoxicillin-clavulanic acid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7BD21F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DCBBA9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BC335B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Minocycline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F059C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1B0751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</w:t>
            </w:r>
          </w:p>
        </w:tc>
      </w:tr>
      <w:tr w:rsidR="00FA1C1B" w14:paraId="4BE976AA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1EF74E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lastRenderedPageBreak/>
              <w:t>Cefalotin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A65464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A468CC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F94815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Amikacin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32E3E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E5D49E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79ACC935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67A3DB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Cefepime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2A9F374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919754A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B57C7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Cefotetan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73A56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89C927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43F59FC7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4AFE37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Cefotaxime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AB7790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BAB893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EBBE43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Cefpodoxime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2FC92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944EAE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5DD79E93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0FF5DA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Ceftazidine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FB97B2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9B6880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A8DF80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Ceftizoxime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70B27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57BEA4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684A9CEF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EB661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Cefuroxime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8B931E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3BCAD8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859235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Ciprofloxacin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AE065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5361ED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1B5A9B02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17373D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Imipenem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52EB72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3C3401D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2369BC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Levofloxacin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03B80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DB7B2F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3FD64314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DF9624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Meropenem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33D4E9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1FC9AE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2CF2B3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Moxifloxacin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B8D52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DD56D7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11CD8148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9D83AF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Nadine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75B1AB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D1D3B3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575B18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Norfloxacin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286E4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D1A377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1BD51A79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3E5667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Piperacillin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6298F61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125AAC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D1610C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Piperacillin/Tazobactam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8F674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279203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</w:t>
            </w:r>
          </w:p>
        </w:tc>
      </w:tr>
      <w:tr w:rsidR="00FA1C1B" w14:paraId="649B8D30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965548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tetracycline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1F69485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509F8E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A9E2C4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Ticarcillin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1482E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AEE576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3A9BFC94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E845FE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Ticarcillin/Clavulanic Acid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760D9B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≥128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98E354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F9EA3F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Tobramycin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04CC9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72892F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1E7E5AF8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D359F9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Compound trimethoprim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5D385E4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≥320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6860F1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FFD561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Aztreonam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DBC84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≥64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5E9F409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</w:t>
            </w:r>
          </w:p>
        </w:tc>
      </w:tr>
      <w:tr w:rsidR="00FA1C1B" w14:paraId="0A641A76" w14:textId="77777777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749BB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Cefoperazone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/Sulbactam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448650C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FD512CB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C3EDA4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Polymyxin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498CD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AAC2DC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</w:tr>
      <w:tr w:rsidR="00FA1C1B" w14:paraId="7E4DE5EC" w14:textId="77777777"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57D01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Tigecycline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D62D0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89AA3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5345C4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Donipenem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A81E96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≤0.12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AA24A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</w:t>
            </w:r>
          </w:p>
        </w:tc>
      </w:tr>
    </w:tbl>
    <w:p w14:paraId="0D7A9037" w14:textId="77777777" w:rsidR="00FA1C1B" w:rsidRDefault="008048A0">
      <w:pPr>
        <w:spacing w:line="360" w:lineRule="auto"/>
        <w:rPr>
          <w:rFonts w:ascii="Times New Roman" w:eastAsia="SimSun" w:hAnsi="Times New Roman" w:cs="Times New Roman"/>
          <w:szCs w:val="21"/>
          <w:lang w:bidi="ar"/>
        </w:rPr>
      </w:pPr>
      <w:r>
        <w:rPr>
          <w:rFonts w:ascii="Times New Roman" w:eastAsia="SimSun" w:hAnsi="Times New Roman" w:cs="Times New Roman"/>
          <w:szCs w:val="21"/>
          <w:lang w:bidi="ar"/>
        </w:rPr>
        <w:t>Table S3. The criterion for judging the histological injury score.</w:t>
      </w:r>
    </w:p>
    <w:tbl>
      <w:tblPr>
        <w:tblStyle w:val="21"/>
        <w:tblW w:w="9606" w:type="dxa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4"/>
        <w:gridCol w:w="3789"/>
        <w:gridCol w:w="2835"/>
        <w:gridCol w:w="1184"/>
        <w:gridCol w:w="1084"/>
      </w:tblGrid>
      <w:tr w:rsidR="00FA1C1B" w14:paraId="3EB4FA9A" w14:textId="77777777" w:rsidTr="00FA1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7F7F7F" w:themeColor="text1" w:themeTint="80"/>
            </w:tcBorders>
          </w:tcPr>
          <w:p w14:paraId="31FB3CA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Score</w:t>
            </w:r>
          </w:p>
        </w:tc>
        <w:tc>
          <w:tcPr>
            <w:tcW w:w="3789" w:type="dxa"/>
            <w:tcBorders>
              <w:bottom w:val="single" w:sz="4" w:space="0" w:color="7F7F7F" w:themeColor="text1" w:themeTint="80"/>
            </w:tcBorders>
          </w:tcPr>
          <w:p w14:paraId="0E52FF75" w14:textId="77777777" w:rsidR="00FA1C1B" w:rsidRDefault="008048A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Inflammatory cell infiltration</w:t>
            </w:r>
          </w:p>
        </w:tc>
        <w:tc>
          <w:tcPr>
            <w:tcW w:w="2835" w:type="dxa"/>
            <w:tcBorders>
              <w:bottom w:val="single" w:sz="4" w:space="0" w:color="7F7F7F" w:themeColor="text1" w:themeTint="80"/>
            </w:tcBorders>
          </w:tcPr>
          <w:p w14:paraId="211ED9BD" w14:textId="77777777" w:rsidR="00FA1C1B" w:rsidRDefault="008048A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Crypt damage</w:t>
            </w:r>
          </w:p>
        </w:tc>
        <w:tc>
          <w:tcPr>
            <w:tcW w:w="2268" w:type="dxa"/>
            <w:gridSpan w:val="2"/>
            <w:tcBorders>
              <w:bottom w:val="single" w:sz="4" w:space="0" w:color="7F7F7F" w:themeColor="text1" w:themeTint="80"/>
            </w:tcBorders>
          </w:tcPr>
          <w:p w14:paraId="3793DDE9" w14:textId="77777777" w:rsidR="00FA1C1B" w:rsidRDefault="008048A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The absence of oedema</w:t>
            </w:r>
          </w:p>
        </w:tc>
      </w:tr>
      <w:tr w:rsidR="00FA1C1B" w14:paraId="427EA461" w14:textId="77777777" w:rsidTr="00FA1C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FEC04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0</w:t>
            </w:r>
          </w:p>
        </w:tc>
        <w:tc>
          <w:tcPr>
            <w:tcW w:w="3789" w:type="dxa"/>
          </w:tcPr>
          <w:p w14:paraId="2B2472CA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None</w:t>
            </w:r>
          </w:p>
        </w:tc>
        <w:tc>
          <w:tcPr>
            <w:tcW w:w="2835" w:type="dxa"/>
          </w:tcPr>
          <w:p w14:paraId="30546BED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None</w:t>
            </w:r>
          </w:p>
        </w:tc>
        <w:tc>
          <w:tcPr>
            <w:tcW w:w="2268" w:type="dxa"/>
            <w:gridSpan w:val="2"/>
          </w:tcPr>
          <w:p w14:paraId="31BD33F2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None</w:t>
            </w:r>
          </w:p>
        </w:tc>
      </w:tr>
      <w:tr w:rsidR="00FA1C1B" w14:paraId="7FC6E925" w14:textId="77777777" w:rsidTr="00FA1C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4F26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1</w:t>
            </w:r>
          </w:p>
        </w:tc>
        <w:tc>
          <w:tcPr>
            <w:tcW w:w="3789" w:type="dxa"/>
          </w:tcPr>
          <w:p w14:paraId="148553F5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Infiltration around the crypt base</w:t>
            </w:r>
          </w:p>
        </w:tc>
        <w:tc>
          <w:tcPr>
            <w:tcW w:w="2835" w:type="dxa"/>
          </w:tcPr>
          <w:p w14:paraId="59F2AA5B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Basal 1/3 damaged</w:t>
            </w:r>
          </w:p>
        </w:tc>
        <w:tc>
          <w:tcPr>
            <w:tcW w:w="2268" w:type="dxa"/>
            <w:gridSpan w:val="2"/>
          </w:tcPr>
          <w:p w14:paraId="4D7E426B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Oedema</w:t>
            </w:r>
          </w:p>
        </w:tc>
      </w:tr>
      <w:tr w:rsidR="00FA1C1B" w14:paraId="5E8F53F7" w14:textId="77777777" w:rsidTr="00FA1C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EB2E5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2</w:t>
            </w:r>
          </w:p>
        </w:tc>
        <w:tc>
          <w:tcPr>
            <w:tcW w:w="3789" w:type="dxa"/>
          </w:tcPr>
          <w:p w14:paraId="355CDFA0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Infiltration reaching the </w:t>
            </w: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muscularis mucosae</w:t>
            </w:r>
          </w:p>
        </w:tc>
        <w:tc>
          <w:tcPr>
            <w:tcW w:w="2835" w:type="dxa"/>
          </w:tcPr>
          <w:p w14:paraId="46FBBCD0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Basal 2/3 damaged</w:t>
            </w:r>
          </w:p>
        </w:tc>
        <w:tc>
          <w:tcPr>
            <w:tcW w:w="2268" w:type="dxa"/>
            <w:gridSpan w:val="2"/>
          </w:tcPr>
          <w:p w14:paraId="4287608A" w14:textId="77777777" w:rsidR="00FA1C1B" w:rsidRDefault="00FA1C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</w:tr>
      <w:tr w:rsidR="00FA1C1B" w14:paraId="1A104A82" w14:textId="77777777" w:rsidTr="00FA1C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950FA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3</w:t>
            </w:r>
          </w:p>
        </w:tc>
        <w:tc>
          <w:tcPr>
            <w:tcW w:w="3789" w:type="dxa"/>
          </w:tcPr>
          <w:p w14:paraId="60869392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Extensive infiltration reaching the muscularis mucosae and thickening of the mucosa with severe oedema</w:t>
            </w:r>
          </w:p>
        </w:tc>
        <w:tc>
          <w:tcPr>
            <w:tcW w:w="2835" w:type="dxa"/>
          </w:tcPr>
          <w:p w14:paraId="25D82554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Only surface epithelium intact</w:t>
            </w:r>
          </w:p>
        </w:tc>
        <w:tc>
          <w:tcPr>
            <w:tcW w:w="2268" w:type="dxa"/>
            <w:gridSpan w:val="2"/>
          </w:tcPr>
          <w:p w14:paraId="701CC075" w14:textId="77777777" w:rsidR="00FA1C1B" w:rsidRDefault="00FA1C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</w:tr>
      <w:tr w:rsidR="00FA1C1B" w14:paraId="00A1015A" w14:textId="77777777" w:rsidTr="00FA1C1B">
        <w:trPr>
          <w:gridAfter w:val="1"/>
          <w:wAfter w:w="108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7166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4</w:t>
            </w:r>
          </w:p>
        </w:tc>
        <w:tc>
          <w:tcPr>
            <w:tcW w:w="3789" w:type="dxa"/>
          </w:tcPr>
          <w:p w14:paraId="70F3113B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Infiltration of the submucosa</w:t>
            </w:r>
          </w:p>
        </w:tc>
        <w:tc>
          <w:tcPr>
            <w:tcW w:w="2835" w:type="dxa"/>
          </w:tcPr>
          <w:p w14:paraId="37E8FE0B" w14:textId="77777777" w:rsidR="00FA1C1B" w:rsidRDefault="008048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Entire crypt and epithelium </w:t>
            </w: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lastRenderedPageBreak/>
              <w:t>lost</w:t>
            </w:r>
          </w:p>
        </w:tc>
        <w:tc>
          <w:tcPr>
            <w:tcW w:w="1184" w:type="dxa"/>
          </w:tcPr>
          <w:p w14:paraId="0066BE59" w14:textId="77777777" w:rsidR="00FA1C1B" w:rsidRDefault="00FA1C1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Cs w:val="21"/>
                <w:lang w:bidi="ar"/>
              </w:rPr>
            </w:pPr>
          </w:p>
        </w:tc>
      </w:tr>
    </w:tbl>
    <w:p w14:paraId="3BBD82D5" w14:textId="77777777" w:rsidR="00FA1C1B" w:rsidRDefault="008048A0">
      <w:pPr>
        <w:spacing w:line="360" w:lineRule="auto"/>
        <w:rPr>
          <w:rFonts w:ascii="Times New Roman" w:eastAsia="SimSun" w:hAnsi="Times New Roman" w:cs="Times New Roman"/>
          <w:szCs w:val="21"/>
          <w:lang w:bidi="ar"/>
        </w:rPr>
      </w:pPr>
      <w:r>
        <w:rPr>
          <w:rFonts w:ascii="Times New Roman" w:eastAsia="SimSun" w:hAnsi="Times New Roman" w:cs="Times New Roman"/>
          <w:szCs w:val="21"/>
          <w:lang w:bidi="ar"/>
        </w:rPr>
        <w:t xml:space="preserve">Table S4. </w:t>
      </w:r>
      <w:r>
        <w:rPr>
          <w:rFonts w:ascii="Times New Roman" w:eastAsia="SimSun" w:hAnsi="Times New Roman" w:cs="Times New Roman"/>
          <w:szCs w:val="21"/>
          <w:lang w:bidi="ar"/>
        </w:rPr>
        <w:t xml:space="preserve">Abbreviations of ROS-related genes </w:t>
      </w:r>
      <w:proofErr w:type="spellStart"/>
      <w:r>
        <w:rPr>
          <w:rFonts w:ascii="Times New Roman" w:eastAsia="SimSun" w:hAnsi="Times New Roman" w:cs="Times New Roman"/>
          <w:szCs w:val="21"/>
          <w:lang w:bidi="ar"/>
        </w:rPr>
        <w:t>analysed</w:t>
      </w:r>
      <w:proofErr w:type="spellEnd"/>
      <w:r>
        <w:rPr>
          <w:rFonts w:ascii="Times New Roman" w:eastAsia="SimSun" w:hAnsi="Times New Roman" w:cs="Times New Roman"/>
          <w:szCs w:val="21"/>
          <w:lang w:bidi="ar"/>
        </w:rPr>
        <w:t xml:space="preserve"> using transcriptome sequencing</w:t>
      </w:r>
    </w:p>
    <w:tbl>
      <w:tblPr>
        <w:tblStyle w:val="TableGrid"/>
        <w:tblW w:w="6267" w:type="dxa"/>
        <w:tblLook w:val="04A0" w:firstRow="1" w:lastRow="0" w:firstColumn="1" w:lastColumn="0" w:noHBand="0" w:noVBand="1"/>
      </w:tblPr>
      <w:tblGrid>
        <w:gridCol w:w="2130"/>
        <w:gridCol w:w="4137"/>
      </w:tblGrid>
      <w:tr w:rsidR="00FA1C1B" w14:paraId="5D2766DC" w14:textId="77777777">
        <w:tc>
          <w:tcPr>
            <w:tcW w:w="2130" w:type="dxa"/>
          </w:tcPr>
          <w:p w14:paraId="705102E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ompA</w:t>
            </w:r>
            <w:proofErr w:type="spellEnd"/>
          </w:p>
        </w:tc>
        <w:tc>
          <w:tcPr>
            <w:tcW w:w="4137" w:type="dxa"/>
          </w:tcPr>
          <w:p w14:paraId="6EE8343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outer membrane protein A</w:t>
            </w:r>
          </w:p>
        </w:tc>
      </w:tr>
      <w:tr w:rsidR="00FA1C1B" w14:paraId="1C6ECD7F" w14:textId="77777777">
        <w:tc>
          <w:tcPr>
            <w:tcW w:w="2130" w:type="dxa"/>
          </w:tcPr>
          <w:p w14:paraId="4BA1FA2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gshA</w:t>
            </w:r>
            <w:proofErr w:type="spellEnd"/>
          </w:p>
        </w:tc>
        <w:tc>
          <w:tcPr>
            <w:tcW w:w="4137" w:type="dxa"/>
          </w:tcPr>
          <w:p w14:paraId="2005DFF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glutamate-cysteine ligase</w:t>
            </w:r>
          </w:p>
        </w:tc>
      </w:tr>
      <w:tr w:rsidR="00FA1C1B" w14:paraId="68B14F99" w14:textId="77777777">
        <w:tc>
          <w:tcPr>
            <w:tcW w:w="2130" w:type="dxa"/>
          </w:tcPr>
          <w:p w14:paraId="61CE39C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bssR</w:t>
            </w:r>
            <w:proofErr w:type="spellEnd"/>
          </w:p>
        </w:tc>
        <w:tc>
          <w:tcPr>
            <w:tcW w:w="4137" w:type="dxa"/>
          </w:tcPr>
          <w:p w14:paraId="3F8B93C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regulator of biofilm formation</w:t>
            </w:r>
          </w:p>
        </w:tc>
      </w:tr>
      <w:tr w:rsidR="00FA1C1B" w14:paraId="7B2BFEE5" w14:textId="77777777">
        <w:tc>
          <w:tcPr>
            <w:tcW w:w="2130" w:type="dxa"/>
          </w:tcPr>
          <w:p w14:paraId="754788A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elaB</w:t>
            </w:r>
            <w:proofErr w:type="spellEnd"/>
          </w:p>
        </w:tc>
        <w:tc>
          <w:tcPr>
            <w:tcW w:w="4137" w:type="dxa"/>
          </w:tcPr>
          <w:p w14:paraId="54527A55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tail anchored inner membrane protein</w:t>
            </w:r>
          </w:p>
        </w:tc>
      </w:tr>
      <w:tr w:rsidR="00FA1C1B" w14:paraId="4BC302F4" w14:textId="77777777">
        <w:trPr>
          <w:trHeight w:val="90"/>
        </w:trPr>
        <w:tc>
          <w:tcPr>
            <w:tcW w:w="2130" w:type="dxa"/>
          </w:tcPr>
          <w:p w14:paraId="61DE863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alkB</w:t>
            </w:r>
            <w:proofErr w:type="spellEnd"/>
          </w:p>
        </w:tc>
        <w:tc>
          <w:tcPr>
            <w:tcW w:w="4137" w:type="dxa"/>
          </w:tcPr>
          <w:p w14:paraId="30D08D21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DNA oxidative </w:t>
            </w: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demethylase</w:t>
            </w:r>
          </w:p>
        </w:tc>
      </w:tr>
      <w:tr w:rsidR="00FA1C1B" w14:paraId="450A1EAC" w14:textId="77777777">
        <w:tc>
          <w:tcPr>
            <w:tcW w:w="2130" w:type="dxa"/>
          </w:tcPr>
          <w:p w14:paraId="13552DE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grxA</w:t>
            </w:r>
            <w:proofErr w:type="spellEnd"/>
          </w:p>
        </w:tc>
        <w:tc>
          <w:tcPr>
            <w:tcW w:w="4137" w:type="dxa"/>
          </w:tcPr>
          <w:p w14:paraId="45CF840F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reduced </w:t>
            </w: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glutaredoxin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 1</w:t>
            </w:r>
          </w:p>
        </w:tc>
      </w:tr>
      <w:tr w:rsidR="00FA1C1B" w14:paraId="72E7FD16" w14:textId="77777777">
        <w:tc>
          <w:tcPr>
            <w:tcW w:w="2130" w:type="dxa"/>
          </w:tcPr>
          <w:p w14:paraId="3047838D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nth</w:t>
            </w:r>
          </w:p>
        </w:tc>
        <w:tc>
          <w:tcPr>
            <w:tcW w:w="4137" w:type="dxa"/>
          </w:tcPr>
          <w:p w14:paraId="428E949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endonuclease III</w:t>
            </w:r>
          </w:p>
        </w:tc>
      </w:tr>
      <w:tr w:rsidR="00FA1C1B" w14:paraId="7EDD782C" w14:textId="77777777">
        <w:tc>
          <w:tcPr>
            <w:tcW w:w="2130" w:type="dxa"/>
          </w:tcPr>
          <w:p w14:paraId="48E51BB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relB</w:t>
            </w:r>
            <w:proofErr w:type="spellEnd"/>
          </w:p>
        </w:tc>
        <w:tc>
          <w:tcPr>
            <w:tcW w:w="4137" w:type="dxa"/>
          </w:tcPr>
          <w:p w14:paraId="18653CE2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DNA-binding transcriptional repressor</w:t>
            </w:r>
          </w:p>
        </w:tc>
      </w:tr>
      <w:tr w:rsidR="00FA1C1B" w14:paraId="656DC757" w14:textId="77777777">
        <w:tc>
          <w:tcPr>
            <w:tcW w:w="2130" w:type="dxa"/>
          </w:tcPr>
          <w:p w14:paraId="11583A8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nuoF</w:t>
            </w:r>
            <w:proofErr w:type="spellEnd"/>
          </w:p>
        </w:tc>
        <w:tc>
          <w:tcPr>
            <w:tcW w:w="4137" w:type="dxa"/>
          </w:tcPr>
          <w:p w14:paraId="00CA215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NADH:quinone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 oxidoreductase subunit F</w:t>
            </w:r>
          </w:p>
        </w:tc>
      </w:tr>
      <w:tr w:rsidR="00FA1C1B" w14:paraId="2F7C861D" w14:textId="77777777">
        <w:trPr>
          <w:trHeight w:val="276"/>
        </w:trPr>
        <w:tc>
          <w:tcPr>
            <w:tcW w:w="2130" w:type="dxa"/>
          </w:tcPr>
          <w:p w14:paraId="3F855269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copA</w:t>
            </w:r>
            <w:proofErr w:type="spellEnd"/>
          </w:p>
        </w:tc>
        <w:tc>
          <w:tcPr>
            <w:tcW w:w="4137" w:type="dxa"/>
          </w:tcPr>
          <w:p w14:paraId="78B76A78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Cu(</w:t>
            </w:r>
            <w:proofErr w:type="gram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+) exporting P-type ATPase</w:t>
            </w:r>
          </w:p>
        </w:tc>
      </w:tr>
      <w:tr w:rsidR="00FA1C1B" w14:paraId="0FAAAAE0" w14:textId="77777777">
        <w:tc>
          <w:tcPr>
            <w:tcW w:w="2130" w:type="dxa"/>
          </w:tcPr>
          <w:p w14:paraId="5731DE93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htrA</w:t>
            </w:r>
            <w:proofErr w:type="spellEnd"/>
          </w:p>
        </w:tc>
        <w:tc>
          <w:tcPr>
            <w:tcW w:w="4137" w:type="dxa"/>
          </w:tcPr>
          <w:p w14:paraId="2F3497A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serine protease</w:t>
            </w:r>
          </w:p>
        </w:tc>
      </w:tr>
      <w:tr w:rsidR="00FA1C1B" w14:paraId="4EF8E820" w14:textId="77777777">
        <w:tc>
          <w:tcPr>
            <w:tcW w:w="2130" w:type="dxa"/>
          </w:tcPr>
          <w:p w14:paraId="216A189C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soxS</w:t>
            </w:r>
            <w:proofErr w:type="spellEnd"/>
          </w:p>
        </w:tc>
        <w:tc>
          <w:tcPr>
            <w:tcW w:w="4137" w:type="dxa"/>
          </w:tcPr>
          <w:p w14:paraId="7E3EEC37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DNA-binding </w:t>
            </w:r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transcriptional dual regulator</w:t>
            </w:r>
          </w:p>
        </w:tc>
      </w:tr>
      <w:tr w:rsidR="00FA1C1B" w14:paraId="0EF12970" w14:textId="77777777">
        <w:tc>
          <w:tcPr>
            <w:tcW w:w="2130" w:type="dxa"/>
          </w:tcPr>
          <w:p w14:paraId="3DEDEE10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hha</w:t>
            </w:r>
            <w:proofErr w:type="spellEnd"/>
          </w:p>
        </w:tc>
        <w:tc>
          <w:tcPr>
            <w:tcW w:w="4137" w:type="dxa"/>
          </w:tcPr>
          <w:p w14:paraId="6BD2BEDE" w14:textId="77777777" w:rsidR="00FA1C1B" w:rsidRDefault="008048A0">
            <w:pPr>
              <w:spacing w:line="360" w:lineRule="auto"/>
              <w:rPr>
                <w:rFonts w:ascii="Times New Roman" w:eastAsia="SimSun" w:hAnsi="Times New Roman" w:cs="Times New Roman"/>
                <w:szCs w:val="21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>haemolysin</w:t>
            </w:r>
            <w:proofErr w:type="spellEnd"/>
            <w:r>
              <w:rPr>
                <w:rFonts w:ascii="Times New Roman" w:eastAsia="SimSun" w:hAnsi="Times New Roman" w:cs="Times New Roman"/>
                <w:szCs w:val="21"/>
                <w:lang w:bidi="ar"/>
              </w:rPr>
              <w:t xml:space="preserve"> expression modulating protein</w:t>
            </w:r>
          </w:p>
        </w:tc>
      </w:tr>
    </w:tbl>
    <w:p w14:paraId="54CF589F" w14:textId="77777777" w:rsidR="00FA1C1B" w:rsidRDefault="008048A0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Cs w:val="21"/>
        </w:rPr>
      </w:pPr>
      <w:r>
        <w:rPr>
          <w:rFonts w:ascii="Times New Roman" w:eastAsia="SimSun" w:hAnsi="Times New Roman" w:cs="Times New Roman"/>
          <w:b/>
          <w:bCs/>
          <w:color w:val="000000"/>
          <w:szCs w:val="21"/>
          <w:lang w:bidi="ar"/>
        </w:rPr>
        <w:t xml:space="preserve"> </w:t>
      </w:r>
    </w:p>
    <w:p w14:paraId="3187A8AD" w14:textId="77777777" w:rsidR="00FA1C1B" w:rsidRDefault="00FA1C1B"/>
    <w:sectPr w:rsidR="00FA1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224E2E"/>
    <w:rsid w:val="007337C5"/>
    <w:rsid w:val="008048A0"/>
    <w:rsid w:val="00FA1C1B"/>
    <w:rsid w:val="1D1D1EFB"/>
    <w:rsid w:val="487F2CD3"/>
    <w:rsid w:val="7822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5F58E"/>
  <w15:docId w15:val="{F7B41CA2-C6CB-4011-B7A3-09D44CF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1">
    <w:name w:val="无格式表格 21"/>
    <w:basedOn w:val="TableNormal"/>
    <w:rPr>
      <w:rFonts w:ascii="Times New Roman" w:hAnsi="Times New Roman" w:cs="Times New Roman"/>
    </w:rPr>
    <w:tblPr>
      <w:tblBorders>
        <w:top w:val="single" w:sz="4" w:space="0" w:color="7E7E7E"/>
        <w:bottom w:val="single" w:sz="4" w:space="0" w:color="7E7E7E"/>
      </w:tblBorders>
    </w:tblPr>
    <w:tcPr>
      <w:tcBorders>
        <w:top w:val="single" w:sz="4" w:space="0" w:color="7E7E7E"/>
        <w:bottom w:val="single" w:sz="4" w:space="0" w:color="7E7E7E"/>
      </w:tcBorders>
    </w:tcPr>
    <w:tblStylePr w:type="firstRow">
      <w:rPr>
        <w:rFonts w:ascii="Times New Roman" w:hAnsi="Times New Roman" w:cs="Times New Roman" w:hint="default"/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rFonts w:ascii="Times New Roman" w:hAnsi="Times New Roman" w:cs="Times New Roman" w:hint="default"/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paragraph" w:styleId="BalloonText">
    <w:name w:val="Balloon Text"/>
    <w:basedOn w:val="Normal"/>
    <w:link w:val="BalloonTextChar"/>
    <w:rsid w:val="00804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48A0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不会唱歌的声控cc</dc:creator>
  <cp:lastModifiedBy>Olliver, Tania</cp:lastModifiedBy>
  <cp:revision>2</cp:revision>
  <dcterms:created xsi:type="dcterms:W3CDTF">2021-06-17T02:06:00Z</dcterms:created>
  <dcterms:modified xsi:type="dcterms:W3CDTF">2021-06-17T02:06:00Z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8271E4700473402EAA4951F623651F5D</vt:lpwstr>
  </property>
</Properties>
</file>