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drawing>
          <wp:inline distT="0" distB="0" distL="114300" distR="114300">
            <wp:extent cx="6272530" cy="4204335"/>
            <wp:effectExtent l="0" t="0" r="12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42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ind w:firstLine="960" w:firstLineChars="400"/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S1.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Kaplan-Meier OS (A) and PFS (B) curves in patients with clear cell RCC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S1. Comparison between ctPS presence and ctPS absence</w:t>
      </w:r>
    </w:p>
    <w:p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6"/>
        <w:tblW w:w="10118" w:type="dxa"/>
        <w:tblInd w:w="0" w:type="dxa"/>
        <w:tblBorders>
          <w:top w:val="single" w:color="auto" w:sz="18" w:space="0"/>
          <w:left w:val="dashSmallGap" w:color="auto" w:sz="4" w:space="0"/>
          <w:bottom w:val="single" w:color="auto" w:sz="18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3"/>
        <w:gridCol w:w="2178"/>
        <w:gridCol w:w="2010"/>
        <w:gridCol w:w="1747"/>
      </w:tblGrid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83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Vaiables</w:t>
            </w:r>
          </w:p>
        </w:tc>
        <w:tc>
          <w:tcPr>
            <w:tcW w:w="2178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ctPS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2010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ctPS present</w:t>
            </w:r>
          </w:p>
        </w:tc>
        <w:tc>
          <w:tcPr>
            <w:tcW w:w="1747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No. gender (%)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0.143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(20.5)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120 (79.5)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 (11.9)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 (88.1)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Mean age±sd, yrs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58.1±11.6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58.4±11.6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0.877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Mean tumor diameter±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cm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4.0±2.5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4.1±2.1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0.781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Surgery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0.948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3" w:leftChars="149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radical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(18.3)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85 (81.7)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3" w:leftChars="149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partial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(17.9)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87 (82.1)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 w:firstLine="2" w:firstLineChars="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No. TNM stage (%)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0.964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 (17.6)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112 (82.4)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 (20.0)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 (80.0)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(18.5)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 (81.5)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No.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Nuclear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grade (%)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 (14.8)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 (85.2)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 (16.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(83.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 (1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(82.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 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No. histology (%)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.129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clear cell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 (19.5)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49 (80.5)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non-clear cell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(8.0)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(92.0)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No. necrosis (%)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0.865</w:t>
            </w: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with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 (17.3)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 (82.7)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dashSmallGap" w:color="auto" w:sz="4" w:space="0"/>
            <w:bottom w:val="single" w:color="auto" w:sz="18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without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 (18.4)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129 (81.6)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56" w:lineRule="auto"/>
              <w:ind w:left="315" w:leftChars="15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AB"/>
    <w:rsid w:val="00130F56"/>
    <w:rsid w:val="002308AA"/>
    <w:rsid w:val="00497AAB"/>
    <w:rsid w:val="0081566F"/>
    <w:rsid w:val="00DD0E6F"/>
    <w:rsid w:val="0A64271A"/>
    <w:rsid w:val="24495D8A"/>
    <w:rsid w:val="53D30330"/>
    <w:rsid w:val="574F765F"/>
    <w:rsid w:val="7A9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default" w:ascii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60" w:afterAutospacing="0" w:line="256" w:lineRule="auto"/>
      <w:ind w:left="0" w:right="0"/>
      <w:jc w:val="left"/>
    </w:pPr>
    <w:rPr>
      <w:rFonts w:hint="eastAsia" w:ascii="等线" w:hAnsi="等线" w:eastAsia="等线" w:cs="Times New Roman"/>
      <w:kern w:val="2"/>
      <w:sz w:val="20"/>
      <w:szCs w:val="20"/>
      <w:lang w:val="en-US" w:eastAsia="zh-CN" w:bidi="ar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hint="eastAsia" w:ascii="等线" w:hAnsi="等线" w:eastAsia="等线" w:cs="Times New Roman"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643</Characters>
  <Lines>5</Lines>
  <Paragraphs>1</Paragraphs>
  <TotalTime>1</TotalTime>
  <ScaleCrop>false</ScaleCrop>
  <LinksUpToDate>false</LinksUpToDate>
  <CharactersWithSpaces>754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2019-12-02T12:51:00Z</dcterms:created>
  <dc:creator>奚 伟</dc:creator>
  <cp:lastModifiedBy>细微细微</cp:lastModifiedBy>
  <dcterms:modified xsi:type="dcterms:W3CDTF">2021-05-31T09:55:26Z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