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C3D" w:rsidRDefault="00E33C3D" w:rsidP="00E33C3D">
      <w:pPr>
        <w:spacing w:line="360" w:lineRule="auto"/>
        <w:rPr>
          <w:rFonts w:ascii="Arial" w:hAnsi="Arial" w:cs="Arial"/>
          <w:b/>
          <w:sz w:val="24"/>
          <w:szCs w:val="24"/>
        </w:rPr>
      </w:pPr>
      <w:bookmarkStart w:id="0" w:name="_GoBack"/>
      <w:bookmarkEnd w:id="0"/>
      <w:r w:rsidRPr="00CD607F">
        <w:rPr>
          <w:rFonts w:ascii="Arial" w:hAnsi="Arial" w:cs="Arial"/>
          <w:b/>
          <w:sz w:val="24"/>
          <w:szCs w:val="24"/>
        </w:rPr>
        <w:t>SUPPLEMENTARY</w:t>
      </w:r>
    </w:p>
    <w:p w:rsidR="0064354B" w:rsidRPr="006409B4" w:rsidRDefault="0064354B" w:rsidP="0064354B">
      <w:pPr>
        <w:spacing w:line="276" w:lineRule="auto"/>
        <w:rPr>
          <w:rFonts w:ascii="Arial" w:hAnsi="Arial" w:cs="Arial"/>
          <w:b/>
          <w:sz w:val="20"/>
          <w:szCs w:val="20"/>
        </w:rPr>
      </w:pPr>
      <w:r w:rsidRPr="006409B4">
        <w:rPr>
          <w:rFonts w:ascii="Arial" w:hAnsi="Arial" w:cs="Arial"/>
          <w:b/>
          <w:sz w:val="20"/>
          <w:szCs w:val="20"/>
        </w:rPr>
        <w:t xml:space="preserve">Supplementary Table 1. </w:t>
      </w:r>
      <w:r w:rsidRPr="006409B4">
        <w:rPr>
          <w:rFonts w:ascii="Arial" w:hAnsi="Arial" w:cs="Arial"/>
          <w:sz w:val="20"/>
          <w:szCs w:val="20"/>
        </w:rPr>
        <w:t>Relevant agencies and authorities related to the Nordic health care systems</w:t>
      </w:r>
    </w:p>
    <w:tbl>
      <w:tblPr>
        <w:tblStyle w:val="Listetabel3-farve31"/>
        <w:tblW w:w="0" w:type="auto"/>
        <w:tblLook w:val="04A0" w:firstRow="1" w:lastRow="0" w:firstColumn="1" w:lastColumn="0" w:noHBand="0" w:noVBand="1"/>
      </w:tblPr>
      <w:tblGrid>
        <w:gridCol w:w="3387"/>
        <w:gridCol w:w="5670"/>
      </w:tblGrid>
      <w:tr w:rsidR="0064354B" w:rsidRPr="006409B4" w:rsidTr="004A15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87" w:type="dxa"/>
            <w:tcBorders>
              <w:top w:val="single" w:sz="12" w:space="0" w:color="A5A5A5" w:themeColor="accent3"/>
              <w:left w:val="single" w:sz="12" w:space="0" w:color="A5A5A5" w:themeColor="accent3"/>
              <w:bottom w:val="single" w:sz="12" w:space="0" w:color="A5A5A5" w:themeColor="accent3"/>
              <w:right w:val="single" w:sz="4" w:space="0" w:color="A5A5A5" w:themeColor="accent3"/>
            </w:tcBorders>
            <w:shd w:val="clear" w:color="auto" w:fill="D9D9D9" w:themeFill="background1" w:themeFillShade="D9"/>
          </w:tcPr>
          <w:p w:rsidR="0064354B" w:rsidRPr="006409B4" w:rsidRDefault="0064354B" w:rsidP="004A1564">
            <w:pPr>
              <w:spacing w:line="360" w:lineRule="auto"/>
              <w:rPr>
                <w:rFonts w:ascii="Arial" w:hAnsi="Arial" w:cs="Arial"/>
                <w:color w:val="auto"/>
                <w:sz w:val="20"/>
                <w:szCs w:val="20"/>
              </w:rPr>
            </w:pPr>
            <w:r w:rsidRPr="006409B4">
              <w:rPr>
                <w:rFonts w:ascii="Arial" w:hAnsi="Arial" w:cs="Arial"/>
                <w:color w:val="auto"/>
                <w:sz w:val="20"/>
                <w:szCs w:val="20"/>
              </w:rPr>
              <w:t>Authority/agency</w:t>
            </w:r>
          </w:p>
        </w:tc>
        <w:tc>
          <w:tcPr>
            <w:tcW w:w="5670" w:type="dxa"/>
            <w:tcBorders>
              <w:top w:val="single" w:sz="12" w:space="0" w:color="A5A5A5" w:themeColor="accent3"/>
              <w:left w:val="single" w:sz="4" w:space="0" w:color="A5A5A5" w:themeColor="accent3"/>
              <w:bottom w:val="single" w:sz="12" w:space="0" w:color="A5A5A5" w:themeColor="accent3"/>
              <w:right w:val="single" w:sz="12" w:space="0" w:color="A5A5A5" w:themeColor="accent3"/>
            </w:tcBorders>
            <w:shd w:val="clear" w:color="auto" w:fill="D9D9D9" w:themeFill="background1" w:themeFillShade="D9"/>
          </w:tcPr>
          <w:p w:rsidR="0064354B" w:rsidRPr="006409B4" w:rsidRDefault="0064354B" w:rsidP="004A156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409B4">
              <w:rPr>
                <w:rFonts w:ascii="Arial" w:hAnsi="Arial" w:cs="Arial"/>
                <w:color w:val="auto"/>
                <w:sz w:val="20"/>
                <w:szCs w:val="20"/>
              </w:rPr>
              <w:t>Example of tasks</w:t>
            </w: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top w:val="single" w:sz="12" w:space="0" w:color="A5A5A5" w:themeColor="accent3"/>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sz w:val="20"/>
                <w:szCs w:val="20"/>
              </w:rPr>
            </w:pPr>
            <w:r w:rsidRPr="006409B4">
              <w:rPr>
                <w:rFonts w:ascii="Arial" w:hAnsi="Arial" w:cs="Arial"/>
                <w:sz w:val="20"/>
                <w:szCs w:val="20"/>
              </w:rPr>
              <w:t>Denmark</w:t>
            </w:r>
          </w:p>
          <w:p w:rsidR="0064354B" w:rsidRPr="006409B4" w:rsidRDefault="0064354B" w:rsidP="004A1564">
            <w:pPr>
              <w:spacing w:line="276" w:lineRule="auto"/>
              <w:rPr>
                <w:rFonts w:ascii="Arial" w:hAnsi="Arial" w:cs="Arial"/>
                <w:sz w:val="20"/>
                <w:szCs w:val="20"/>
              </w:rPr>
            </w:pPr>
          </w:p>
        </w:tc>
        <w:tc>
          <w:tcPr>
            <w:tcW w:w="5670" w:type="dxa"/>
            <w:tcBorders>
              <w:top w:val="single" w:sz="12" w:space="0" w:color="A5A5A5" w:themeColor="accent3"/>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 Danish Health Authority</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Advises the Ministry of Health, regions, and municipalities, responsible for health planning and promotion and ensures uniform health care services</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 Danish Medicines Agency</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Oversees pharmacies and pharmaceutical companies, licenses new drugs, monitors adverse effects, and authorizes clinical trials</w:t>
            </w:r>
          </w:p>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roofErr w:type="spellStart"/>
            <w:r w:rsidRPr="006409B4">
              <w:rPr>
                <w:rFonts w:ascii="Arial" w:hAnsi="Arial" w:cs="Arial"/>
                <w:b w:val="0"/>
                <w:sz w:val="20"/>
                <w:szCs w:val="20"/>
              </w:rPr>
              <w:t>Statens</w:t>
            </w:r>
            <w:proofErr w:type="spellEnd"/>
            <w:r w:rsidRPr="006409B4">
              <w:rPr>
                <w:rFonts w:ascii="Arial" w:hAnsi="Arial" w:cs="Arial"/>
                <w:b w:val="0"/>
                <w:sz w:val="20"/>
                <w:szCs w:val="20"/>
              </w:rPr>
              <w:t xml:space="preserve"> Serum Institute</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Responsible for prevention, surveillance, and control of infectious diseases, biological threats, and congenital diseases</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Danish Patient Safety Authority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Protects patient rights and safety, inspects health institutions and professionals, monitors adverse events</w:t>
            </w:r>
          </w:p>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Danish Health Data Authority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Generates coherent health data for administrative and research purposes, maintains a wide range of registries, provides a platform for storage and data analysis</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Danish Council on Ethics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Advises public authorities on ethical issues related to genetic engineering and biotechnology</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National Committee on Health Research Ethics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Ensures that health research is carried out in an ethically responsible manner, protects the rights and safety of trial subjects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sz w:val="20"/>
                <w:szCs w:val="20"/>
              </w:rPr>
            </w:pPr>
            <w:r w:rsidRPr="006409B4">
              <w:rPr>
                <w:rFonts w:ascii="Arial" w:hAnsi="Arial" w:cs="Arial"/>
                <w:sz w:val="20"/>
                <w:szCs w:val="20"/>
              </w:rPr>
              <w:t>Sweden</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Swedish</w:t>
            </w:r>
            <w:r w:rsidRPr="006409B4">
              <w:rPr>
                <w:rFonts w:ascii="Arial" w:hAnsi="Arial" w:cs="Arial"/>
                <w:b w:val="0"/>
                <w:sz w:val="20"/>
                <w:szCs w:val="20"/>
              </w:rPr>
              <w:t xml:space="preserve"> National Board of Health and Welfare</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Develops national guidelines, maintains health registers and official statistics, and supervises health care personnel</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Medical Responsibility Board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Handles patient complaints or malpractice</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Swedish Council on Technology Assessment in Health Care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Promotes the use of cost-effective health care technologies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Swedish</w:t>
            </w:r>
            <w:r w:rsidRPr="006409B4">
              <w:rPr>
                <w:rFonts w:ascii="Arial" w:hAnsi="Arial" w:cs="Arial"/>
                <w:b w:val="0"/>
                <w:sz w:val="20"/>
                <w:szCs w:val="20"/>
              </w:rPr>
              <w:t xml:space="preserve"> Medical Products Agency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Regulates and monitors the development and sale of drugs and other medicinal products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lastRenderedPageBreak/>
              <w:t xml:space="preserve">The Dental and Pharmaceutical Benefits Agency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Decides if a medicine or dental service should be subsidized</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Swedish Agency for Health and Care Services Analysis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Analyzes and evaluates implemented measures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Swedish eHealth Agency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Promotes information-sharing among health and social care professionals, stores and transfers electronic prescriptions, provides statistics on drugs and pharmaceutical sales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Public Health Agency of Sweden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Gathers and provides evidence-based health knowledge to public institutions and leads national infection control</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sz w:val="20"/>
                <w:szCs w:val="20"/>
              </w:rPr>
            </w:pPr>
            <w:r w:rsidRPr="006409B4">
              <w:rPr>
                <w:rFonts w:ascii="Arial" w:hAnsi="Arial" w:cs="Arial"/>
                <w:sz w:val="20"/>
                <w:szCs w:val="20"/>
              </w:rPr>
              <w:t>Norway</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Directorate of Health</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Implements national health policy, provides national guidelines, and advises authorities and public health institutions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Directorate of eHealth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Responsible for digitization of the health care sector</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Board of Health Supervision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Provides supervision of and monitors need for health and social services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Institute of Public Health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Provides monitoring, expertise and research in the areas of epidemiology and infectious disease control</w:t>
            </w:r>
          </w:p>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Medicines Agency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In charge of granting marketing authorizations, classification, vigilance, pricing, reimbursement, and providing information on medicines</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Healthcare Investigation Board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Investigates adverse events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F6320">
              <w:rPr>
                <w:rFonts w:ascii="Arial" w:hAnsi="Arial" w:cs="Arial"/>
                <w:b w:val="0"/>
                <w:sz w:val="20"/>
                <w:szCs w:val="20"/>
              </w:rPr>
              <w:t xml:space="preserve"> Norwegian</w:t>
            </w:r>
            <w:r w:rsidRPr="006409B4">
              <w:rPr>
                <w:rFonts w:ascii="Arial" w:hAnsi="Arial" w:cs="Arial"/>
                <w:b w:val="0"/>
                <w:sz w:val="20"/>
                <w:szCs w:val="20"/>
              </w:rPr>
              <w:t xml:space="preserve"> System of Patient Injury Compensation</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Handles compensation claims for patients. Collects injury case data to provide a statistical basis for the health sector's quality improvement</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sz w:val="20"/>
                <w:szCs w:val="20"/>
              </w:rPr>
            </w:pPr>
            <w:r w:rsidRPr="006409B4">
              <w:rPr>
                <w:rFonts w:ascii="Arial" w:hAnsi="Arial" w:cs="Arial"/>
                <w:sz w:val="20"/>
                <w:szCs w:val="20"/>
              </w:rPr>
              <w:t>Finland</w:t>
            </w:r>
          </w:p>
          <w:p w:rsidR="0064354B" w:rsidRPr="006409B4" w:rsidRDefault="0064354B" w:rsidP="004A1564">
            <w:pPr>
              <w:spacing w:line="276" w:lineRule="auto"/>
              <w:rPr>
                <w:rFonts w:ascii="Arial" w:hAnsi="Arial" w:cs="Arial"/>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AF4566">
              <w:rPr>
                <w:rFonts w:ascii="Arial" w:hAnsi="Arial" w:cs="Arial"/>
                <w:b w:val="0"/>
                <w:sz w:val="20"/>
                <w:szCs w:val="20"/>
              </w:rPr>
              <w:t xml:space="preserve"> Finnish</w:t>
            </w:r>
            <w:r w:rsidRPr="006409B4">
              <w:rPr>
                <w:rFonts w:ascii="Arial" w:hAnsi="Arial" w:cs="Arial"/>
                <w:b w:val="0"/>
                <w:sz w:val="20"/>
                <w:szCs w:val="20"/>
              </w:rPr>
              <w:t xml:space="preserve"> Institute for Health and Welfare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Studies, monitors, and promotes health, and provides expertise to the government, municipalities, other public institutions, and the public</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Regional State Administrative Agencies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Guides and monitors municipal and private health care services, evaluates the availability and quality of services, grant licenses to private providers</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lastRenderedPageBreak/>
              <w:t xml:space="preserve">The </w:t>
            </w:r>
            <w:r w:rsidR="00AF4566">
              <w:rPr>
                <w:rFonts w:ascii="Arial" w:hAnsi="Arial" w:cs="Arial"/>
                <w:b w:val="0"/>
                <w:sz w:val="20"/>
                <w:szCs w:val="20"/>
              </w:rPr>
              <w:t xml:space="preserve">Finnish </w:t>
            </w:r>
            <w:r w:rsidRPr="006409B4">
              <w:rPr>
                <w:rFonts w:ascii="Arial" w:hAnsi="Arial" w:cs="Arial"/>
                <w:b w:val="0"/>
                <w:sz w:val="20"/>
                <w:szCs w:val="20"/>
              </w:rPr>
              <w:t xml:space="preserve">Medicines Agency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Regulates medicines, medical devices, blood and tissue products, and biobanks and develops and supervises the pharmaceutical sector</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The National Supervisory Authority for Welfare and Health </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Guides, monitors, and manages the administration of licenses for the healthcare sector, alcohol administration, and environmental health and protection</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 Institute of Occupational Health</w:t>
            </w: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Focuses on well-being at work, research, advisory services and training</w:t>
            </w: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none" w:sz="0" w:space="0" w:color="auto"/>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p>
        </w:tc>
        <w:tc>
          <w:tcPr>
            <w:tcW w:w="5670" w:type="dxa"/>
            <w:tcBorders>
              <w:left w:val="single" w:sz="4" w:space="0" w:color="A5A5A5" w:themeColor="accent3"/>
              <w:bottom w:val="none" w:sz="0" w:space="0" w:color="auto"/>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sz w:val="20"/>
                <w:szCs w:val="20"/>
              </w:rPr>
            </w:pPr>
            <w:r w:rsidRPr="006409B4">
              <w:rPr>
                <w:rFonts w:ascii="Arial" w:hAnsi="Arial" w:cs="Arial"/>
                <w:sz w:val="20"/>
                <w:szCs w:val="20"/>
              </w:rPr>
              <w:t>Iceland</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 Directorate of Health</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Advises and supervises on matters concerning health, sponsors and organizes public health initiatives, monitors prescription medicines, collects and processes data on health and health care services, handles complaints</w:t>
            </w:r>
          </w:p>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 xml:space="preserve">Icelandic Health Insurance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Negotiates, purchases, and pays for health care services from both public and independent providers</w:t>
            </w:r>
          </w:p>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354B" w:rsidRPr="006409B4" w:rsidTr="004A1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w:t>
            </w:r>
            <w:r w:rsidR="00537703">
              <w:rPr>
                <w:rFonts w:ascii="Arial" w:hAnsi="Arial" w:cs="Arial"/>
                <w:b w:val="0"/>
                <w:sz w:val="20"/>
                <w:szCs w:val="20"/>
              </w:rPr>
              <w:t xml:space="preserve"> Icelandic</w:t>
            </w:r>
            <w:r w:rsidRPr="006409B4">
              <w:rPr>
                <w:rFonts w:ascii="Arial" w:hAnsi="Arial" w:cs="Arial"/>
                <w:b w:val="0"/>
                <w:sz w:val="20"/>
                <w:szCs w:val="20"/>
              </w:rPr>
              <w:t xml:space="preserve"> Medicines Agency </w:t>
            </w:r>
          </w:p>
        </w:tc>
        <w:tc>
          <w:tcPr>
            <w:tcW w:w="5670" w:type="dxa"/>
            <w:tcBorders>
              <w:left w:val="single" w:sz="4" w:space="0" w:color="A5A5A5" w:themeColor="accent3"/>
              <w:right w:val="single" w:sz="12" w:space="0" w:color="A5A5A5" w:themeColor="accent3"/>
            </w:tcBorders>
          </w:tcPr>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Assesses the quality and safety of medicinal products, inspects whether regulatory requirements are fulfilled, provides information to health professionals and the public and ensures consumer protection, decides on the registration and deregistration of pharmaceuticals</w:t>
            </w:r>
          </w:p>
          <w:p w:rsidR="0064354B" w:rsidRPr="006409B4" w:rsidRDefault="0064354B" w:rsidP="004A15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354B" w:rsidRPr="006409B4" w:rsidTr="004A1564">
        <w:tc>
          <w:tcPr>
            <w:cnfStyle w:val="001000000000" w:firstRow="0" w:lastRow="0" w:firstColumn="1" w:lastColumn="0" w:oddVBand="0" w:evenVBand="0" w:oddHBand="0" w:evenHBand="0" w:firstRowFirstColumn="0" w:firstRowLastColumn="0" w:lastRowFirstColumn="0" w:lastRowLastColumn="0"/>
            <w:tcW w:w="3387" w:type="dxa"/>
            <w:tcBorders>
              <w:left w:val="single" w:sz="12" w:space="0" w:color="A5A5A5" w:themeColor="accent3"/>
              <w:bottom w:val="single" w:sz="12" w:space="0" w:color="A5A5A5" w:themeColor="accent3"/>
              <w:right w:val="single" w:sz="4" w:space="0" w:color="A5A5A5" w:themeColor="accent3"/>
            </w:tcBorders>
          </w:tcPr>
          <w:p w:rsidR="0064354B" w:rsidRPr="006409B4" w:rsidRDefault="0064354B" w:rsidP="004A1564">
            <w:pPr>
              <w:spacing w:line="276" w:lineRule="auto"/>
              <w:rPr>
                <w:rFonts w:ascii="Arial" w:hAnsi="Arial" w:cs="Arial"/>
                <w:b w:val="0"/>
                <w:sz w:val="20"/>
                <w:szCs w:val="20"/>
              </w:rPr>
            </w:pPr>
            <w:r w:rsidRPr="006409B4">
              <w:rPr>
                <w:rFonts w:ascii="Arial" w:hAnsi="Arial" w:cs="Arial"/>
                <w:b w:val="0"/>
                <w:sz w:val="20"/>
                <w:szCs w:val="20"/>
              </w:rPr>
              <w:t>The Medicine Pricing and Reimbursement Committee</w:t>
            </w:r>
          </w:p>
        </w:tc>
        <w:tc>
          <w:tcPr>
            <w:tcW w:w="5670" w:type="dxa"/>
            <w:tcBorders>
              <w:left w:val="single" w:sz="4" w:space="0" w:color="A5A5A5" w:themeColor="accent3"/>
              <w:bottom w:val="single" w:sz="12" w:space="0" w:color="A5A5A5" w:themeColor="accent3"/>
              <w:right w:val="single" w:sz="12" w:space="0" w:color="A5A5A5" w:themeColor="accent3"/>
            </w:tcBorders>
          </w:tcPr>
          <w:p w:rsidR="0064354B" w:rsidRPr="006409B4" w:rsidRDefault="0064354B" w:rsidP="004A15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Makes decisions on wholesale pricing, reimbursements, specialty care high-cost medicines among others</w:t>
            </w:r>
          </w:p>
        </w:tc>
      </w:tr>
    </w:tbl>
    <w:p w:rsidR="0064354B" w:rsidRPr="006409B4" w:rsidRDefault="0064354B" w:rsidP="0064354B">
      <w:pPr>
        <w:spacing w:line="360" w:lineRule="auto"/>
        <w:rPr>
          <w:rFonts w:ascii="Arial" w:hAnsi="Arial" w:cs="Arial"/>
          <w:sz w:val="20"/>
          <w:szCs w:val="20"/>
        </w:rPr>
        <w:sectPr w:rsidR="0064354B" w:rsidRPr="006409B4" w:rsidSect="00386B4B">
          <w:pgSz w:w="12240" w:h="15840"/>
          <w:pgMar w:top="1440" w:right="1440" w:bottom="1440" w:left="1440" w:header="708" w:footer="708" w:gutter="0"/>
          <w:cols w:space="708"/>
          <w:docGrid w:linePitch="360"/>
        </w:sectPr>
      </w:pPr>
    </w:p>
    <w:p w:rsidR="00E33C3D" w:rsidRPr="006409B4" w:rsidRDefault="00E33C3D" w:rsidP="00E33C3D">
      <w:pPr>
        <w:spacing w:line="276" w:lineRule="auto"/>
        <w:rPr>
          <w:rFonts w:ascii="Arial" w:hAnsi="Arial" w:cs="Arial"/>
          <w:b/>
          <w:sz w:val="20"/>
          <w:szCs w:val="20"/>
        </w:rPr>
      </w:pPr>
      <w:r w:rsidRPr="006409B4">
        <w:rPr>
          <w:rFonts w:ascii="Arial" w:hAnsi="Arial" w:cs="Arial"/>
          <w:b/>
          <w:sz w:val="20"/>
          <w:szCs w:val="20"/>
        </w:rPr>
        <w:lastRenderedPageBreak/>
        <w:t xml:space="preserve">Supplementary Table </w:t>
      </w:r>
      <w:r w:rsidR="0064354B" w:rsidRPr="006409B4">
        <w:rPr>
          <w:rFonts w:ascii="Arial" w:hAnsi="Arial" w:cs="Arial"/>
          <w:b/>
          <w:sz w:val="20"/>
          <w:szCs w:val="20"/>
        </w:rPr>
        <w:t>2</w:t>
      </w:r>
      <w:r w:rsidRPr="006409B4">
        <w:rPr>
          <w:rFonts w:ascii="Arial" w:hAnsi="Arial" w:cs="Arial"/>
          <w:b/>
          <w:sz w:val="20"/>
          <w:szCs w:val="20"/>
        </w:rPr>
        <w:t xml:space="preserve">. </w:t>
      </w:r>
      <w:r w:rsidRPr="006409B4">
        <w:rPr>
          <w:rFonts w:ascii="Arial" w:hAnsi="Arial" w:cs="Arial"/>
          <w:sz w:val="20"/>
          <w:szCs w:val="20"/>
        </w:rPr>
        <w:t>Select</w:t>
      </w:r>
      <w:r w:rsidR="001E4E7A" w:rsidRPr="006409B4">
        <w:rPr>
          <w:rFonts w:ascii="Arial" w:hAnsi="Arial" w:cs="Arial"/>
          <w:sz w:val="20"/>
          <w:szCs w:val="20"/>
        </w:rPr>
        <w:t>ed</w:t>
      </w:r>
      <w:r w:rsidRPr="006409B4">
        <w:rPr>
          <w:rFonts w:ascii="Arial" w:hAnsi="Arial" w:cs="Arial"/>
          <w:sz w:val="20"/>
          <w:szCs w:val="20"/>
        </w:rPr>
        <w:t xml:space="preserve"> examples of fees in the Nord</w:t>
      </w:r>
      <w:r w:rsidR="006409B4" w:rsidRPr="006409B4">
        <w:rPr>
          <w:rFonts w:ascii="Arial" w:hAnsi="Arial" w:cs="Arial"/>
          <w:sz w:val="20"/>
          <w:szCs w:val="20"/>
        </w:rPr>
        <w:t>ic healthcare systems 2020/2021</w:t>
      </w:r>
    </w:p>
    <w:tbl>
      <w:tblPr>
        <w:tblStyle w:val="Listetabel3-farve31"/>
        <w:tblW w:w="0" w:type="auto"/>
        <w:tblLook w:val="04A0" w:firstRow="1" w:lastRow="0" w:firstColumn="1" w:lastColumn="0" w:noHBand="0" w:noVBand="1"/>
      </w:tblPr>
      <w:tblGrid>
        <w:gridCol w:w="3539"/>
        <w:gridCol w:w="3119"/>
        <w:gridCol w:w="1984"/>
        <w:gridCol w:w="3260"/>
      </w:tblGrid>
      <w:tr w:rsidR="00E33C3D" w:rsidRPr="006409B4" w:rsidTr="007D5B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top w:val="single" w:sz="12" w:space="0" w:color="A5A5A5" w:themeColor="accent3"/>
              <w:left w:val="single" w:sz="12" w:space="0" w:color="A5A5A5" w:themeColor="accent3"/>
              <w:bottom w:val="single" w:sz="12" w:space="0" w:color="A5A5A5" w:themeColor="accent3"/>
              <w:right w:val="single" w:sz="4" w:space="0" w:color="A5A5A5" w:themeColor="accent3"/>
            </w:tcBorders>
            <w:shd w:val="clear" w:color="auto" w:fill="D9D9D9" w:themeFill="background1" w:themeFillShade="D9"/>
          </w:tcPr>
          <w:p w:rsidR="00E33C3D" w:rsidRPr="006409B4" w:rsidRDefault="00E33C3D" w:rsidP="007D5B87">
            <w:pPr>
              <w:spacing w:line="360" w:lineRule="auto"/>
              <w:jc w:val="center"/>
              <w:rPr>
                <w:rFonts w:ascii="Arial" w:hAnsi="Arial" w:cs="Arial"/>
                <w:color w:val="000000" w:themeColor="text1"/>
                <w:sz w:val="20"/>
                <w:szCs w:val="20"/>
              </w:rPr>
            </w:pPr>
            <w:r w:rsidRPr="006409B4">
              <w:rPr>
                <w:rFonts w:ascii="Arial" w:hAnsi="Arial" w:cs="Arial"/>
                <w:color w:val="000000" w:themeColor="text1"/>
                <w:sz w:val="20"/>
                <w:szCs w:val="20"/>
              </w:rPr>
              <w:t>Sweden</w:t>
            </w:r>
          </w:p>
        </w:tc>
        <w:tc>
          <w:tcPr>
            <w:tcW w:w="3119" w:type="dxa"/>
            <w:tcBorders>
              <w:top w:val="single" w:sz="12" w:space="0" w:color="A5A5A5" w:themeColor="accent3"/>
              <w:left w:val="single" w:sz="4" w:space="0" w:color="A5A5A5" w:themeColor="accent3"/>
              <w:bottom w:val="single" w:sz="12" w:space="0" w:color="A5A5A5" w:themeColor="accent3"/>
            </w:tcBorders>
            <w:shd w:val="clear" w:color="auto" w:fill="D9D9D9" w:themeFill="background1" w:themeFillShade="D9"/>
          </w:tcPr>
          <w:p w:rsidR="00E33C3D" w:rsidRPr="006409B4" w:rsidRDefault="00E33C3D" w:rsidP="007D5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Norway</w:t>
            </w:r>
          </w:p>
        </w:tc>
        <w:tc>
          <w:tcPr>
            <w:tcW w:w="1984" w:type="dxa"/>
            <w:tcBorders>
              <w:top w:val="single" w:sz="12" w:space="0" w:color="A5A5A5" w:themeColor="accent3"/>
              <w:bottom w:val="single" w:sz="12" w:space="0" w:color="A5A5A5" w:themeColor="accent3"/>
              <w:right w:val="single" w:sz="4" w:space="0" w:color="A5A5A5" w:themeColor="accent3"/>
            </w:tcBorders>
            <w:shd w:val="clear" w:color="auto" w:fill="D9D9D9" w:themeFill="background1" w:themeFillShade="D9"/>
          </w:tcPr>
          <w:p w:rsidR="00E33C3D" w:rsidRPr="006409B4" w:rsidRDefault="00E33C3D" w:rsidP="007D5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Finland</w:t>
            </w:r>
          </w:p>
        </w:tc>
        <w:tc>
          <w:tcPr>
            <w:tcW w:w="3260" w:type="dxa"/>
            <w:tcBorders>
              <w:top w:val="single" w:sz="12" w:space="0" w:color="A5A5A5" w:themeColor="accent3"/>
              <w:left w:val="single" w:sz="4" w:space="0" w:color="A5A5A5" w:themeColor="accent3"/>
              <w:bottom w:val="single" w:sz="12" w:space="0" w:color="A5A5A5" w:themeColor="accent3"/>
              <w:right w:val="single" w:sz="12" w:space="0" w:color="A5A5A5" w:themeColor="accent3"/>
            </w:tcBorders>
            <w:shd w:val="clear" w:color="auto" w:fill="D9D9D9" w:themeFill="background1" w:themeFillShade="D9"/>
          </w:tcPr>
          <w:p w:rsidR="00E33C3D" w:rsidRPr="006409B4" w:rsidRDefault="00E33C3D" w:rsidP="007D5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Iceland</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12" w:space="0" w:color="A5A5A5" w:themeColor="accent3"/>
              <w:left w:val="single" w:sz="12" w:space="0" w:color="A5A5A5" w:themeColor="accent3"/>
              <w:right w:val="single" w:sz="4" w:space="0" w:color="A5A5A5" w:themeColor="accent3"/>
            </w:tcBorders>
          </w:tcPr>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 xml:space="preserve">Maximum cost for outpatient fees </w:t>
            </w:r>
          </w:p>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is ~1100 SEK/year (130 USD/year)</w:t>
            </w:r>
          </w:p>
        </w:tc>
        <w:tc>
          <w:tcPr>
            <w:tcW w:w="3119" w:type="dxa"/>
            <w:tcBorders>
              <w:top w:val="single" w:sz="12" w:space="0" w:color="A5A5A5" w:themeColor="accent3"/>
              <w:left w:val="single" w:sz="4"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Maximum cost for patient fees is ~2460 NOK/year</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(290 USD/year) </w:t>
            </w:r>
          </w:p>
        </w:tc>
        <w:tc>
          <w:tcPr>
            <w:tcW w:w="1984" w:type="dxa"/>
            <w:tcBorders>
              <w:top w:val="single" w:sz="12" w:space="0" w:color="A5A5A5" w:themeColor="accent3"/>
              <w:left w:val="single" w:sz="4"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Maximum cost for patient fees is ~680 Euro/year (822 USD/year) </w:t>
            </w:r>
          </w:p>
        </w:tc>
        <w:tc>
          <w:tcPr>
            <w:tcW w:w="3260" w:type="dxa"/>
            <w:tcBorders>
              <w:top w:val="single" w:sz="12" w:space="0" w:color="A5A5A5" w:themeColor="accent3"/>
              <w:left w:val="single" w:sz="4" w:space="0" w:color="A5A5A5" w:themeColor="accent3"/>
              <w:right w:val="single" w:sz="12"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Maximum cost for patient fees is ~26,500 ISK/year (200 USD/year); </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for pensioners, people with disability, and children, the maximum is ~17,500 ISK/year </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(135 USD/year)</w:t>
            </w:r>
          </w:p>
        </w:tc>
      </w:tr>
      <w:tr w:rsidR="00E33C3D" w:rsidRPr="006409B4" w:rsidTr="007D5B87">
        <w:tc>
          <w:tcPr>
            <w:cnfStyle w:val="001000000000" w:firstRow="0" w:lastRow="0" w:firstColumn="1" w:lastColumn="0" w:oddVBand="0" w:evenVBand="0" w:oddHBand="0" w:evenHBand="0" w:firstRowFirstColumn="0" w:firstRowLastColumn="0" w:lastRowFirstColumn="0" w:lastRowLastColumn="0"/>
            <w:tcW w:w="3539" w:type="dxa"/>
            <w:tcBorders>
              <w:left w:val="single" w:sz="12" w:space="0" w:color="A5A5A5" w:themeColor="accent3"/>
              <w:right w:val="single" w:sz="4" w:space="0" w:color="A5A5A5" w:themeColor="accent3"/>
            </w:tcBorders>
          </w:tcPr>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GP visit ~50-300 SEK</w:t>
            </w:r>
          </w:p>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(6-35 USD)</w:t>
            </w:r>
          </w:p>
        </w:tc>
        <w:tc>
          <w:tcPr>
            <w:tcW w:w="3119"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GP visit ~160 NOK</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(19 USD); additional fees for blood samples or examinations at GPs</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4"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GP visit up to ~20 Euro (24 USD)</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260" w:type="dxa"/>
            <w:tcBorders>
              <w:left w:val="single" w:sz="4" w:space="0" w:color="A5A5A5" w:themeColor="accent3"/>
              <w:right w:val="single" w:sz="12"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GP visit ~700-4500 ISK depending on whether during/after office hours</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(5-34 USD)</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12" w:space="0" w:color="A5A5A5" w:themeColor="accent3"/>
              <w:right w:val="single" w:sz="4" w:space="0" w:color="A5A5A5" w:themeColor="accent3"/>
            </w:tcBorders>
          </w:tcPr>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Outpatient visit ~300-400 SEK</w:t>
            </w:r>
          </w:p>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(35-47 USD)</w:t>
            </w:r>
          </w:p>
        </w:tc>
        <w:tc>
          <w:tcPr>
            <w:tcW w:w="3119"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Outpatient visits ~375 NOK</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(44 USD); additional fees for examinations (</w:t>
            </w:r>
            <w:proofErr w:type="spellStart"/>
            <w:r w:rsidRPr="006409B4">
              <w:rPr>
                <w:rFonts w:ascii="Arial" w:hAnsi="Arial" w:cs="Arial"/>
                <w:color w:val="000000" w:themeColor="text1"/>
                <w:sz w:val="20"/>
                <w:szCs w:val="20"/>
              </w:rPr>
              <w:t>eg</w:t>
            </w:r>
            <w:proofErr w:type="spellEnd"/>
            <w:r w:rsidRPr="006409B4">
              <w:rPr>
                <w:rFonts w:ascii="Arial" w:hAnsi="Arial" w:cs="Arial"/>
                <w:color w:val="000000" w:themeColor="text1"/>
                <w:sz w:val="20"/>
                <w:szCs w:val="20"/>
              </w:rPr>
              <w:t>, x-rays, ultrasound, laboratory tests)</w:t>
            </w:r>
          </w:p>
        </w:tc>
        <w:tc>
          <w:tcPr>
            <w:tcW w:w="1984"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Outpatient visits </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up to ~42 Euro</w:t>
            </w:r>
          </w:p>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(50 USD)</w:t>
            </w:r>
          </w:p>
        </w:tc>
        <w:tc>
          <w:tcPr>
            <w:tcW w:w="3260" w:type="dxa"/>
            <w:tcBorders>
              <w:left w:val="single" w:sz="4" w:space="0" w:color="A5A5A5" w:themeColor="accent3"/>
              <w:right w:val="single" w:sz="12"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Outpatient visits ~3500 ISK (26 USD)</w:t>
            </w:r>
          </w:p>
        </w:tc>
      </w:tr>
      <w:tr w:rsidR="00E33C3D" w:rsidRPr="006409B4" w:rsidTr="007D5B87">
        <w:tc>
          <w:tcPr>
            <w:cnfStyle w:val="001000000000" w:firstRow="0" w:lastRow="0" w:firstColumn="1" w:lastColumn="0" w:oddVBand="0" w:evenVBand="0" w:oddHBand="0" w:evenHBand="0" w:firstRowFirstColumn="0" w:firstRowLastColumn="0" w:lastRowFirstColumn="0" w:lastRowLastColumn="0"/>
            <w:tcW w:w="3539" w:type="dxa"/>
            <w:tcBorders>
              <w:left w:val="single" w:sz="12" w:space="0" w:color="A5A5A5" w:themeColor="accent3"/>
              <w:right w:val="single" w:sz="4" w:space="0" w:color="A5A5A5" w:themeColor="accent3"/>
            </w:tcBorders>
          </w:tcPr>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Inpatient hospital stay maximum 100 SEK/day (12 USD/day);</w:t>
            </w:r>
          </w:p>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emergency room visit ~200-400 SEK (24-47 USD)</w:t>
            </w:r>
          </w:p>
        </w:tc>
        <w:tc>
          <w:tcPr>
            <w:tcW w:w="3119"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Inpatient hospital visits and treatment are free</w:t>
            </w:r>
          </w:p>
        </w:tc>
        <w:tc>
          <w:tcPr>
            <w:tcW w:w="1984" w:type="dxa"/>
            <w:tcBorders>
              <w:left w:val="single" w:sz="4" w:space="0" w:color="A5A5A5" w:themeColor="accent3"/>
              <w:right w:val="single" w:sz="4"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Inpatient hospital stay up to ~50 Euro (~60 USD/day);</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emergency room visit up to ~28 Euro (33 USD)</w:t>
            </w:r>
          </w:p>
        </w:tc>
        <w:tc>
          <w:tcPr>
            <w:tcW w:w="3260" w:type="dxa"/>
            <w:tcBorders>
              <w:left w:val="single" w:sz="4" w:space="0" w:color="A5A5A5" w:themeColor="accent3"/>
              <w:right w:val="single" w:sz="12" w:space="0" w:color="A5A5A5" w:themeColor="accent3"/>
            </w:tcBorders>
          </w:tcPr>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Inpatient hospital stays are free;</w:t>
            </w:r>
          </w:p>
          <w:p w:rsidR="00E33C3D" w:rsidRPr="006409B4" w:rsidRDefault="00E33C3D" w:rsidP="007D5B8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emergency room visit ~7000 ISK (52 USD)</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12" w:space="0" w:color="A5A5A5" w:themeColor="accent3"/>
              <w:bottom w:val="single" w:sz="12" w:space="0" w:color="A5A5A5" w:themeColor="accent3"/>
              <w:right w:val="single" w:sz="4" w:space="0" w:color="A5A5A5" w:themeColor="accent3"/>
            </w:tcBorders>
          </w:tcPr>
          <w:p w:rsidR="00E33C3D" w:rsidRPr="006409B4" w:rsidRDefault="00E33C3D" w:rsidP="007D5B87">
            <w:pPr>
              <w:spacing w:line="276" w:lineRule="auto"/>
              <w:rPr>
                <w:rFonts w:ascii="Arial" w:hAnsi="Arial" w:cs="Arial"/>
                <w:bCs w:val="0"/>
                <w:color w:val="000000" w:themeColor="text1"/>
                <w:sz w:val="20"/>
                <w:szCs w:val="20"/>
              </w:rPr>
            </w:pPr>
            <w:r w:rsidRPr="006409B4">
              <w:rPr>
                <w:rFonts w:ascii="Arial" w:hAnsi="Arial" w:cs="Arial"/>
                <w:b w:val="0"/>
                <w:color w:val="000000" w:themeColor="text1"/>
                <w:sz w:val="20"/>
                <w:szCs w:val="20"/>
              </w:rPr>
              <w:t>No fees for children, individuals with a disease that is regulated by the Infectious Diseases Act 2004:168, and outpatient visits for elderly ≥85 years;</w:t>
            </w:r>
          </w:p>
          <w:p w:rsidR="00E33C3D" w:rsidRPr="006409B4" w:rsidRDefault="00E33C3D" w:rsidP="007D5B87">
            <w:pPr>
              <w:spacing w:line="276" w:lineRule="auto"/>
              <w:rPr>
                <w:rFonts w:ascii="Arial" w:hAnsi="Arial" w:cs="Arial"/>
                <w:b w:val="0"/>
                <w:color w:val="000000" w:themeColor="text1"/>
                <w:sz w:val="20"/>
                <w:szCs w:val="20"/>
              </w:rPr>
            </w:pPr>
            <w:r w:rsidRPr="006409B4">
              <w:rPr>
                <w:rFonts w:ascii="Arial" w:hAnsi="Arial" w:cs="Arial"/>
                <w:b w:val="0"/>
                <w:color w:val="000000" w:themeColor="text1"/>
                <w:sz w:val="20"/>
                <w:szCs w:val="20"/>
              </w:rPr>
              <w:t xml:space="preserve">healthcare related to contraceptive advice, mammography, and cervical cancer screening is free of charge; maternal pregnancy care and syringe </w:t>
            </w:r>
            <w:r w:rsidRPr="006409B4">
              <w:rPr>
                <w:rFonts w:ascii="Arial" w:hAnsi="Arial" w:cs="Arial"/>
                <w:b w:val="0"/>
                <w:color w:val="000000" w:themeColor="text1"/>
                <w:sz w:val="20"/>
                <w:szCs w:val="20"/>
              </w:rPr>
              <w:lastRenderedPageBreak/>
              <w:t>exchange programs (for drug abusers) are free of charge</w:t>
            </w:r>
          </w:p>
        </w:tc>
        <w:tc>
          <w:tcPr>
            <w:tcW w:w="3119" w:type="dxa"/>
            <w:tcBorders>
              <w:left w:val="single" w:sz="4" w:space="0" w:color="A5A5A5" w:themeColor="accent3"/>
              <w:bottom w:val="single" w:sz="12"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lastRenderedPageBreak/>
              <w:t xml:space="preserve">No fees for pregnant women and children &lt; 16 years of age </w:t>
            </w:r>
          </w:p>
        </w:tc>
        <w:tc>
          <w:tcPr>
            <w:tcW w:w="1984" w:type="dxa"/>
            <w:tcBorders>
              <w:left w:val="single" w:sz="4" w:space="0" w:color="A5A5A5" w:themeColor="accent3"/>
              <w:bottom w:val="single" w:sz="12" w:space="0" w:color="A5A5A5" w:themeColor="accent3"/>
              <w:right w:val="single" w:sz="4"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t xml:space="preserve">No fees for children &lt; 18 years and patients with respiratory paralysis; visits to maternal and child welfare centers, public health nurses, laboratory </w:t>
            </w:r>
            <w:r w:rsidRPr="006409B4">
              <w:rPr>
                <w:rFonts w:ascii="Arial" w:hAnsi="Arial" w:cs="Arial"/>
                <w:color w:val="000000" w:themeColor="text1"/>
                <w:sz w:val="20"/>
                <w:szCs w:val="20"/>
              </w:rPr>
              <w:lastRenderedPageBreak/>
              <w:t>tests and X-rays, visits related to contagious infectious diseases, and organ transplants are free of charge</w:t>
            </w:r>
          </w:p>
        </w:tc>
        <w:tc>
          <w:tcPr>
            <w:tcW w:w="3260" w:type="dxa"/>
            <w:tcBorders>
              <w:left w:val="single" w:sz="4" w:space="0" w:color="A5A5A5" w:themeColor="accent3"/>
              <w:bottom w:val="single" w:sz="12" w:space="0" w:color="A5A5A5" w:themeColor="accent3"/>
              <w:right w:val="single" w:sz="12" w:space="0" w:color="A5A5A5" w:themeColor="accent3"/>
            </w:tcBorders>
          </w:tcPr>
          <w:p w:rsidR="00E33C3D" w:rsidRPr="006409B4" w:rsidRDefault="00E33C3D" w:rsidP="007D5B8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409B4">
              <w:rPr>
                <w:rFonts w:ascii="Arial" w:hAnsi="Arial" w:cs="Arial"/>
                <w:color w:val="000000" w:themeColor="text1"/>
                <w:sz w:val="20"/>
                <w:szCs w:val="20"/>
              </w:rPr>
              <w:lastRenderedPageBreak/>
              <w:t>GP visits are free for children and elderly; outpatient visits are free for children</w:t>
            </w:r>
          </w:p>
        </w:tc>
      </w:tr>
    </w:tbl>
    <w:p w:rsidR="00E33C3D" w:rsidRPr="006409B4" w:rsidRDefault="00E33C3D" w:rsidP="00E33C3D">
      <w:pPr>
        <w:spacing w:line="360" w:lineRule="auto"/>
        <w:rPr>
          <w:rFonts w:ascii="Arial" w:hAnsi="Arial" w:cs="Arial"/>
          <w:sz w:val="20"/>
          <w:szCs w:val="20"/>
        </w:rPr>
        <w:sectPr w:rsidR="00E33C3D" w:rsidRPr="006409B4" w:rsidSect="00F30860">
          <w:pgSz w:w="15840" w:h="12240" w:orient="landscape"/>
          <w:pgMar w:top="1440" w:right="1440" w:bottom="1440" w:left="1440" w:header="708" w:footer="708" w:gutter="0"/>
          <w:cols w:space="708"/>
          <w:docGrid w:linePitch="360"/>
        </w:sectPr>
      </w:pPr>
    </w:p>
    <w:p w:rsidR="00E33C3D" w:rsidRPr="006409B4" w:rsidRDefault="00E33C3D" w:rsidP="00E33C3D">
      <w:pPr>
        <w:spacing w:line="360" w:lineRule="auto"/>
        <w:rPr>
          <w:rFonts w:ascii="Arial" w:hAnsi="Arial" w:cs="Arial"/>
          <w:b/>
          <w:sz w:val="20"/>
          <w:szCs w:val="20"/>
        </w:rPr>
      </w:pPr>
      <w:r w:rsidRPr="006409B4">
        <w:rPr>
          <w:rFonts w:ascii="Arial" w:hAnsi="Arial" w:cs="Arial"/>
          <w:b/>
          <w:sz w:val="20"/>
          <w:szCs w:val="20"/>
        </w:rPr>
        <w:lastRenderedPageBreak/>
        <w:t xml:space="preserve">Supplementary Table </w:t>
      </w:r>
      <w:r w:rsidR="0064354B" w:rsidRPr="006409B4">
        <w:rPr>
          <w:rFonts w:ascii="Arial" w:hAnsi="Arial" w:cs="Arial"/>
          <w:b/>
          <w:sz w:val="20"/>
          <w:szCs w:val="20"/>
        </w:rPr>
        <w:t>3</w:t>
      </w:r>
      <w:r w:rsidRPr="006409B4">
        <w:rPr>
          <w:rFonts w:ascii="Arial" w:hAnsi="Arial" w:cs="Arial"/>
          <w:b/>
          <w:sz w:val="20"/>
          <w:szCs w:val="20"/>
        </w:rPr>
        <w:t xml:space="preserve">. </w:t>
      </w:r>
      <w:r w:rsidRPr="006409B4">
        <w:rPr>
          <w:rFonts w:ascii="Arial" w:hAnsi="Arial" w:cs="Arial"/>
          <w:sz w:val="20"/>
          <w:szCs w:val="20"/>
        </w:rPr>
        <w:t>Timeline for use of the International Classification of Diseases (ICD) coding systems in the causes of d</w:t>
      </w:r>
      <w:r w:rsidR="006409B4" w:rsidRPr="006409B4">
        <w:rPr>
          <w:rFonts w:ascii="Arial" w:hAnsi="Arial" w:cs="Arial"/>
          <w:sz w:val="20"/>
          <w:szCs w:val="20"/>
        </w:rPr>
        <w:t>eath registries of each country</w:t>
      </w:r>
    </w:p>
    <w:tbl>
      <w:tblPr>
        <w:tblStyle w:val="Listetabel3-farve31"/>
        <w:tblW w:w="9355" w:type="dxa"/>
        <w:tblInd w:w="-5" w:type="dxa"/>
        <w:tblLook w:val="04A0" w:firstRow="1" w:lastRow="0" w:firstColumn="1" w:lastColumn="0" w:noHBand="0" w:noVBand="1"/>
      </w:tblPr>
      <w:tblGrid>
        <w:gridCol w:w="1364"/>
        <w:gridCol w:w="1386"/>
        <w:gridCol w:w="1477"/>
        <w:gridCol w:w="1923"/>
        <w:gridCol w:w="1505"/>
        <w:gridCol w:w="1700"/>
      </w:tblGrid>
      <w:tr w:rsidR="00E33C3D" w:rsidRPr="006409B4" w:rsidTr="007D5B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4" w:type="dxa"/>
            <w:shd w:val="clear" w:color="auto" w:fill="E7E6E6" w:themeFill="background2"/>
          </w:tcPr>
          <w:p w:rsidR="00E33C3D" w:rsidRPr="006409B4" w:rsidRDefault="00E33C3D" w:rsidP="007D5B87">
            <w:pPr>
              <w:spacing w:line="480" w:lineRule="auto"/>
              <w:jc w:val="center"/>
              <w:rPr>
                <w:rFonts w:ascii="Arial" w:hAnsi="Arial" w:cs="Arial"/>
                <w:color w:val="auto"/>
                <w:sz w:val="20"/>
                <w:szCs w:val="20"/>
              </w:rPr>
            </w:pPr>
          </w:p>
        </w:tc>
        <w:tc>
          <w:tcPr>
            <w:tcW w:w="1386" w:type="dxa"/>
            <w:shd w:val="clear" w:color="auto" w:fill="E7E6E6" w:themeFill="background2"/>
          </w:tcPr>
          <w:p w:rsidR="00E33C3D" w:rsidRPr="006409B4" w:rsidRDefault="00E33C3D" w:rsidP="007D5B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color w:val="auto"/>
                <w:sz w:val="20"/>
                <w:szCs w:val="20"/>
              </w:rPr>
              <w:t>ICD-6</w:t>
            </w:r>
          </w:p>
        </w:tc>
        <w:tc>
          <w:tcPr>
            <w:tcW w:w="1477" w:type="dxa"/>
            <w:shd w:val="clear" w:color="auto" w:fill="E7E6E6" w:themeFill="background2"/>
          </w:tcPr>
          <w:p w:rsidR="00E33C3D" w:rsidRPr="006409B4" w:rsidRDefault="00E33C3D" w:rsidP="007D5B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color w:val="auto"/>
                <w:sz w:val="20"/>
                <w:szCs w:val="20"/>
              </w:rPr>
              <w:t>ICD-7</w:t>
            </w:r>
          </w:p>
        </w:tc>
        <w:tc>
          <w:tcPr>
            <w:tcW w:w="1923" w:type="dxa"/>
            <w:shd w:val="clear" w:color="auto" w:fill="E7E6E6" w:themeFill="background2"/>
          </w:tcPr>
          <w:p w:rsidR="00E33C3D" w:rsidRPr="006409B4" w:rsidRDefault="00E33C3D" w:rsidP="007D5B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409B4">
              <w:rPr>
                <w:rFonts w:ascii="Arial" w:hAnsi="Arial" w:cs="Arial"/>
                <w:color w:val="auto"/>
                <w:sz w:val="20"/>
                <w:szCs w:val="20"/>
              </w:rPr>
              <w:t>ICD-8</w:t>
            </w:r>
          </w:p>
        </w:tc>
        <w:tc>
          <w:tcPr>
            <w:tcW w:w="1505" w:type="dxa"/>
            <w:shd w:val="clear" w:color="auto" w:fill="E7E6E6" w:themeFill="background2"/>
          </w:tcPr>
          <w:p w:rsidR="00E33C3D" w:rsidRPr="006409B4" w:rsidRDefault="00E33C3D" w:rsidP="007D5B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409B4">
              <w:rPr>
                <w:rFonts w:ascii="Arial" w:hAnsi="Arial" w:cs="Arial"/>
                <w:color w:val="auto"/>
                <w:sz w:val="20"/>
                <w:szCs w:val="20"/>
              </w:rPr>
              <w:t>ICD-9</w:t>
            </w:r>
          </w:p>
        </w:tc>
        <w:tc>
          <w:tcPr>
            <w:tcW w:w="1700" w:type="dxa"/>
            <w:shd w:val="clear" w:color="auto" w:fill="E7E6E6" w:themeFill="background2"/>
          </w:tcPr>
          <w:p w:rsidR="00E33C3D" w:rsidRPr="006409B4" w:rsidRDefault="00E33C3D" w:rsidP="007D5B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409B4">
              <w:rPr>
                <w:rFonts w:ascii="Arial" w:hAnsi="Arial" w:cs="Arial"/>
                <w:color w:val="auto"/>
                <w:sz w:val="20"/>
                <w:szCs w:val="20"/>
              </w:rPr>
              <w:t>ICD-10</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rsidR="00E33C3D" w:rsidRPr="006409B4" w:rsidRDefault="00E33C3D" w:rsidP="007D5B87">
            <w:pPr>
              <w:spacing w:line="480" w:lineRule="auto"/>
              <w:rPr>
                <w:rFonts w:ascii="Arial" w:hAnsi="Arial" w:cs="Arial"/>
                <w:sz w:val="20"/>
                <w:szCs w:val="20"/>
              </w:rPr>
            </w:pPr>
            <w:r w:rsidRPr="006409B4">
              <w:rPr>
                <w:rFonts w:ascii="Arial" w:hAnsi="Arial" w:cs="Arial"/>
                <w:sz w:val="20"/>
                <w:szCs w:val="20"/>
              </w:rPr>
              <w:t>Denmark</w:t>
            </w:r>
          </w:p>
        </w:tc>
        <w:tc>
          <w:tcPr>
            <w:tcW w:w="1386"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NA</w:t>
            </w:r>
          </w:p>
        </w:tc>
        <w:tc>
          <w:tcPr>
            <w:tcW w:w="1477"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NA</w:t>
            </w:r>
          </w:p>
        </w:tc>
        <w:tc>
          <w:tcPr>
            <w:tcW w:w="1923"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1970-1993</w:t>
            </w:r>
          </w:p>
        </w:tc>
        <w:tc>
          <w:tcPr>
            <w:tcW w:w="1505"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NA</w:t>
            </w:r>
          </w:p>
        </w:tc>
        <w:tc>
          <w:tcPr>
            <w:tcW w:w="1700"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1994-</w:t>
            </w:r>
          </w:p>
        </w:tc>
      </w:tr>
      <w:tr w:rsidR="00E33C3D" w:rsidRPr="006409B4" w:rsidTr="007D5B87">
        <w:tc>
          <w:tcPr>
            <w:cnfStyle w:val="001000000000" w:firstRow="0" w:lastRow="0" w:firstColumn="1" w:lastColumn="0" w:oddVBand="0" w:evenVBand="0" w:oddHBand="0" w:evenHBand="0" w:firstRowFirstColumn="0" w:firstRowLastColumn="0" w:lastRowFirstColumn="0" w:lastRowLastColumn="0"/>
            <w:tcW w:w="1364" w:type="dxa"/>
          </w:tcPr>
          <w:p w:rsidR="00E33C3D" w:rsidRPr="006409B4" w:rsidRDefault="00E33C3D" w:rsidP="007D5B87">
            <w:pPr>
              <w:spacing w:line="480" w:lineRule="auto"/>
              <w:rPr>
                <w:rFonts w:ascii="Arial" w:hAnsi="Arial" w:cs="Arial"/>
                <w:sz w:val="20"/>
                <w:szCs w:val="20"/>
              </w:rPr>
            </w:pPr>
            <w:r w:rsidRPr="006409B4">
              <w:rPr>
                <w:rFonts w:ascii="Arial" w:hAnsi="Arial" w:cs="Arial"/>
                <w:sz w:val="20"/>
                <w:szCs w:val="20"/>
              </w:rPr>
              <w:t xml:space="preserve">Sweden </w:t>
            </w:r>
          </w:p>
        </w:tc>
        <w:tc>
          <w:tcPr>
            <w:tcW w:w="1386"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1952-1957</w:t>
            </w:r>
          </w:p>
        </w:tc>
        <w:tc>
          <w:tcPr>
            <w:tcW w:w="1477"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1958-1968</w:t>
            </w:r>
          </w:p>
        </w:tc>
        <w:tc>
          <w:tcPr>
            <w:tcW w:w="1923"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1969-1986</w:t>
            </w:r>
          </w:p>
        </w:tc>
        <w:tc>
          <w:tcPr>
            <w:tcW w:w="1505"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1987-1996</w:t>
            </w:r>
          </w:p>
        </w:tc>
        <w:tc>
          <w:tcPr>
            <w:tcW w:w="1700"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 xml:space="preserve">1997- </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rsidR="00E33C3D" w:rsidRPr="006409B4" w:rsidRDefault="00E33C3D" w:rsidP="007D5B87">
            <w:pPr>
              <w:spacing w:line="480" w:lineRule="auto"/>
              <w:rPr>
                <w:rFonts w:ascii="Arial" w:hAnsi="Arial" w:cs="Arial"/>
                <w:sz w:val="20"/>
                <w:szCs w:val="20"/>
              </w:rPr>
            </w:pPr>
            <w:r w:rsidRPr="006409B4">
              <w:rPr>
                <w:rFonts w:ascii="Arial" w:hAnsi="Arial" w:cs="Arial"/>
                <w:sz w:val="20"/>
                <w:szCs w:val="20"/>
              </w:rPr>
              <w:t>Norway</w:t>
            </w:r>
          </w:p>
        </w:tc>
        <w:tc>
          <w:tcPr>
            <w:tcW w:w="1386"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1951-1957</w:t>
            </w:r>
          </w:p>
        </w:tc>
        <w:tc>
          <w:tcPr>
            <w:tcW w:w="1477"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1958-1968</w:t>
            </w:r>
          </w:p>
        </w:tc>
        <w:tc>
          <w:tcPr>
            <w:tcW w:w="1923"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1969-1985</w:t>
            </w:r>
          </w:p>
        </w:tc>
        <w:tc>
          <w:tcPr>
            <w:tcW w:w="1505"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1986-1995</w:t>
            </w:r>
          </w:p>
        </w:tc>
        <w:tc>
          <w:tcPr>
            <w:tcW w:w="1700"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1996-</w:t>
            </w:r>
          </w:p>
        </w:tc>
      </w:tr>
      <w:tr w:rsidR="00E33C3D" w:rsidRPr="006409B4" w:rsidTr="007D5B87">
        <w:tc>
          <w:tcPr>
            <w:cnfStyle w:val="001000000000" w:firstRow="0" w:lastRow="0" w:firstColumn="1" w:lastColumn="0" w:oddVBand="0" w:evenVBand="0" w:oddHBand="0" w:evenHBand="0" w:firstRowFirstColumn="0" w:firstRowLastColumn="0" w:lastRowFirstColumn="0" w:lastRowLastColumn="0"/>
            <w:tcW w:w="1364" w:type="dxa"/>
          </w:tcPr>
          <w:p w:rsidR="00E33C3D" w:rsidRPr="006409B4" w:rsidRDefault="00E33C3D" w:rsidP="007D5B87">
            <w:pPr>
              <w:spacing w:line="480" w:lineRule="auto"/>
              <w:rPr>
                <w:rFonts w:ascii="Arial" w:hAnsi="Arial" w:cs="Arial"/>
                <w:sz w:val="20"/>
                <w:szCs w:val="20"/>
              </w:rPr>
            </w:pPr>
            <w:r w:rsidRPr="006409B4">
              <w:rPr>
                <w:rFonts w:ascii="Arial" w:hAnsi="Arial" w:cs="Arial"/>
                <w:sz w:val="20"/>
                <w:szCs w:val="20"/>
              </w:rPr>
              <w:t>Finland</w:t>
            </w:r>
          </w:p>
        </w:tc>
        <w:tc>
          <w:tcPr>
            <w:tcW w:w="1386"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1952-1953</w:t>
            </w:r>
          </w:p>
        </w:tc>
        <w:tc>
          <w:tcPr>
            <w:tcW w:w="1477"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1954-1968</w:t>
            </w:r>
          </w:p>
        </w:tc>
        <w:tc>
          <w:tcPr>
            <w:tcW w:w="1923"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1969-1986</w:t>
            </w:r>
          </w:p>
        </w:tc>
        <w:tc>
          <w:tcPr>
            <w:tcW w:w="1505"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1987-1995</w:t>
            </w:r>
          </w:p>
        </w:tc>
        <w:tc>
          <w:tcPr>
            <w:tcW w:w="1700" w:type="dxa"/>
          </w:tcPr>
          <w:p w:rsidR="00E33C3D" w:rsidRPr="006409B4" w:rsidRDefault="00E33C3D" w:rsidP="007D5B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9B4">
              <w:rPr>
                <w:rFonts w:ascii="Arial" w:hAnsi="Arial" w:cs="Arial"/>
                <w:sz w:val="20"/>
                <w:szCs w:val="20"/>
              </w:rPr>
              <w:t>1996-</w:t>
            </w:r>
          </w:p>
        </w:tc>
      </w:tr>
      <w:tr w:rsidR="00E33C3D" w:rsidRPr="006409B4" w:rsidTr="007D5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Pr>
          <w:p w:rsidR="00E33C3D" w:rsidRPr="006409B4" w:rsidRDefault="00E33C3D" w:rsidP="007D5B87">
            <w:pPr>
              <w:spacing w:line="480" w:lineRule="auto"/>
              <w:rPr>
                <w:rFonts w:ascii="Arial" w:hAnsi="Arial" w:cs="Arial"/>
                <w:sz w:val="20"/>
                <w:szCs w:val="20"/>
              </w:rPr>
            </w:pPr>
            <w:r w:rsidRPr="006409B4">
              <w:rPr>
                <w:rFonts w:ascii="Arial" w:hAnsi="Arial" w:cs="Arial"/>
                <w:sz w:val="20"/>
                <w:szCs w:val="20"/>
              </w:rPr>
              <w:t>Iceland</w:t>
            </w:r>
          </w:p>
        </w:tc>
        <w:tc>
          <w:tcPr>
            <w:tcW w:w="1386"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1951-1970</w:t>
            </w:r>
          </w:p>
        </w:tc>
        <w:tc>
          <w:tcPr>
            <w:tcW w:w="1477"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NA</w:t>
            </w:r>
          </w:p>
        </w:tc>
        <w:tc>
          <w:tcPr>
            <w:tcW w:w="1923"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1971-1980</w:t>
            </w:r>
          </w:p>
        </w:tc>
        <w:tc>
          <w:tcPr>
            <w:tcW w:w="1505"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1981-1995</w:t>
            </w:r>
          </w:p>
        </w:tc>
        <w:tc>
          <w:tcPr>
            <w:tcW w:w="1700" w:type="dxa"/>
          </w:tcPr>
          <w:p w:rsidR="00E33C3D" w:rsidRPr="006409B4" w:rsidRDefault="00E33C3D" w:rsidP="007D5B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9B4">
              <w:rPr>
                <w:rFonts w:ascii="Arial" w:hAnsi="Arial" w:cs="Arial"/>
                <w:sz w:val="20"/>
                <w:szCs w:val="20"/>
              </w:rPr>
              <w:t>1996-</w:t>
            </w:r>
          </w:p>
        </w:tc>
      </w:tr>
    </w:tbl>
    <w:p w:rsidR="00E33C3D" w:rsidRPr="006409B4" w:rsidRDefault="00E33C3D" w:rsidP="00E33C3D">
      <w:pPr>
        <w:spacing w:line="240" w:lineRule="auto"/>
        <w:rPr>
          <w:rFonts w:ascii="Arial" w:eastAsia="Times New Roman" w:hAnsi="Arial" w:cs="Arial"/>
          <w:bCs/>
          <w:color w:val="000000"/>
          <w:sz w:val="20"/>
          <w:szCs w:val="20"/>
          <w:shd w:val="clear" w:color="auto" w:fill="FFFFFF"/>
          <w:lang w:val="fi-FI" w:eastAsia="fi-FI"/>
        </w:rPr>
      </w:pPr>
      <w:r w:rsidRPr="006409B4">
        <w:rPr>
          <w:rFonts w:ascii="Arial" w:hAnsi="Arial" w:cs="Arial"/>
          <w:b/>
          <w:sz w:val="20"/>
          <w:szCs w:val="20"/>
        </w:rPr>
        <w:t>Source:</w:t>
      </w:r>
      <w:r w:rsidRPr="006409B4">
        <w:rPr>
          <w:rFonts w:ascii="Arial" w:hAnsi="Arial" w:cs="Arial"/>
          <w:sz w:val="20"/>
          <w:szCs w:val="20"/>
        </w:rPr>
        <w:t xml:space="preserve"> </w:t>
      </w:r>
      <w:r w:rsidRPr="006409B4">
        <w:rPr>
          <w:rFonts w:ascii="Arial" w:eastAsia="Times New Roman" w:hAnsi="Arial" w:cs="Arial"/>
          <w:bCs/>
          <w:color w:val="000000"/>
          <w:sz w:val="20"/>
          <w:szCs w:val="20"/>
          <w:shd w:val="clear" w:color="auto" w:fill="FFFFFF"/>
          <w:lang w:val="fi-FI" w:eastAsia="fi-FI"/>
        </w:rPr>
        <w:t xml:space="preserve">Health Classifications in the Nordic Countries (2006). </w:t>
      </w:r>
      <w:proofErr w:type="spellStart"/>
      <w:r w:rsidRPr="006409B4">
        <w:rPr>
          <w:rFonts w:ascii="Arial" w:eastAsia="Times New Roman" w:hAnsi="Arial" w:cs="Arial"/>
          <w:bCs/>
          <w:color w:val="000000"/>
          <w:sz w:val="20"/>
          <w:szCs w:val="20"/>
          <w:shd w:val="clear" w:color="auto" w:fill="FFFFFF"/>
          <w:lang w:eastAsia="fi-FI"/>
        </w:rPr>
        <w:t>Björn</w:t>
      </w:r>
      <w:proofErr w:type="spellEnd"/>
      <w:r w:rsidRPr="006409B4">
        <w:rPr>
          <w:rFonts w:ascii="Arial" w:eastAsia="Times New Roman" w:hAnsi="Arial" w:cs="Arial"/>
          <w:bCs/>
          <w:color w:val="000000"/>
          <w:sz w:val="20"/>
          <w:szCs w:val="20"/>
          <w:shd w:val="clear" w:color="auto" w:fill="FFFFFF"/>
          <w:lang w:eastAsia="fi-FI"/>
        </w:rPr>
        <w:t xml:space="preserve"> </w:t>
      </w:r>
      <w:proofErr w:type="spellStart"/>
      <w:r w:rsidRPr="006409B4">
        <w:rPr>
          <w:rFonts w:ascii="Arial" w:eastAsia="Times New Roman" w:hAnsi="Arial" w:cs="Arial"/>
          <w:bCs/>
          <w:color w:val="000000"/>
          <w:sz w:val="20"/>
          <w:szCs w:val="20"/>
          <w:shd w:val="clear" w:color="auto" w:fill="FFFFFF"/>
          <w:lang w:eastAsia="fi-FI"/>
        </w:rPr>
        <w:t>Smedby</w:t>
      </w:r>
      <w:proofErr w:type="spellEnd"/>
      <w:r w:rsidRPr="006409B4">
        <w:rPr>
          <w:rFonts w:ascii="Arial" w:eastAsia="Times New Roman" w:hAnsi="Arial" w:cs="Arial"/>
          <w:bCs/>
          <w:color w:val="000000"/>
          <w:sz w:val="20"/>
          <w:szCs w:val="20"/>
          <w:shd w:val="clear" w:color="auto" w:fill="FFFFFF"/>
          <w:lang w:eastAsia="fi-FI"/>
        </w:rPr>
        <w:t xml:space="preserve"> and Gunnar </w:t>
      </w:r>
      <w:proofErr w:type="spellStart"/>
      <w:r w:rsidRPr="006409B4">
        <w:rPr>
          <w:rFonts w:ascii="Arial" w:eastAsia="Times New Roman" w:hAnsi="Arial" w:cs="Arial"/>
          <w:bCs/>
          <w:color w:val="000000"/>
          <w:sz w:val="20"/>
          <w:szCs w:val="20"/>
          <w:shd w:val="clear" w:color="auto" w:fill="FFFFFF"/>
          <w:lang w:eastAsia="fi-FI"/>
        </w:rPr>
        <w:t>Schiøler</w:t>
      </w:r>
      <w:proofErr w:type="spellEnd"/>
      <w:r w:rsidRPr="006409B4">
        <w:rPr>
          <w:rFonts w:ascii="Arial" w:eastAsia="Times New Roman" w:hAnsi="Arial" w:cs="Arial"/>
          <w:bCs/>
          <w:color w:val="000000"/>
          <w:sz w:val="20"/>
          <w:szCs w:val="20"/>
          <w:shd w:val="clear" w:color="auto" w:fill="FFFFFF"/>
          <w:lang w:eastAsia="fi-FI"/>
        </w:rPr>
        <w:t xml:space="preserve">. </w:t>
      </w:r>
      <w:r w:rsidRPr="006409B4">
        <w:rPr>
          <w:rFonts w:ascii="Arial" w:eastAsia="Times New Roman" w:hAnsi="Arial" w:cs="Arial"/>
          <w:bCs/>
          <w:color w:val="000000"/>
          <w:sz w:val="20"/>
          <w:szCs w:val="20"/>
          <w:shd w:val="clear" w:color="auto" w:fill="FFFFFF"/>
          <w:lang w:val="fi-FI" w:eastAsia="fi-FI"/>
        </w:rPr>
        <w:t>Responsible organization:</w:t>
      </w:r>
      <w:r w:rsidRPr="006409B4">
        <w:rPr>
          <w:rFonts w:ascii="Arial" w:eastAsia="Times New Roman" w:hAnsi="Arial" w:cs="Arial"/>
          <w:color w:val="000000"/>
          <w:sz w:val="20"/>
          <w:szCs w:val="20"/>
          <w:lang w:val="fi-FI" w:eastAsia="fi-FI"/>
        </w:rPr>
        <w:t xml:space="preserve"> </w:t>
      </w:r>
      <w:r w:rsidRPr="006409B4">
        <w:rPr>
          <w:rFonts w:ascii="Arial" w:eastAsia="Times New Roman" w:hAnsi="Arial" w:cs="Arial"/>
          <w:bCs/>
          <w:color w:val="000000"/>
          <w:sz w:val="20"/>
          <w:szCs w:val="20"/>
          <w:shd w:val="clear" w:color="auto" w:fill="FFFFFF"/>
          <w:lang w:val="fi-FI" w:eastAsia="fi-FI"/>
        </w:rPr>
        <w:t>Nordic Council of Ministers, NOMESCO-NOSOSCO. (</w:t>
      </w:r>
      <w:r w:rsidRPr="006409B4">
        <w:rPr>
          <w:rFonts w:ascii="Arial" w:hAnsi="Arial" w:cs="Arial"/>
          <w:sz w:val="20"/>
          <w:szCs w:val="20"/>
          <w:lang w:val="fi-FI"/>
        </w:rPr>
        <w:t>http://norden.diva-portal.org/smash/get/diva2:970544/FULLTEXT01.pdf)</w:t>
      </w:r>
    </w:p>
    <w:p w:rsidR="00E33C3D" w:rsidRPr="006409B4" w:rsidRDefault="00E33C3D" w:rsidP="00E33C3D">
      <w:pPr>
        <w:spacing w:line="480" w:lineRule="auto"/>
        <w:rPr>
          <w:rFonts w:ascii="Arial" w:hAnsi="Arial" w:cs="Arial"/>
          <w:sz w:val="20"/>
          <w:szCs w:val="20"/>
          <w:lang w:val="fi-FI"/>
        </w:rPr>
      </w:pPr>
    </w:p>
    <w:p w:rsidR="00C05F1B" w:rsidRPr="006409B4" w:rsidRDefault="00C05F1B">
      <w:pPr>
        <w:rPr>
          <w:rFonts w:ascii="Arial" w:hAnsi="Arial" w:cs="Arial"/>
          <w:sz w:val="20"/>
          <w:szCs w:val="20"/>
        </w:rPr>
      </w:pPr>
    </w:p>
    <w:sectPr w:rsidR="00C05F1B" w:rsidRPr="006409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5D"/>
    <w:rsid w:val="001E4E7A"/>
    <w:rsid w:val="00537703"/>
    <w:rsid w:val="005F5E5D"/>
    <w:rsid w:val="005F6320"/>
    <w:rsid w:val="006409B4"/>
    <w:rsid w:val="0064354B"/>
    <w:rsid w:val="00A34693"/>
    <w:rsid w:val="00A51826"/>
    <w:rsid w:val="00AF4566"/>
    <w:rsid w:val="00C05F1B"/>
    <w:rsid w:val="00E3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3AC7D-7ADE-4332-A951-8FD7E1AA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etabel3-farve31">
    <w:name w:val="Listetabel 3 - farve 31"/>
    <w:basedOn w:val="TableNormal"/>
    <w:uiPriority w:val="48"/>
    <w:rsid w:val="00E33C3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Laugesen</dc:creator>
  <cp:keywords/>
  <dc:description/>
  <cp:lastModifiedBy>Kristina Laugesen</cp:lastModifiedBy>
  <cp:revision>8</cp:revision>
  <dcterms:created xsi:type="dcterms:W3CDTF">2021-04-08T10:00:00Z</dcterms:created>
  <dcterms:modified xsi:type="dcterms:W3CDTF">2021-05-27T08:56:00Z</dcterms:modified>
</cp:coreProperties>
</file>