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A5B9" w14:textId="142885E9" w:rsidR="000B2714" w:rsidRPr="000B2714" w:rsidRDefault="00F92BBA" w:rsidP="000B2714">
      <w:pPr>
        <w:pStyle w:val="ColorfulList-Accent11"/>
        <w:spacing w:line="360" w:lineRule="auto"/>
        <w:ind w:left="1800" w:hanging="1800"/>
        <w:rPr>
          <w:b/>
          <w:color w:val="000000" w:themeColor="text1"/>
          <w:spacing w:val="-3"/>
          <w:sz w:val="28"/>
          <w:szCs w:val="28"/>
        </w:rPr>
      </w:pPr>
      <w:r>
        <w:rPr>
          <w:b/>
          <w:color w:val="000000" w:themeColor="text1"/>
          <w:spacing w:val="-3"/>
          <w:sz w:val="28"/>
          <w:szCs w:val="28"/>
        </w:rPr>
        <w:t>Table S</w:t>
      </w:r>
      <w:r w:rsidR="000B2714" w:rsidRPr="000B2714">
        <w:rPr>
          <w:b/>
          <w:color w:val="000000" w:themeColor="text1"/>
          <w:spacing w:val="-3"/>
          <w:sz w:val="28"/>
          <w:szCs w:val="28"/>
        </w:rPr>
        <w:t>1.</w:t>
      </w:r>
      <w:r w:rsidR="000B2714" w:rsidRPr="000B2714">
        <w:rPr>
          <w:b/>
          <w:color w:val="000000" w:themeColor="text1"/>
          <w:spacing w:val="-3"/>
          <w:sz w:val="28"/>
          <w:szCs w:val="28"/>
        </w:rPr>
        <w:tab/>
        <w:t>List of Institutional Review Boards and Independent Ethics Committees – ASPIRE</w:t>
      </w:r>
      <w:r w:rsidR="00CF69F4">
        <w:rPr>
          <w:b/>
          <w:color w:val="000000" w:themeColor="text1"/>
          <w:spacing w:val="-3"/>
          <w:sz w:val="28"/>
          <w:szCs w:val="28"/>
        </w:rPr>
        <w:t xml:space="preserve"> I</w:t>
      </w:r>
      <w:r w:rsidR="000B2714" w:rsidRPr="000B2714">
        <w:rPr>
          <w:b/>
          <w:color w:val="000000" w:themeColor="text1"/>
          <w:spacing w:val="-3"/>
          <w:sz w:val="28"/>
          <w:szCs w:val="28"/>
        </w:rPr>
        <w:t xml:space="preserve"> and ASPIRE</w:t>
      </w:r>
      <w:r w:rsidR="00CF69F4">
        <w:rPr>
          <w:b/>
          <w:color w:val="000000" w:themeColor="text1"/>
          <w:spacing w:val="-3"/>
          <w:sz w:val="28"/>
          <w:szCs w:val="28"/>
        </w:rPr>
        <w:t xml:space="preserve"> II</w:t>
      </w:r>
    </w:p>
    <w:p w14:paraId="002A7F13" w14:textId="77215C5B" w:rsidR="000B2714" w:rsidRPr="000B271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8"/>
          <w:szCs w:val="28"/>
          <w:u w:val="single"/>
        </w:rPr>
      </w:pPr>
      <w:r w:rsidRPr="000B2714">
        <w:rPr>
          <w:b/>
          <w:noProof/>
          <w:color w:val="000000" w:themeColor="text1"/>
          <w:sz w:val="28"/>
          <w:szCs w:val="28"/>
          <w:u w:val="single"/>
        </w:rPr>
        <w:t>ASPIRE</w:t>
      </w:r>
      <w:r w:rsidR="00CF69F4">
        <w:rPr>
          <w:b/>
          <w:noProof/>
          <w:color w:val="000000" w:themeColor="text1"/>
          <w:sz w:val="28"/>
          <w:szCs w:val="28"/>
          <w:u w:val="single"/>
        </w:rPr>
        <w:t xml:space="preserve"> I</w:t>
      </w:r>
    </w:p>
    <w:p w14:paraId="7F3CDE55" w14:textId="77777777" w:rsidR="000B271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</w:p>
    <w:p w14:paraId="25697D4E" w14:textId="7959A5DC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BULGARIA</w:t>
      </w:r>
    </w:p>
    <w:p w14:paraId="5AF8DDAB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Ethics Committee for Clinical Trials</w:t>
      </w:r>
    </w:p>
    <w:p w14:paraId="185CDC24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3D75FD96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ESTONIA</w:t>
      </w:r>
    </w:p>
    <w:p w14:paraId="728E3948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Tallinn Medical Research Ethics Committee</w:t>
      </w:r>
    </w:p>
    <w:p w14:paraId="55387E89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735B1F83" w14:textId="77777777" w:rsidR="000B2714" w:rsidRPr="008F33DB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  <w:lang w:val="de-DE"/>
        </w:rPr>
      </w:pPr>
      <w:r w:rsidRPr="008F33DB">
        <w:rPr>
          <w:b/>
          <w:noProof/>
          <w:color w:val="000000" w:themeColor="text1"/>
          <w:sz w:val="24"/>
          <w:szCs w:val="24"/>
          <w:lang w:val="de-DE"/>
        </w:rPr>
        <w:t>GERMANY</w:t>
      </w:r>
    </w:p>
    <w:p w14:paraId="09D4EB51" w14:textId="77777777" w:rsidR="000B2714" w:rsidRPr="008F33DB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  <w:lang w:val="de-DE"/>
        </w:rPr>
      </w:pPr>
      <w:r w:rsidRPr="008F33DB">
        <w:rPr>
          <w:noProof/>
          <w:color w:val="000000" w:themeColor="text1"/>
          <w:sz w:val="24"/>
          <w:szCs w:val="24"/>
          <w:lang w:val="de-DE"/>
        </w:rPr>
        <w:t>Ethikkommission der Medizinischen Fakultät der Albert-Ludwigs-Universität Freiburg</w:t>
      </w:r>
    </w:p>
    <w:p w14:paraId="48542651" w14:textId="77777777" w:rsidR="000B2714" w:rsidRPr="008F33DB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  <w:lang w:val="de-DE"/>
        </w:rPr>
      </w:pPr>
      <w:r w:rsidRPr="008F33DB">
        <w:rPr>
          <w:noProof/>
          <w:color w:val="000000" w:themeColor="text1"/>
          <w:sz w:val="24"/>
          <w:szCs w:val="24"/>
          <w:lang w:val="de-DE"/>
        </w:rPr>
        <w:t>Ethik-Kommission des Fachbereichs Medizin der Johann Wolfgang Goethe-Universität</w:t>
      </w:r>
    </w:p>
    <w:p w14:paraId="5F4ECB7D" w14:textId="77777777" w:rsidR="000B2714" w:rsidRPr="008F33DB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  <w:lang w:val="de-DE"/>
        </w:rPr>
      </w:pPr>
      <w:r w:rsidRPr="008F33DB">
        <w:rPr>
          <w:noProof/>
          <w:color w:val="000000" w:themeColor="text1"/>
          <w:sz w:val="24"/>
          <w:szCs w:val="24"/>
          <w:lang w:val="de-DE"/>
        </w:rPr>
        <w:t>Landesamt für Gesundheit Und Soziales Berlin Geschäftsstelle der Ethik-Kommission des Landes Berlin</w:t>
      </w:r>
    </w:p>
    <w:p w14:paraId="6CE160FC" w14:textId="77777777" w:rsidR="000B2714" w:rsidRPr="008F33DB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  <w:lang w:val="de-DE"/>
        </w:rPr>
      </w:pPr>
    </w:p>
    <w:p w14:paraId="1D5296F0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HUNGARY</w:t>
      </w:r>
    </w:p>
    <w:p w14:paraId="0475448A" w14:textId="77777777" w:rsidR="000B2714" w:rsidRPr="00FB7D24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Central Ethics Committee Medical Research Council Ethics Committee for Clinical Pharmacology</w:t>
      </w:r>
    </w:p>
    <w:p w14:paraId="21D32353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3BFEDBAD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KOREA</w:t>
      </w:r>
    </w:p>
    <w:p w14:paraId="3B3E625A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Chonnam National University Hospital IRB</w:t>
      </w:r>
    </w:p>
    <w:p w14:paraId="634FDCC0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Samsung Medical Center IRB</w:t>
      </w:r>
    </w:p>
    <w:p w14:paraId="09D4AB96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Kyung Hee University Medical Center IRB</w:t>
      </w:r>
    </w:p>
    <w:p w14:paraId="3EC75A4E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Seoul National University Hospital IRB</w:t>
      </w:r>
    </w:p>
    <w:p w14:paraId="00E040C0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Korea University Ansan Hospital IRB</w:t>
      </w:r>
    </w:p>
    <w:p w14:paraId="3620B422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1FAB408A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MALAYSIA</w:t>
      </w:r>
    </w:p>
    <w:p w14:paraId="07D7B851" w14:textId="77777777" w:rsidR="000B2714" w:rsidRPr="00FB7D24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Medical Research and Ethics Committee, Kompleks Institut Kesihatan Negara</w:t>
      </w:r>
    </w:p>
    <w:p w14:paraId="79C6A828" w14:textId="77777777" w:rsidR="000B2714" w:rsidRPr="00FB7D24" w:rsidRDefault="000B2714" w:rsidP="000B2714">
      <w:pPr>
        <w:pStyle w:val="ColorfulList-Accent11"/>
        <w:ind w:hanging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Medical Research Ethics Committee, University Malaya Medical Centre</w:t>
      </w:r>
    </w:p>
    <w:p w14:paraId="552DF13A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5E8C3115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SOUTH AFRICA</w:t>
      </w:r>
    </w:p>
    <w:p w14:paraId="4343EBDD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Pharma Ethics</w:t>
      </w:r>
    </w:p>
    <w:p w14:paraId="1FBC5315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16CBFF49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SPAIN</w:t>
      </w:r>
    </w:p>
    <w:p w14:paraId="2B0D3EE8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CEIC Hospital Universitari Vall d Hebron</w:t>
      </w:r>
    </w:p>
    <w:p w14:paraId="36330447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5E37E1E5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TAIWAN</w:t>
      </w:r>
    </w:p>
    <w:p w14:paraId="20E200AF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Institutional Review Board of Tri-Service General Hospital</w:t>
      </w:r>
    </w:p>
    <w:p w14:paraId="19410208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Chung Shan Medical University Hospital IRB</w:t>
      </w:r>
    </w:p>
    <w:p w14:paraId="6DF7B92E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Taipei Medical University Joint Institutional Review Board</w:t>
      </w:r>
    </w:p>
    <w:p w14:paraId="53881677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Institutional Review Board, Taipei Veterans General Hospital</w:t>
      </w:r>
    </w:p>
    <w:p w14:paraId="26D2BDB5" w14:textId="77777777" w:rsidR="000B2714" w:rsidRPr="00FB7D24" w:rsidRDefault="000B2714" w:rsidP="000B2714">
      <w:pPr>
        <w:pStyle w:val="ColorfulList-Accent11"/>
        <w:ind w:left="360" w:hanging="360"/>
        <w:rPr>
          <w:noProof/>
          <w:color w:val="000000" w:themeColor="text1"/>
          <w:sz w:val="24"/>
          <w:szCs w:val="24"/>
        </w:rPr>
      </w:pPr>
    </w:p>
    <w:p w14:paraId="7DC4807F" w14:textId="77777777" w:rsidR="000B2714" w:rsidRPr="00FB7D24" w:rsidRDefault="000B2714" w:rsidP="000B2714">
      <w:pPr>
        <w:pStyle w:val="ColorfulList-Accent11"/>
        <w:ind w:left="360" w:hanging="360"/>
        <w:rPr>
          <w:b/>
          <w:noProof/>
          <w:color w:val="000000" w:themeColor="text1"/>
          <w:sz w:val="24"/>
          <w:szCs w:val="24"/>
        </w:rPr>
      </w:pPr>
      <w:r w:rsidRPr="00FB7D24">
        <w:rPr>
          <w:b/>
          <w:noProof/>
          <w:color w:val="000000" w:themeColor="text1"/>
          <w:sz w:val="24"/>
          <w:szCs w:val="24"/>
        </w:rPr>
        <w:t>UNITED STATES</w:t>
      </w:r>
    </w:p>
    <w:p w14:paraId="76828DBB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New York State Psychiatric Institutional Review Board (New York, NY)</w:t>
      </w:r>
    </w:p>
    <w:p w14:paraId="09843A0B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lastRenderedPageBreak/>
        <w:t>Office of Research Integrity (Charleston, SC)</w:t>
      </w:r>
    </w:p>
    <w:p w14:paraId="30B37C42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Rush University Medical Center Institutional Review Board (Chicago, IL)</w:t>
      </w:r>
    </w:p>
    <w:p w14:paraId="70B2B5A8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Sterling Institutional Review Board (Atlanta, GA)</w:t>
      </w:r>
    </w:p>
    <w:p w14:paraId="12EFEB64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Univeristy of Louisville, Medical Center Institutional Review Board (Louisville, KY)</w:t>
      </w:r>
    </w:p>
    <w:p w14:paraId="19260A76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University at Buffalo Institutional Review Board (Buffalo, NY)</w:t>
      </w:r>
    </w:p>
    <w:p w14:paraId="636C0E02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>UT Southwestern Medical Center Institutional Review Board (Dallas, TX)</w:t>
      </w:r>
    </w:p>
    <w:p w14:paraId="436244F5" w14:textId="77777777" w:rsidR="000B2714" w:rsidRPr="00FB7D2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FB7D24">
        <w:rPr>
          <w:noProof/>
          <w:color w:val="000000" w:themeColor="text1"/>
          <w:sz w:val="24"/>
          <w:szCs w:val="24"/>
        </w:rPr>
        <w:t xml:space="preserve">Western Institutional Review Board (Puyallup, WA) </w:t>
      </w:r>
    </w:p>
    <w:p w14:paraId="63A602C5" w14:textId="52E05D06" w:rsidR="00E451DF" w:rsidRDefault="00E451DF"/>
    <w:p w14:paraId="045D8AAC" w14:textId="2FE22984" w:rsidR="000B2714" w:rsidRPr="000B2714" w:rsidRDefault="000B271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2714">
        <w:rPr>
          <w:rFonts w:ascii="Times New Roman" w:hAnsi="Times New Roman" w:cs="Times New Roman"/>
          <w:b/>
          <w:bCs/>
          <w:sz w:val="28"/>
          <w:szCs w:val="28"/>
          <w:u w:val="single"/>
        </w:rPr>
        <w:t>ASPIRE</w:t>
      </w:r>
      <w:r w:rsidR="00CF69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II</w:t>
      </w:r>
    </w:p>
    <w:p w14:paraId="733B263C" w14:textId="77777777" w:rsidR="000B2714" w:rsidRDefault="000B2714" w:rsidP="000B2714">
      <w:pPr>
        <w:pStyle w:val="ColorfulList-Accent11"/>
        <w:ind w:left="0"/>
        <w:rPr>
          <w:b/>
          <w:noProof/>
          <w:color w:val="000000" w:themeColor="text1"/>
          <w:sz w:val="24"/>
          <w:szCs w:val="24"/>
        </w:rPr>
      </w:pPr>
    </w:p>
    <w:p w14:paraId="7088000F" w14:textId="3A2687F9" w:rsidR="000B2714" w:rsidRPr="000B2714" w:rsidRDefault="000B2714" w:rsidP="000B2714">
      <w:pPr>
        <w:pStyle w:val="ColorfulList-Accent11"/>
        <w:ind w:left="0"/>
        <w:rPr>
          <w:b/>
          <w:noProof/>
          <w:color w:val="000000" w:themeColor="text1"/>
          <w:sz w:val="24"/>
          <w:szCs w:val="24"/>
        </w:rPr>
      </w:pPr>
      <w:r w:rsidRPr="000B2714">
        <w:rPr>
          <w:b/>
          <w:noProof/>
          <w:color w:val="000000" w:themeColor="text1"/>
          <w:sz w:val="24"/>
          <w:szCs w:val="24"/>
        </w:rPr>
        <w:t>ARGENTINA*</w:t>
      </w:r>
    </w:p>
    <w:p w14:paraId="2C773E01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Comité de Ética e Investigación del Sanatorio, Cordoba</w:t>
      </w:r>
    </w:p>
    <w:p w14:paraId="75927E42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Comite de Ética del Instituto Medico Platense CEDIMP, Buenos Aires</w:t>
      </w:r>
    </w:p>
    <w:p w14:paraId="10029846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Comité de Ética en Investigación Clínica Privada de Salud Mental Stanta Teresa de Avila, Buenos Aires</w:t>
      </w:r>
    </w:p>
    <w:p w14:paraId="4E98774B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Comité de Ética de CER Investigaciones Clínicas – CECIC, Buenos Aires</w:t>
      </w:r>
    </w:p>
    <w:p w14:paraId="4A25451F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Comité de Ética en Investigacion Burzaco Comité de Etica en Investigacion Burzaco, Buenos Aires</w:t>
      </w:r>
    </w:p>
    <w:p w14:paraId="12D99E0A" w14:textId="77777777" w:rsidR="000B2714" w:rsidRPr="000B2714" w:rsidRDefault="000B2714" w:rsidP="000B2714">
      <w:pPr>
        <w:pStyle w:val="ColorfulList-Accent11"/>
        <w:ind w:left="540" w:hanging="18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Comité de Ética en Investigaciones FLENI, Buenos Aires</w:t>
      </w:r>
    </w:p>
    <w:p w14:paraId="4190AF10" w14:textId="77777777" w:rsidR="000B2714" w:rsidRPr="000B2714" w:rsidRDefault="000B2714" w:rsidP="000B2714">
      <w:pPr>
        <w:pStyle w:val="ColorfulList-Accent11"/>
        <w:ind w:left="0"/>
        <w:rPr>
          <w:noProof/>
          <w:color w:val="000000" w:themeColor="text1"/>
          <w:sz w:val="24"/>
          <w:szCs w:val="24"/>
        </w:rPr>
      </w:pPr>
    </w:p>
    <w:p w14:paraId="6698D2F3" w14:textId="77777777" w:rsidR="000B2714" w:rsidRPr="008F33DB" w:rsidRDefault="000B2714" w:rsidP="000B2714">
      <w:pPr>
        <w:pStyle w:val="ColorfulList-Accent11"/>
        <w:ind w:left="0"/>
        <w:rPr>
          <w:b/>
          <w:noProof/>
          <w:color w:val="000000" w:themeColor="text1"/>
          <w:sz w:val="24"/>
          <w:szCs w:val="24"/>
          <w:lang w:val="de-DE"/>
        </w:rPr>
      </w:pPr>
      <w:r w:rsidRPr="008F33DB">
        <w:rPr>
          <w:b/>
          <w:noProof/>
          <w:color w:val="000000" w:themeColor="text1"/>
          <w:sz w:val="24"/>
          <w:szCs w:val="24"/>
          <w:lang w:val="de-DE"/>
        </w:rPr>
        <w:t>AUSTRIA</w:t>
      </w:r>
    </w:p>
    <w:p w14:paraId="0FE1A1D3" w14:textId="77777777" w:rsidR="000B2714" w:rsidRPr="008F33DB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noProof/>
          <w:color w:val="000000" w:themeColor="text1"/>
          <w:lang w:val="de-DE"/>
        </w:rPr>
        <w:t>Ethikkkommission der Med. Universität Wien, und des Allgemeinen Krhs. der Stadt Wien, Wein</w:t>
      </w:r>
    </w:p>
    <w:p w14:paraId="5E09E48E" w14:textId="77777777" w:rsidR="000B2714" w:rsidRPr="008F33DB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noProof/>
          <w:color w:val="000000" w:themeColor="text1"/>
          <w:lang w:val="de-DE"/>
        </w:rPr>
        <w:t>Kepler Universitätsklinikum Ethikkommission des Landes Oberösterreich, Linz</w:t>
      </w:r>
    </w:p>
    <w:p w14:paraId="3C9211AC" w14:textId="77777777" w:rsidR="000B2714" w:rsidRPr="008F33DB" w:rsidRDefault="000B2714" w:rsidP="000B2714">
      <w:pPr>
        <w:rPr>
          <w:rFonts w:ascii="Times New Roman" w:hAnsi="Times New Roman" w:cs="Times New Roman"/>
          <w:noProof/>
          <w:color w:val="000000" w:themeColor="text1"/>
          <w:lang w:val="de-DE"/>
        </w:rPr>
      </w:pPr>
    </w:p>
    <w:p w14:paraId="4ABCD783" w14:textId="77777777" w:rsidR="000B2714" w:rsidRPr="008F33DB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b/>
          <w:noProof/>
          <w:color w:val="000000" w:themeColor="text1"/>
          <w:lang w:val="de-DE"/>
        </w:rPr>
        <w:t>BELGIUM*</w:t>
      </w:r>
    </w:p>
    <w:p w14:paraId="49A4A93C" w14:textId="77777777" w:rsidR="000B2714" w:rsidRPr="008F33DB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noProof/>
          <w:color w:val="000000" w:themeColor="text1"/>
          <w:lang w:val="de-DE"/>
        </w:rPr>
        <w:t>Ethisch Comité g UZ Gent, Gent</w:t>
      </w:r>
    </w:p>
    <w:p w14:paraId="4CFD4B2C" w14:textId="77777777" w:rsidR="000B2714" w:rsidRPr="008F33DB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noProof/>
          <w:color w:val="000000" w:themeColor="text1"/>
          <w:lang w:val="de-DE"/>
        </w:rPr>
        <w:t>O.L.V. Ziekenhuis IRB, Aalst</w:t>
      </w:r>
    </w:p>
    <w:p w14:paraId="2C39B1CD" w14:textId="77777777" w:rsidR="000B2714" w:rsidRPr="008F33DB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  <w:lang w:val="de-DE"/>
        </w:rPr>
      </w:pPr>
      <w:r w:rsidRPr="008F33DB">
        <w:rPr>
          <w:rFonts w:ascii="Times New Roman" w:hAnsi="Times New Roman" w:cs="Times New Roman"/>
          <w:noProof/>
          <w:color w:val="000000" w:themeColor="text1"/>
          <w:lang w:val="de-DE"/>
        </w:rPr>
        <w:t>Toetsingscommissie Ethiek GGZ Broeders van liefde, Bierbeek</w:t>
      </w:r>
    </w:p>
    <w:p w14:paraId="3C66BEA5" w14:textId="77777777" w:rsidR="000B2714" w:rsidRPr="008F33DB" w:rsidRDefault="000B2714" w:rsidP="000B2714">
      <w:pPr>
        <w:rPr>
          <w:rFonts w:ascii="Times New Roman" w:hAnsi="Times New Roman" w:cs="Times New Roman"/>
          <w:noProof/>
          <w:color w:val="000000" w:themeColor="text1"/>
          <w:lang w:val="de-DE"/>
        </w:rPr>
      </w:pPr>
    </w:p>
    <w:p w14:paraId="4CAC8A1F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BRAZIL*</w:t>
      </w:r>
    </w:p>
    <w:p w14:paraId="123B9A5C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National Committee of Ethics in Research (CONEP), Brasilia</w:t>
      </w:r>
    </w:p>
    <w:p w14:paraId="139D7FC2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Comite de Etica em Pesquisa da UFMG – COEP, Belo Horizonte</w:t>
      </w:r>
    </w:p>
    <w:p w14:paraId="1C3B0221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Comitê de Ética em Pesquisa do Investiga - Instituto De Pesquisas, Campinas</w:t>
      </w:r>
    </w:p>
    <w:p w14:paraId="1ECD7EDC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Comitê de Ética em Pesquisa da Faculdade de Medicina do ABC, Santo Andre</w:t>
      </w:r>
    </w:p>
    <w:p w14:paraId="4C8893B7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Comite de Ética em Pesquisa do Hospital Universitário, Salvador &amp; Fortaleza</w:t>
      </w:r>
    </w:p>
    <w:p w14:paraId="2E97AC7F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Comitê de Ética em Pesquisa do Hospital São Carlos, Fortaleza, Ceará</w:t>
      </w:r>
    </w:p>
    <w:p w14:paraId="0BC155E3" w14:textId="77777777" w:rsidR="000B2714" w:rsidRPr="000B2714" w:rsidRDefault="000B2714" w:rsidP="000B2714">
      <w:pPr>
        <w:ind w:left="540" w:hanging="18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Comissao de Etica para analise de projetos de pequisa - CAPPesq-HCFMUSP, San Paulo</w:t>
      </w:r>
    </w:p>
    <w:p w14:paraId="13089F76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4CDA3BF9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CANADA</w:t>
      </w:r>
    </w:p>
    <w:p w14:paraId="6B3B8B95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St. Michael’s Hospital Research Ethics Board, Toronto, Ontario</w:t>
      </w:r>
    </w:p>
    <w:p w14:paraId="6666C1F2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0F2B53A2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CZECH REPUBLIC*</w:t>
      </w:r>
    </w:p>
    <w:p w14:paraId="0C3424DA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Eticka komise Ustredni vojenske nemocnice Praha, Prague</w:t>
      </w:r>
    </w:p>
    <w:p w14:paraId="47767F1C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Eticka komise IKEM a Thomayerovy nemocnice, Prague</w:t>
      </w:r>
    </w:p>
    <w:p w14:paraId="27F72CB1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Fakultni nemocnice Brno IRB-EC, Brno</w:t>
      </w:r>
    </w:p>
    <w:p w14:paraId="507A3BC5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7C53DA9E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FRANCE</w:t>
      </w:r>
    </w:p>
    <w:p w14:paraId="37F6C860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CPP Sud-Ouest et Outre-Mer III, Service de Pharmacologie Clinique, Leon</w:t>
      </w:r>
    </w:p>
    <w:p w14:paraId="1171D0C9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5663748D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LITHUANIA</w:t>
      </w:r>
    </w:p>
    <w:p w14:paraId="407B34A4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Lithuanian Bioethics Committee, Vilnius</w:t>
      </w:r>
    </w:p>
    <w:p w14:paraId="519F553D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6895E0F2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POLAND</w:t>
      </w:r>
    </w:p>
    <w:p w14:paraId="58E3914F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Niezalezna Komisja Bioetyczna do Spraw Badan Naukowych przy Gdanskim Uniwersytecie Medycznym, Gdansk</w:t>
      </w:r>
    </w:p>
    <w:p w14:paraId="2D4A6508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1A12BBE0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SPAIN</w:t>
      </w:r>
    </w:p>
    <w:p w14:paraId="5BBE3D4A" w14:textId="77777777" w:rsidR="000B2714" w:rsidRPr="000B2714" w:rsidRDefault="000B2714" w:rsidP="000B2714">
      <w:pPr>
        <w:ind w:left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Hospital de Navarra - Ceic de Navarra, Pamplona</w:t>
      </w:r>
    </w:p>
    <w:p w14:paraId="2C423393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02C15344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TURKEY</w:t>
      </w:r>
    </w:p>
    <w:p w14:paraId="4DA40868" w14:textId="77777777" w:rsidR="000B2714" w:rsidRPr="000B2714" w:rsidRDefault="000B2714" w:rsidP="000B2714">
      <w:pPr>
        <w:ind w:firstLine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Uludag University Medical Faculty Clinical Research Ethics Committee, Bursa</w:t>
      </w:r>
    </w:p>
    <w:p w14:paraId="28E35A2C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3507130A" w14:textId="77777777" w:rsidR="000B2714" w:rsidRPr="000B2714" w:rsidRDefault="000B2714" w:rsidP="000B2714">
      <w:pPr>
        <w:rPr>
          <w:rFonts w:ascii="Times New Roman" w:hAnsi="Times New Roman" w:cs="Times New Roman"/>
          <w:b/>
          <w:noProof/>
          <w:color w:val="000000" w:themeColor="text1"/>
        </w:rPr>
      </w:pPr>
      <w:r w:rsidRPr="000B2714">
        <w:rPr>
          <w:rFonts w:ascii="Times New Roman" w:hAnsi="Times New Roman" w:cs="Times New Roman"/>
          <w:b/>
          <w:noProof/>
          <w:color w:val="000000" w:themeColor="text1"/>
        </w:rPr>
        <w:t>UNITED STATES</w:t>
      </w:r>
    </w:p>
    <w:p w14:paraId="6B72444A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Biomedical Research Alliance of New York IRB (Lake Success, NY)</w:t>
      </w:r>
    </w:p>
    <w:p w14:paraId="19B2CD09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Chesapeake IRB (Columbia, MD)</w:t>
      </w:r>
    </w:p>
    <w:p w14:paraId="7B709960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John Hopkins Medicine IRB (Baltimore, MD)</w:t>
      </w:r>
    </w:p>
    <w:p w14:paraId="29B8E02D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Sharp HealthCare Institutional Review Board (San Diego, CA)</w:t>
      </w:r>
    </w:p>
    <w:p w14:paraId="347CF232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Springfield Committee for Research Involving Human Subjects (SCRIHS) (Springfield, IL)</w:t>
      </w:r>
    </w:p>
    <w:p w14:paraId="38642575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Sterling Institutional Review Board (Atlanta, GA)</w:t>
      </w:r>
    </w:p>
    <w:p w14:paraId="74FDC34E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UCSD Human Subjects Research Protection Program (La Jolla, CA)</w:t>
      </w:r>
    </w:p>
    <w:p w14:paraId="463A8451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>University of Conneticut School of Medicine IRB (Farmington, CT)</w:t>
      </w:r>
    </w:p>
    <w:p w14:paraId="4DF2F05D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 xml:space="preserve">University of North Carolina at Chapel Hill - Office of Research Ethics, Chapel Hill, NC </w:t>
      </w:r>
    </w:p>
    <w:p w14:paraId="7BFC10EC" w14:textId="77777777" w:rsidR="000B2714" w:rsidRPr="000B2714" w:rsidRDefault="000B2714" w:rsidP="000B2714">
      <w:pPr>
        <w:pStyle w:val="ColorfulList-Accent11"/>
        <w:ind w:left="360"/>
        <w:rPr>
          <w:noProof/>
          <w:color w:val="000000" w:themeColor="text1"/>
          <w:sz w:val="24"/>
          <w:szCs w:val="24"/>
        </w:rPr>
      </w:pPr>
      <w:r w:rsidRPr="000B2714">
        <w:rPr>
          <w:noProof/>
          <w:color w:val="000000" w:themeColor="text1"/>
          <w:sz w:val="24"/>
          <w:szCs w:val="24"/>
        </w:rPr>
        <w:t xml:space="preserve">Western Institutional Review Board (Puyallup, WA) </w:t>
      </w:r>
    </w:p>
    <w:p w14:paraId="10223894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ab/>
      </w:r>
    </w:p>
    <w:p w14:paraId="0BE14F93" w14:textId="77777777" w:rsidR="000B2714" w:rsidRPr="000B2714" w:rsidRDefault="000B2714" w:rsidP="000B2714">
      <w:pPr>
        <w:rPr>
          <w:rFonts w:ascii="Times New Roman" w:hAnsi="Times New Roman" w:cs="Times New Roman"/>
          <w:noProof/>
          <w:color w:val="000000" w:themeColor="text1"/>
        </w:rPr>
      </w:pPr>
    </w:p>
    <w:p w14:paraId="093678A2" w14:textId="77777777" w:rsidR="00391111" w:rsidRDefault="000B2714" w:rsidP="000B2714">
      <w:pPr>
        <w:ind w:left="360" w:hanging="360"/>
        <w:rPr>
          <w:rFonts w:ascii="Times New Roman" w:hAnsi="Times New Roman" w:cs="Times New Roman"/>
          <w:noProof/>
          <w:color w:val="000000" w:themeColor="text1"/>
        </w:rPr>
      </w:pPr>
      <w:r w:rsidRPr="000B2714">
        <w:rPr>
          <w:rFonts w:ascii="Times New Roman" w:hAnsi="Times New Roman" w:cs="Times New Roman"/>
          <w:noProof/>
          <w:color w:val="000000" w:themeColor="text1"/>
        </w:rPr>
        <w:t>*</w:t>
      </w:r>
      <w:r w:rsidRPr="000B2714">
        <w:rPr>
          <w:rFonts w:ascii="Times New Roman" w:hAnsi="Times New Roman" w:cs="Times New Roman"/>
          <w:noProof/>
          <w:color w:val="000000" w:themeColor="text1"/>
        </w:rPr>
        <w:tab/>
        <w:t>Two or more Independent Ethics Committees approved the study protocol/amendments at sites in Argentina, Belgium, Brazil, and Czech Republic.</w:t>
      </w:r>
    </w:p>
    <w:p w14:paraId="6DCCE006" w14:textId="77777777" w:rsidR="00391111" w:rsidRDefault="00391111" w:rsidP="000B2714">
      <w:pPr>
        <w:ind w:left="360" w:hanging="360"/>
        <w:rPr>
          <w:rFonts w:ascii="Times New Roman" w:hAnsi="Times New Roman" w:cs="Times New Roman"/>
          <w:noProof/>
          <w:color w:val="000000" w:themeColor="text1"/>
        </w:rPr>
      </w:pPr>
    </w:p>
    <w:p w14:paraId="77ECD0FA" w14:textId="77777777" w:rsidR="00391111" w:rsidRDefault="00391111" w:rsidP="000B2714">
      <w:pPr>
        <w:ind w:left="360" w:hanging="360"/>
        <w:rPr>
          <w:rFonts w:ascii="Times New Roman" w:hAnsi="Times New Roman" w:cs="Times New Roman"/>
          <w:noProof/>
          <w:color w:val="000000" w:themeColor="text1"/>
        </w:rPr>
      </w:pPr>
    </w:p>
    <w:p w14:paraId="07A6BF7E" w14:textId="77777777" w:rsidR="00391111" w:rsidRDefault="00391111" w:rsidP="00391111">
      <w:pPr>
        <w:ind w:left="1170" w:hanging="1170"/>
        <w:rPr>
          <w:rFonts w:ascii="Times New Roman" w:hAnsi="Times New Roman" w:cs="Times New Roman"/>
          <w:noProof/>
          <w:color w:val="000000" w:themeColor="text1"/>
        </w:rPr>
        <w:sectPr w:rsidR="00391111" w:rsidSect="008A3EAF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F3A42A" w14:textId="55548CF8" w:rsidR="00391111" w:rsidRPr="00391111" w:rsidRDefault="00391111" w:rsidP="00391111">
      <w:pPr>
        <w:spacing w:line="480" w:lineRule="auto"/>
        <w:ind w:left="1166" w:hanging="1166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391111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t>Table S</w:t>
      </w:r>
      <w:r w:rsidR="003F434C">
        <w:rPr>
          <w:rFonts w:ascii="Times New Roman" w:hAnsi="Times New Roman" w:cs="Times New Roman"/>
          <w:b/>
          <w:bCs/>
          <w:noProof/>
          <w:color w:val="000000" w:themeColor="text1"/>
        </w:rPr>
        <w:t>2</w:t>
      </w:r>
      <w:r w:rsidRPr="00391111">
        <w:rPr>
          <w:rFonts w:ascii="Times New Roman" w:hAnsi="Times New Roman" w:cs="Times New Roman"/>
          <w:b/>
          <w:bCs/>
          <w:noProof/>
          <w:color w:val="000000" w:themeColor="text1"/>
        </w:rPr>
        <w:t>.</w:t>
      </w:r>
      <w:r w:rsidRPr="00391111">
        <w:rPr>
          <w:rFonts w:ascii="Times New Roman" w:hAnsi="Times New Roman" w:cs="Times New Roman"/>
          <w:b/>
          <w:bCs/>
          <w:noProof/>
          <w:color w:val="000000" w:themeColor="text1"/>
        </w:rPr>
        <w:tab/>
        <w:t xml:space="preserve">Change in MADRS from Basline to 24 hours 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Post</w:t>
      </w:r>
      <w:r w:rsidRPr="00391111">
        <w:rPr>
          <w:rFonts w:ascii="Times New Roman" w:hAnsi="Times New Roman" w:cs="Times New Roman"/>
          <w:b/>
          <w:bCs/>
          <w:noProof/>
          <w:color w:val="000000" w:themeColor="text1"/>
        </w:rPr>
        <w:t>-F</w:t>
      </w:r>
      <w:r>
        <w:rPr>
          <w:rFonts w:ascii="Times New Roman" w:hAnsi="Times New Roman" w:cs="Times New Roman"/>
          <w:b/>
          <w:bCs/>
          <w:noProof/>
          <w:color w:val="000000" w:themeColor="text1"/>
        </w:rPr>
        <w:t>i</w:t>
      </w:r>
      <w:r w:rsidRPr="00391111">
        <w:rPr>
          <w:rFonts w:ascii="Times New Roman" w:hAnsi="Times New Roman" w:cs="Times New Roman"/>
          <w:b/>
          <w:bCs/>
          <w:noProof/>
          <w:color w:val="000000" w:themeColor="text1"/>
        </w:rPr>
        <w:t>rst Dose by Benzodiazepine Use</w:t>
      </w:r>
    </w:p>
    <w:tbl>
      <w:tblPr>
        <w:tblStyle w:val="TableGrid"/>
        <w:tblW w:w="131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5"/>
        <w:gridCol w:w="1679"/>
        <w:gridCol w:w="1310"/>
        <w:gridCol w:w="1571"/>
        <w:gridCol w:w="1390"/>
        <w:gridCol w:w="1610"/>
        <w:gridCol w:w="1552"/>
        <w:gridCol w:w="1552"/>
        <w:gridCol w:w="1260"/>
      </w:tblGrid>
      <w:tr w:rsidR="003F434C" w14:paraId="5E64A20E" w14:textId="77777777" w:rsidTr="003F434C">
        <w:tc>
          <w:tcPr>
            <w:tcW w:w="1265" w:type="dxa"/>
            <w:tcBorders>
              <w:top w:val="single" w:sz="4" w:space="0" w:color="auto"/>
              <w:left w:val="nil"/>
              <w:bottom w:val="nil"/>
            </w:tcBorders>
          </w:tcPr>
          <w:p w14:paraId="220C65BD" w14:textId="77777777" w:rsidR="003F434C" w:rsidRPr="00726D4F" w:rsidRDefault="003F434C" w:rsidP="003F434C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0BA1D" w14:textId="393BF406" w:rsidR="003F434C" w:rsidRPr="00726D4F" w:rsidRDefault="003F434C" w:rsidP="003F434C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w:t>Esketamine + Standard-of-Care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F38489" w14:textId="4C0D678A" w:rsidR="003F434C" w:rsidRPr="00726D4F" w:rsidRDefault="003F434C" w:rsidP="003F434C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w:t>Placebo + Standard-of-Care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01CA7B5" w14:textId="3949FF69" w:rsidR="003F434C" w:rsidRPr="00726D4F" w:rsidRDefault="003F434C" w:rsidP="003F434C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w:t>Esketamine + Standard-of-Care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9D1613" w14:textId="66D836A9" w:rsidR="003F434C" w:rsidRPr="00726D4F" w:rsidRDefault="003F434C" w:rsidP="003F434C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0"/>
                <w:szCs w:val="20"/>
              </w:rPr>
              <w:t>Placebo + Standard-of-Care</w:t>
            </w:r>
          </w:p>
        </w:tc>
      </w:tr>
      <w:tr w:rsidR="003F434C" w14:paraId="137C52B7" w14:textId="77777777" w:rsidTr="003F434C">
        <w:tc>
          <w:tcPr>
            <w:tcW w:w="1265" w:type="dxa"/>
            <w:tcBorders>
              <w:top w:val="nil"/>
              <w:left w:val="nil"/>
              <w:bottom w:val="single" w:sz="4" w:space="0" w:color="auto"/>
            </w:tcBorders>
          </w:tcPr>
          <w:p w14:paraId="18205170" w14:textId="77777777" w:rsidR="00726D4F" w:rsidRPr="00726D4F" w:rsidRDefault="00726D4F" w:rsidP="00726D4F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2AE0E69E" w14:textId="07AFC5BE" w:rsidR="00726D4F" w:rsidRPr="00726D4F" w:rsidRDefault="00726D4F" w:rsidP="006F2EE6">
            <w:pPr>
              <w:ind w:left="-60" w:right="-1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 Between Day -2 and Day -1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67369B2C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No</w:t>
            </w:r>
          </w:p>
          <w:p w14:paraId="10FC0654" w14:textId="25E9B232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2F8B9092" w14:textId="5E8449E8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 Between Day -2 and Day -1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12" w:space="0" w:color="auto"/>
            </w:tcBorders>
          </w:tcPr>
          <w:p w14:paraId="36C07522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No</w:t>
            </w:r>
          </w:p>
          <w:p w14:paraId="1835F287" w14:textId="105A7C09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</w:t>
            </w:r>
          </w:p>
        </w:tc>
        <w:tc>
          <w:tcPr>
            <w:tcW w:w="1610" w:type="dxa"/>
            <w:tcBorders>
              <w:left w:val="single" w:sz="12" w:space="0" w:color="auto"/>
              <w:bottom w:val="single" w:sz="4" w:space="0" w:color="auto"/>
            </w:tcBorders>
          </w:tcPr>
          <w:p w14:paraId="68A5F570" w14:textId="711B5CF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 Between Day 1 and Day 2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09D51576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No</w:t>
            </w:r>
          </w:p>
          <w:p w14:paraId="41C5C612" w14:textId="4EA5122E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5B4C6818" w14:textId="52B84E21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 Between Day 1 and Day 2</w:t>
            </w: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</w:tcPr>
          <w:p w14:paraId="153D9E71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No</w:t>
            </w:r>
          </w:p>
          <w:p w14:paraId="1D424C78" w14:textId="417FAB9D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Benzodiazepine Use</w:t>
            </w:r>
          </w:p>
        </w:tc>
      </w:tr>
      <w:tr w:rsidR="003F434C" w14:paraId="686EE94D" w14:textId="77777777" w:rsidTr="003F434C">
        <w:tc>
          <w:tcPr>
            <w:tcW w:w="1265" w:type="dxa"/>
            <w:tcBorders>
              <w:left w:val="nil"/>
              <w:bottom w:val="nil"/>
            </w:tcBorders>
          </w:tcPr>
          <w:p w14:paraId="2603C721" w14:textId="01594F88" w:rsidR="00391111" w:rsidRPr="00726D4F" w:rsidRDefault="00391111" w:rsidP="00726D4F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Baseline</w:t>
            </w:r>
          </w:p>
        </w:tc>
        <w:tc>
          <w:tcPr>
            <w:tcW w:w="1679" w:type="dxa"/>
            <w:tcBorders>
              <w:bottom w:val="nil"/>
            </w:tcBorders>
          </w:tcPr>
          <w:p w14:paraId="79FB08E3" w14:textId="77777777" w:rsidR="00391111" w:rsidRPr="00726D4F" w:rsidRDefault="00391111" w:rsidP="006F2EE6">
            <w:pPr>
              <w:ind w:left="-60" w:right="-1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14:paraId="2E90ECBE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nil"/>
            </w:tcBorders>
          </w:tcPr>
          <w:p w14:paraId="08D70DAB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  <w:right w:val="single" w:sz="12" w:space="0" w:color="auto"/>
            </w:tcBorders>
          </w:tcPr>
          <w:p w14:paraId="3D340807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10" w:type="dxa"/>
            <w:tcBorders>
              <w:left w:val="single" w:sz="12" w:space="0" w:color="auto"/>
              <w:bottom w:val="nil"/>
            </w:tcBorders>
          </w:tcPr>
          <w:p w14:paraId="1024C325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14:paraId="6D5F2AAB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14:paraId="76F4E637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2C30D52D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3F434C" w14:paraId="23BC3340" w14:textId="77777777" w:rsidTr="003F434C">
        <w:tc>
          <w:tcPr>
            <w:tcW w:w="1265" w:type="dxa"/>
            <w:tcBorders>
              <w:top w:val="nil"/>
              <w:left w:val="nil"/>
              <w:bottom w:val="nil"/>
            </w:tcBorders>
          </w:tcPr>
          <w:p w14:paraId="7EE65CA2" w14:textId="0606DBEB" w:rsidR="00391111" w:rsidRPr="00726D4F" w:rsidRDefault="00391111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667CA1F8" w14:textId="3EDEA17A" w:rsidR="00391111" w:rsidRPr="00726D4F" w:rsidRDefault="004125DA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565E8F51" w14:textId="6EB2C712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04AD09AB" w14:textId="3F9655B3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1390" w:type="dxa"/>
            <w:tcBorders>
              <w:top w:val="nil"/>
              <w:bottom w:val="nil"/>
              <w:right w:val="single" w:sz="12" w:space="0" w:color="auto"/>
            </w:tcBorders>
          </w:tcPr>
          <w:p w14:paraId="7D58A688" w14:textId="0E58C841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nil"/>
            </w:tcBorders>
          </w:tcPr>
          <w:p w14:paraId="4CF99F33" w14:textId="6BC0BC34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14:paraId="1F5D41AB" w14:textId="2DE327DE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14:paraId="57AD044D" w14:textId="7CAF596A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238AED3E" w14:textId="7D46CD73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91</w:t>
            </w:r>
          </w:p>
        </w:tc>
      </w:tr>
      <w:tr w:rsidR="003F434C" w14:paraId="4E348795" w14:textId="77777777" w:rsidTr="003F434C">
        <w:tc>
          <w:tcPr>
            <w:tcW w:w="1265" w:type="dxa"/>
            <w:tcBorders>
              <w:top w:val="nil"/>
              <w:left w:val="nil"/>
              <w:bottom w:val="single" w:sz="4" w:space="0" w:color="auto"/>
            </w:tcBorders>
          </w:tcPr>
          <w:p w14:paraId="1E3D06D5" w14:textId="2ACA32C6" w:rsidR="006F2EE6" w:rsidRPr="00726D4F" w:rsidRDefault="006F2EE6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Mean (SD)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14:paraId="263BEE6D" w14:textId="1BC811FB" w:rsidR="006F2EE6" w:rsidRPr="00726D4F" w:rsidRDefault="006F2EE6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40.1 (5.54)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6436854A" w14:textId="637D40AB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40.7 (5.73)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1AA462D8" w14:textId="0500954D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40.7 (5.94)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F70AEB8" w14:textId="1A344D11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39.9 (6.21)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10EB8FCE" w14:textId="715264E2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40.4 (5.62)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37F885D6" w14:textId="38213D7B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40.3 (5.61</w:t>
            </w:r>
            <w:r w:rsidR="004E5ADA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54333ED4" w14:textId="578F6391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40.9 (5.86)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nil"/>
            </w:tcBorders>
          </w:tcPr>
          <w:p w14:paraId="4CFE2DEC" w14:textId="32EB83A6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39.8 (6.28)</w:t>
            </w:r>
          </w:p>
        </w:tc>
      </w:tr>
      <w:tr w:rsidR="003F434C" w14:paraId="2087DAC3" w14:textId="77777777" w:rsidTr="003F434C">
        <w:tc>
          <w:tcPr>
            <w:tcW w:w="1265" w:type="dxa"/>
            <w:tcBorders>
              <w:left w:val="nil"/>
              <w:bottom w:val="nil"/>
            </w:tcBorders>
          </w:tcPr>
          <w:p w14:paraId="123CD12A" w14:textId="35D7D182" w:rsidR="00391111" w:rsidRPr="00726D4F" w:rsidRDefault="00391111" w:rsidP="00726D4F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Change from baseline</w:t>
            </w:r>
          </w:p>
        </w:tc>
        <w:tc>
          <w:tcPr>
            <w:tcW w:w="1679" w:type="dxa"/>
            <w:tcBorders>
              <w:bottom w:val="nil"/>
            </w:tcBorders>
          </w:tcPr>
          <w:p w14:paraId="42310030" w14:textId="77777777" w:rsidR="00391111" w:rsidRPr="00726D4F" w:rsidRDefault="00391111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14:paraId="6CE119A9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nil"/>
            </w:tcBorders>
          </w:tcPr>
          <w:p w14:paraId="12A25BA3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  <w:right w:val="single" w:sz="12" w:space="0" w:color="auto"/>
            </w:tcBorders>
          </w:tcPr>
          <w:p w14:paraId="79A23DC6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10" w:type="dxa"/>
            <w:tcBorders>
              <w:left w:val="single" w:sz="12" w:space="0" w:color="auto"/>
              <w:bottom w:val="nil"/>
            </w:tcBorders>
          </w:tcPr>
          <w:p w14:paraId="6028D2A8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14:paraId="19266F72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14:paraId="728E17EA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5038725B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3F434C" w14:paraId="6033B16C" w14:textId="77777777" w:rsidTr="003F434C">
        <w:tc>
          <w:tcPr>
            <w:tcW w:w="1265" w:type="dxa"/>
            <w:tcBorders>
              <w:top w:val="nil"/>
              <w:left w:val="nil"/>
              <w:bottom w:val="nil"/>
            </w:tcBorders>
          </w:tcPr>
          <w:p w14:paraId="53B2EBE7" w14:textId="3A2A5F4A" w:rsidR="00391111" w:rsidRPr="00726D4F" w:rsidRDefault="00391111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1210E778" w14:textId="1924029B" w:rsidR="00391111" w:rsidRPr="00726D4F" w:rsidRDefault="004125DA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148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14:paraId="2D8CA54F" w14:textId="6999F1B6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07AEA2D1" w14:textId="715E7906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1390" w:type="dxa"/>
            <w:tcBorders>
              <w:top w:val="nil"/>
              <w:bottom w:val="nil"/>
              <w:right w:val="single" w:sz="12" w:space="0" w:color="auto"/>
            </w:tcBorders>
          </w:tcPr>
          <w:p w14:paraId="51A8DA9B" w14:textId="06754B75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nil"/>
            </w:tcBorders>
          </w:tcPr>
          <w:p w14:paraId="55D74C5E" w14:textId="155A792A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14:paraId="3F9986BE" w14:textId="17C8547E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14:paraId="7FD303A2" w14:textId="0D0CFAE8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5D3F4B2C" w14:textId="615B8312" w:rsidR="00391111" w:rsidRPr="00726D4F" w:rsidRDefault="006F2EE6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91</w:t>
            </w:r>
          </w:p>
        </w:tc>
      </w:tr>
      <w:tr w:rsidR="003F434C" w14:paraId="600ACB38" w14:textId="77777777" w:rsidTr="003F434C">
        <w:tc>
          <w:tcPr>
            <w:tcW w:w="1265" w:type="dxa"/>
            <w:tcBorders>
              <w:top w:val="nil"/>
              <w:left w:val="nil"/>
              <w:bottom w:val="single" w:sz="4" w:space="0" w:color="auto"/>
            </w:tcBorders>
          </w:tcPr>
          <w:p w14:paraId="050D8B9B" w14:textId="05CE23FF" w:rsidR="006F2EE6" w:rsidRPr="00726D4F" w:rsidRDefault="006F2EE6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Mean (SD</w:t>
            </w:r>
            <w:r w:rsidR="003F434C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14:paraId="73B17E2A" w14:textId="22CC5D42" w:rsidR="006F2EE6" w:rsidRPr="00726D4F" w:rsidRDefault="006F2EE6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-15.5 (11.18)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7B420EAF" w14:textId="5605ED4D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-17.1 (12.75)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303A527A" w14:textId="1C0201CF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-12.7 (10.12)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87AD262" w14:textId="6E6CDDFB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-12.4 (11.30)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2AE5DF0E" w14:textId="5336A18E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-15.6 (11.35)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  <w:vAlign w:val="bottom"/>
          </w:tcPr>
          <w:p w14:paraId="4FAAF3AD" w14:textId="71E0AC6F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-16.8 (12.44)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  <w:vAlign w:val="bottom"/>
          </w:tcPr>
          <w:p w14:paraId="6C531AA6" w14:textId="53441516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-12.7 (9.98)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B32343C" w14:textId="75E9C315" w:rsidR="006F2EE6" w:rsidRPr="00726D4F" w:rsidRDefault="006F2EE6" w:rsidP="006F2EE6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-12.3 (11.41)</w:t>
            </w:r>
          </w:p>
        </w:tc>
      </w:tr>
      <w:tr w:rsidR="003F434C" w14:paraId="6D1A71AF" w14:textId="77777777" w:rsidTr="003F434C">
        <w:tc>
          <w:tcPr>
            <w:tcW w:w="1265" w:type="dxa"/>
            <w:tcBorders>
              <w:left w:val="nil"/>
              <w:bottom w:val="nil"/>
            </w:tcBorders>
          </w:tcPr>
          <w:p w14:paraId="1EFCDBF0" w14:textId="20199848" w:rsidR="00391111" w:rsidRPr="00726D4F" w:rsidRDefault="00391111" w:rsidP="00726D4F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Difference LS Means</w:t>
            </w:r>
            <w:r w:rsidR="004125DA"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 (SE)</w:t>
            </w:r>
            <w:r w:rsidR="006F2EE6" w:rsidRPr="006F2EE6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vertAlign w:val="superscript"/>
              </w:rPr>
              <w:t xml:space="preserve">a,b </w:t>
            </w:r>
            <w:r w:rsidR="004125DA"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Esketamine vs. Placebo</w:t>
            </w:r>
          </w:p>
        </w:tc>
        <w:tc>
          <w:tcPr>
            <w:tcW w:w="1679" w:type="dxa"/>
            <w:tcBorders>
              <w:bottom w:val="nil"/>
            </w:tcBorders>
            <w:vAlign w:val="bottom"/>
          </w:tcPr>
          <w:p w14:paraId="658E5BE7" w14:textId="7CCCCE94" w:rsidR="00391111" w:rsidRPr="00726D4F" w:rsidRDefault="004125DA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-3.6 (1.24)</w:t>
            </w:r>
          </w:p>
        </w:tc>
        <w:tc>
          <w:tcPr>
            <w:tcW w:w="1310" w:type="dxa"/>
            <w:tcBorders>
              <w:bottom w:val="nil"/>
            </w:tcBorders>
            <w:vAlign w:val="bottom"/>
          </w:tcPr>
          <w:p w14:paraId="2168A554" w14:textId="30CD4B15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-4.3 (1.68)</w:t>
            </w:r>
          </w:p>
        </w:tc>
        <w:tc>
          <w:tcPr>
            <w:tcW w:w="1571" w:type="dxa"/>
            <w:tcBorders>
              <w:bottom w:val="nil"/>
            </w:tcBorders>
            <w:vAlign w:val="bottom"/>
          </w:tcPr>
          <w:p w14:paraId="469B5D62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  <w:right w:val="single" w:sz="12" w:space="0" w:color="auto"/>
            </w:tcBorders>
            <w:vAlign w:val="bottom"/>
          </w:tcPr>
          <w:p w14:paraId="515A5895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10" w:type="dxa"/>
            <w:tcBorders>
              <w:left w:val="single" w:sz="12" w:space="0" w:color="auto"/>
              <w:bottom w:val="nil"/>
            </w:tcBorders>
            <w:vAlign w:val="bottom"/>
          </w:tcPr>
          <w:p w14:paraId="1205401F" w14:textId="487052B3" w:rsidR="00391111" w:rsidRPr="00726D4F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-4.2 (1.27)</w:t>
            </w:r>
          </w:p>
        </w:tc>
        <w:tc>
          <w:tcPr>
            <w:tcW w:w="1552" w:type="dxa"/>
            <w:tcBorders>
              <w:bottom w:val="nil"/>
            </w:tcBorders>
            <w:vAlign w:val="bottom"/>
          </w:tcPr>
          <w:p w14:paraId="6E799FA1" w14:textId="7EF5EF9B" w:rsidR="00391111" w:rsidRPr="00726D4F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-3.4 (1.64)</w:t>
            </w:r>
          </w:p>
        </w:tc>
        <w:tc>
          <w:tcPr>
            <w:tcW w:w="1552" w:type="dxa"/>
            <w:tcBorders>
              <w:bottom w:val="nil"/>
            </w:tcBorders>
            <w:vAlign w:val="bottom"/>
          </w:tcPr>
          <w:p w14:paraId="4AEDD06F" w14:textId="47EDF0B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  <w:right w:val="nil"/>
            </w:tcBorders>
            <w:vAlign w:val="bottom"/>
          </w:tcPr>
          <w:p w14:paraId="2062105D" w14:textId="0FF1BD0A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3F434C" w14:paraId="360A0774" w14:textId="77777777" w:rsidTr="003F434C">
        <w:tc>
          <w:tcPr>
            <w:tcW w:w="1265" w:type="dxa"/>
            <w:tcBorders>
              <w:top w:val="nil"/>
              <w:left w:val="nil"/>
              <w:bottom w:val="single" w:sz="4" w:space="0" w:color="auto"/>
            </w:tcBorders>
          </w:tcPr>
          <w:p w14:paraId="5BD40862" w14:textId="1E1B943E" w:rsidR="00391111" w:rsidRPr="00726D4F" w:rsidRDefault="00391111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95% C</w:t>
            </w:r>
            <w:r w:rsidR="004125DA"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14:paraId="70526BE5" w14:textId="15FF9175" w:rsidR="00391111" w:rsidRPr="00726D4F" w:rsidRDefault="004125DA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-60.5, -1.16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2502174B" w14:textId="67AC1DBC" w:rsidR="00391111" w:rsidRPr="00726D4F" w:rsidRDefault="004125DA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-7.6</w:t>
            </w:r>
            <w:r w:rsidR="00726D4F"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</w:t>
            </w: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, -1.01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5C446FB0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87D8BCD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136921A6" w14:textId="1DE0246B" w:rsidR="00391111" w:rsidRPr="00726D4F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-6.72, -1.73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433C9F8B" w14:textId="2C020F31" w:rsidR="00391111" w:rsidRPr="00726D4F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-6.59, -0.16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07C160DB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nil"/>
            </w:tcBorders>
          </w:tcPr>
          <w:p w14:paraId="20AD5E5E" w14:textId="77777777" w:rsidR="00391111" w:rsidRPr="00726D4F" w:rsidRDefault="00391111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3F434C" w14:paraId="045D304A" w14:textId="77777777" w:rsidTr="003F434C">
        <w:tc>
          <w:tcPr>
            <w:tcW w:w="1265" w:type="dxa"/>
            <w:tcBorders>
              <w:left w:val="nil"/>
              <w:bottom w:val="nil"/>
            </w:tcBorders>
          </w:tcPr>
          <w:p w14:paraId="616D2480" w14:textId="7C8FBE54" w:rsidR="00726D4F" w:rsidRPr="00726D4F" w:rsidRDefault="00726D4F" w:rsidP="00726D4F">
            <w:pPr>
              <w:ind w:left="-100" w:right="-70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Difference LS Means (SE), Benzodiazepine vs. No Benzodiazepine</w:t>
            </w:r>
          </w:p>
        </w:tc>
        <w:tc>
          <w:tcPr>
            <w:tcW w:w="1679" w:type="dxa"/>
            <w:tcBorders>
              <w:bottom w:val="nil"/>
            </w:tcBorders>
            <w:vAlign w:val="bottom"/>
          </w:tcPr>
          <w:p w14:paraId="331E32E5" w14:textId="12CC3681" w:rsidR="00726D4F" w:rsidRPr="00726D4F" w:rsidRDefault="00726D4F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1.2 (1.61)</w:t>
            </w:r>
          </w:p>
        </w:tc>
        <w:tc>
          <w:tcPr>
            <w:tcW w:w="1310" w:type="dxa"/>
            <w:tcBorders>
              <w:bottom w:val="nil"/>
            </w:tcBorders>
            <w:vAlign w:val="bottom"/>
          </w:tcPr>
          <w:p w14:paraId="2893405A" w14:textId="4BDA818B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71" w:type="dxa"/>
            <w:tcBorders>
              <w:bottom w:val="nil"/>
            </w:tcBorders>
            <w:vAlign w:val="bottom"/>
          </w:tcPr>
          <w:p w14:paraId="34188946" w14:textId="7A9ACA23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726D4F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0.5 (1.60)</w:t>
            </w:r>
          </w:p>
        </w:tc>
        <w:tc>
          <w:tcPr>
            <w:tcW w:w="1390" w:type="dxa"/>
            <w:tcBorders>
              <w:bottom w:val="nil"/>
              <w:right w:val="single" w:sz="12" w:space="0" w:color="auto"/>
            </w:tcBorders>
            <w:vAlign w:val="bottom"/>
          </w:tcPr>
          <w:p w14:paraId="2C570E55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10" w:type="dxa"/>
            <w:tcBorders>
              <w:left w:val="single" w:sz="12" w:space="0" w:color="auto"/>
              <w:bottom w:val="nil"/>
            </w:tcBorders>
            <w:vAlign w:val="bottom"/>
          </w:tcPr>
          <w:p w14:paraId="22CDACCC" w14:textId="6C2C22C9" w:rsidR="00726D4F" w:rsidRPr="00726D4F" w:rsidRDefault="00BA64E4" w:rsidP="00BA64E4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1.0 (1.60)</w:t>
            </w:r>
          </w:p>
        </w:tc>
        <w:tc>
          <w:tcPr>
            <w:tcW w:w="1552" w:type="dxa"/>
            <w:tcBorders>
              <w:bottom w:val="nil"/>
            </w:tcBorders>
            <w:vAlign w:val="bottom"/>
          </w:tcPr>
          <w:p w14:paraId="476AC063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bottom w:val="nil"/>
            </w:tcBorders>
            <w:vAlign w:val="bottom"/>
          </w:tcPr>
          <w:p w14:paraId="65636B3B" w14:textId="4AC6D4C9" w:rsidR="00726D4F" w:rsidRPr="00726D4F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1.8 (1.57)</w:t>
            </w:r>
          </w:p>
        </w:tc>
        <w:tc>
          <w:tcPr>
            <w:tcW w:w="1260" w:type="dxa"/>
            <w:tcBorders>
              <w:bottom w:val="nil"/>
              <w:right w:val="nil"/>
            </w:tcBorders>
            <w:vAlign w:val="bottom"/>
          </w:tcPr>
          <w:p w14:paraId="3215AB66" w14:textId="77777777" w:rsidR="00726D4F" w:rsidRP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3F434C" w14:paraId="13DB155F" w14:textId="77777777" w:rsidTr="003F434C"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FC53" w14:textId="1A9756FE" w:rsidR="00726D4F" w:rsidRDefault="00726D4F" w:rsidP="008040FC">
            <w:pPr>
              <w:ind w:left="170" w:right="-7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0A2E5" w14:textId="1FD412CC" w:rsidR="00726D4F" w:rsidRDefault="00726D4F" w:rsidP="006F2EE6">
            <w:pPr>
              <w:ind w:left="-60" w:right="-1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-1.92, 4.40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5E6A5" w14:textId="18A8886A" w:rsidR="00726D4F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E2306" w14:textId="1F49A783" w:rsidR="00726D4F" w:rsidRPr="004125DA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-2.61, 3.69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302912B" w14:textId="77777777" w:rsidR="00726D4F" w:rsidRPr="004125DA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7FF5A" w14:textId="1E6DC655" w:rsidR="00726D4F" w:rsidRPr="004125DA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-2.15, 4.14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0CA5" w14:textId="77777777" w:rsidR="00726D4F" w:rsidRPr="004125DA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DCD76" w14:textId="5D57B4F1" w:rsidR="00726D4F" w:rsidRPr="004125DA" w:rsidRDefault="00BA64E4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-1.23, 4.93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A01890" w14:textId="77777777" w:rsidR="00726D4F" w:rsidRPr="004125DA" w:rsidRDefault="00726D4F" w:rsidP="00726D4F">
            <w:pPr>
              <w:ind w:left="-100" w:right="-7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049B1713" w14:textId="77777777" w:rsidR="00726D4F" w:rsidRPr="00726D4F" w:rsidRDefault="00726D4F" w:rsidP="00726D4F">
      <w:pPr>
        <w:rPr>
          <w:rFonts w:ascii="Times New Roman" w:hAnsi="Times New Roman" w:cs="Times New Roman"/>
        </w:rPr>
      </w:pPr>
      <w:r w:rsidRPr="00726D4F">
        <w:rPr>
          <w:rFonts w:ascii="Times New Roman" w:hAnsi="Times New Roman" w:cs="Times New Roman"/>
          <w:b/>
          <w:bCs/>
          <w:sz w:val="20"/>
          <w:szCs w:val="20"/>
        </w:rPr>
        <w:t>Abbreviations</w:t>
      </w:r>
      <w:r w:rsidRPr="00726D4F">
        <w:rPr>
          <w:rFonts w:ascii="Times New Roman" w:hAnsi="Times New Roman" w:cs="Times New Roman"/>
          <w:sz w:val="20"/>
          <w:szCs w:val="20"/>
        </w:rPr>
        <w:t>:  ANCOVA, analysis of covariance; CI, confidence interval; LOCF, last observation carried forward; LS, least</w:t>
      </w:r>
      <w:r w:rsidRPr="00726D4F">
        <w:rPr>
          <w:rFonts w:ascii="Times New Roman" w:hAnsi="Times New Roman" w:cs="Times New Roman"/>
          <w:sz w:val="20"/>
          <w:szCs w:val="20"/>
        </w:rPr>
        <w:noBreakHyphen/>
        <w:t>squares; MADRS, Montgomery-Asberg Depression Rating Scale; SE, standard error</w:t>
      </w:r>
    </w:p>
    <w:p w14:paraId="05E1B60E" w14:textId="6C0DC145" w:rsidR="00726D4F" w:rsidRPr="00726D4F" w:rsidRDefault="00726D4F" w:rsidP="00726D4F">
      <w:pPr>
        <w:pStyle w:val="ListParagraph"/>
        <w:numPr>
          <w:ilvl w:val="0"/>
          <w:numId w:val="1"/>
        </w:numPr>
        <w:tabs>
          <w:tab w:val="left" w:pos="-360"/>
        </w:tabs>
        <w:ind w:left="360"/>
        <w:rPr>
          <w:sz w:val="20"/>
          <w:szCs w:val="20"/>
        </w:rPr>
      </w:pPr>
      <w:r w:rsidRPr="00726D4F">
        <w:rPr>
          <w:sz w:val="20"/>
          <w:szCs w:val="20"/>
        </w:rPr>
        <w:t>Based on ANCOVA with study number, treatment, standard-of-care antidepressant as randomized, benzodiazepine group, and treatment-by-benzodiazepine group as factors, and baseline MADRS total score as a continuous covariate.</w:t>
      </w:r>
    </w:p>
    <w:p w14:paraId="3F11DD86" w14:textId="77777777" w:rsidR="00726D4F" w:rsidRPr="00726D4F" w:rsidRDefault="00726D4F" w:rsidP="00726D4F">
      <w:pPr>
        <w:pStyle w:val="ListParagraph"/>
        <w:numPr>
          <w:ilvl w:val="0"/>
          <w:numId w:val="1"/>
        </w:numPr>
        <w:tabs>
          <w:tab w:val="left" w:pos="-360"/>
        </w:tabs>
        <w:ind w:left="360"/>
        <w:rPr>
          <w:sz w:val="20"/>
          <w:szCs w:val="20"/>
        </w:rPr>
      </w:pPr>
      <w:r w:rsidRPr="00726D4F">
        <w:rPr>
          <w:sz w:val="20"/>
          <w:szCs w:val="20"/>
        </w:rPr>
        <w:t>Esketamine + standard-of-care minus placebo + standard-of-care in each benzodiazepine group.</w:t>
      </w:r>
    </w:p>
    <w:p w14:paraId="2B6C3E7D" w14:textId="7BE6EBB9" w:rsidR="00726D4F" w:rsidRPr="00726D4F" w:rsidRDefault="00726D4F" w:rsidP="00726D4F">
      <w:pPr>
        <w:tabs>
          <w:tab w:val="left" w:pos="-360"/>
        </w:tabs>
        <w:rPr>
          <w:rFonts w:ascii="Times New Roman" w:hAnsi="Times New Roman" w:cs="Times New Roman"/>
          <w:sz w:val="20"/>
          <w:szCs w:val="20"/>
        </w:rPr>
      </w:pPr>
      <w:r w:rsidRPr="00726D4F">
        <w:rPr>
          <w:rFonts w:ascii="Times New Roman" w:hAnsi="Times New Roman" w:cs="Times New Roman"/>
          <w:b/>
          <w:bCs/>
          <w:sz w:val="20"/>
          <w:szCs w:val="20"/>
        </w:rPr>
        <w:t>Notes</w:t>
      </w:r>
      <w:r w:rsidRPr="00726D4F">
        <w:rPr>
          <w:rFonts w:ascii="Times New Roman" w:hAnsi="Times New Roman" w:cs="Times New Roman"/>
          <w:sz w:val="20"/>
          <w:szCs w:val="20"/>
        </w:rPr>
        <w:t>: MADRS total score ranges from 0 to 60; a higher score indicates a more severe condition. Negative change in score indicates improvement.  Negative difference favors esketamine.</w:t>
      </w:r>
    </w:p>
    <w:p w14:paraId="45B608BD" w14:textId="77777777" w:rsidR="00391111" w:rsidRDefault="00391111" w:rsidP="00391111">
      <w:pPr>
        <w:ind w:left="1170" w:hanging="1170"/>
        <w:rPr>
          <w:rFonts w:ascii="Times New Roman" w:hAnsi="Times New Roman" w:cs="Times New Roman"/>
          <w:noProof/>
          <w:color w:val="000000" w:themeColor="text1"/>
        </w:rPr>
      </w:pPr>
    </w:p>
    <w:p w14:paraId="5DB66AA8" w14:textId="31859BF8" w:rsidR="000B2714" w:rsidRPr="005B3453" w:rsidRDefault="000B2714" w:rsidP="00EB7D68">
      <w:pPr>
        <w:rPr>
          <w:noProof/>
          <w:color w:val="000000" w:themeColor="text1"/>
        </w:rPr>
      </w:pPr>
    </w:p>
    <w:sectPr w:rsidR="000B2714" w:rsidRPr="005B3453" w:rsidSect="003911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B031F" w14:textId="77777777" w:rsidR="0047227B" w:rsidRDefault="0047227B" w:rsidP="00EB7D68">
      <w:r>
        <w:separator/>
      </w:r>
    </w:p>
  </w:endnote>
  <w:endnote w:type="continuationSeparator" w:id="0">
    <w:p w14:paraId="1CD3D5C4" w14:textId="77777777" w:rsidR="0047227B" w:rsidRDefault="0047227B" w:rsidP="00EB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776760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F5CEAA" w14:textId="7C179D02" w:rsidR="00EB7D68" w:rsidRDefault="00EB7D68" w:rsidP="006E5D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C7BEF6" w14:textId="77777777" w:rsidR="00EB7D68" w:rsidRDefault="00EB7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  <w:sz w:val="20"/>
        <w:szCs w:val="20"/>
      </w:rPr>
      <w:id w:val="-8083230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53AEC0" w14:textId="7258D42A" w:rsidR="00EB7D68" w:rsidRPr="00EB7D68" w:rsidRDefault="00EB7D68" w:rsidP="006E5D44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EB7D68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EB7D68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EB7D68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EB7D68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EB7D68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AE32D74" w14:textId="77777777" w:rsidR="00EB7D68" w:rsidRDefault="00EB7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3EE47" w14:textId="77777777" w:rsidR="0047227B" w:rsidRDefault="0047227B" w:rsidP="00EB7D68">
      <w:r>
        <w:separator/>
      </w:r>
    </w:p>
  </w:footnote>
  <w:footnote w:type="continuationSeparator" w:id="0">
    <w:p w14:paraId="3F3ADB0E" w14:textId="77777777" w:rsidR="0047227B" w:rsidRDefault="0047227B" w:rsidP="00EB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B5B84"/>
    <w:multiLevelType w:val="hybridMultilevel"/>
    <w:tmpl w:val="2FF075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14"/>
    <w:rsid w:val="0008444C"/>
    <w:rsid w:val="000B2714"/>
    <w:rsid w:val="001177DB"/>
    <w:rsid w:val="002864F4"/>
    <w:rsid w:val="003435DA"/>
    <w:rsid w:val="00391111"/>
    <w:rsid w:val="003F434C"/>
    <w:rsid w:val="004125DA"/>
    <w:rsid w:val="0047227B"/>
    <w:rsid w:val="004E5ADA"/>
    <w:rsid w:val="006F2EE6"/>
    <w:rsid w:val="00726D4F"/>
    <w:rsid w:val="007A4505"/>
    <w:rsid w:val="008040FC"/>
    <w:rsid w:val="008A3EAF"/>
    <w:rsid w:val="008F33DB"/>
    <w:rsid w:val="00B42F99"/>
    <w:rsid w:val="00BA64E4"/>
    <w:rsid w:val="00BD03D2"/>
    <w:rsid w:val="00C92EA5"/>
    <w:rsid w:val="00CF69F4"/>
    <w:rsid w:val="00E451DF"/>
    <w:rsid w:val="00E9134E"/>
    <w:rsid w:val="00EB7D68"/>
    <w:rsid w:val="00F9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8DDFE"/>
  <w15:chartTrackingRefBased/>
  <w15:docId w15:val="{B1481F2A-9EE9-1842-B3B2-A66843C4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B2714"/>
    <w:pPr>
      <w:ind w:left="720"/>
      <w:contextualSpacing/>
    </w:pPr>
    <w:rPr>
      <w:rFonts w:ascii="Times New Roman" w:eastAsia="Calibri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39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26D4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26D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7D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D68"/>
  </w:style>
  <w:style w:type="character" w:styleId="PageNumber">
    <w:name w:val="page number"/>
    <w:basedOn w:val="DefaultParagraphFont"/>
    <w:uiPriority w:val="99"/>
    <w:semiHidden/>
    <w:unhideWhenUsed/>
    <w:rsid w:val="00EB7D68"/>
  </w:style>
  <w:style w:type="paragraph" w:styleId="Header">
    <w:name w:val="header"/>
    <w:basedOn w:val="Normal"/>
    <w:link w:val="HeaderChar"/>
    <w:uiPriority w:val="99"/>
    <w:unhideWhenUsed/>
    <w:rsid w:val="00EB7D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D68"/>
  </w:style>
  <w:style w:type="character" w:styleId="CommentReference">
    <w:name w:val="annotation reference"/>
    <w:basedOn w:val="DefaultParagraphFont"/>
    <w:uiPriority w:val="99"/>
    <w:semiHidden/>
    <w:unhideWhenUsed/>
    <w:rsid w:val="008F3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3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3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3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Norris</dc:creator>
  <cp:keywords/>
  <dc:description/>
  <cp:lastModifiedBy>Sandra Norris</cp:lastModifiedBy>
  <cp:revision>3</cp:revision>
  <dcterms:created xsi:type="dcterms:W3CDTF">2021-06-27T14:30:00Z</dcterms:created>
  <dcterms:modified xsi:type="dcterms:W3CDTF">2021-07-07T23:50:00Z</dcterms:modified>
</cp:coreProperties>
</file>