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00" w:rsidRPr="0095216A" w:rsidRDefault="00D67D00" w:rsidP="0095216A">
      <w:pPr>
        <w:spacing w:after="0" w:line="480" w:lineRule="auto"/>
        <w:jc w:val="both"/>
        <w:rPr>
          <w:rFonts w:ascii="Arial" w:eastAsia="Calibri" w:hAnsi="Arial" w:cs="Arial"/>
          <w:bCs/>
          <w:sz w:val="20"/>
          <w:szCs w:val="20"/>
          <w:lang w:val="en-GB" w:eastAsia="en-GB"/>
        </w:rPr>
      </w:pPr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>Supporting information to: “</w:t>
      </w:r>
      <w:proofErr w:type="spellStart"/>
      <w:r w:rsidRPr="0095216A">
        <w:rPr>
          <w:rFonts w:ascii="Arial" w:eastAsia="Calibri" w:hAnsi="Arial" w:cs="Arial"/>
          <w:bCs/>
          <w:sz w:val="20"/>
          <w:szCs w:val="20"/>
          <w:lang w:val="en-GB" w:eastAsia="en-GB"/>
        </w:rPr>
        <w:t>Foveal</w:t>
      </w:r>
      <w:proofErr w:type="spellEnd"/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 xml:space="preserve"> </w:t>
      </w:r>
      <w:r w:rsidRPr="0095216A">
        <w:rPr>
          <w:rFonts w:ascii="Arial" w:eastAsia="Calibri" w:hAnsi="Arial" w:cs="Arial"/>
          <w:bCs/>
          <w:sz w:val="20"/>
          <w:szCs w:val="20"/>
          <w:lang w:val="en-GB" w:eastAsia="en-GB"/>
        </w:rPr>
        <w:t>avascular zone does not correspond to choroidal characteristics in patients with diab</w:t>
      </w:r>
      <w:r w:rsidR="00F01C74">
        <w:rPr>
          <w:rFonts w:ascii="Arial" w:eastAsia="Calibri" w:hAnsi="Arial" w:cs="Arial"/>
          <w:bCs/>
          <w:sz w:val="20"/>
          <w:szCs w:val="20"/>
          <w:lang w:val="en-GB" w:eastAsia="en-GB"/>
        </w:rPr>
        <w:t>etic retinopathy: a single-</w:t>
      </w:r>
      <w:proofErr w:type="spellStart"/>
      <w:r w:rsidR="00F01C74">
        <w:rPr>
          <w:rFonts w:ascii="Arial" w:eastAsia="Calibri" w:hAnsi="Arial" w:cs="Arial"/>
          <w:bCs/>
          <w:sz w:val="20"/>
          <w:szCs w:val="20"/>
          <w:lang w:val="en-GB" w:eastAsia="en-GB"/>
        </w:rPr>
        <w:t>cent</w:t>
      </w:r>
      <w:r w:rsidRPr="0095216A">
        <w:rPr>
          <w:rFonts w:ascii="Arial" w:eastAsia="Calibri" w:hAnsi="Arial" w:cs="Arial"/>
          <w:bCs/>
          <w:sz w:val="20"/>
          <w:szCs w:val="20"/>
          <w:lang w:val="en-GB" w:eastAsia="en-GB"/>
        </w:rPr>
        <w:t>e</w:t>
      </w:r>
      <w:r w:rsidR="00F01C74">
        <w:rPr>
          <w:rFonts w:ascii="Arial" w:eastAsia="Calibri" w:hAnsi="Arial" w:cs="Arial"/>
          <w:bCs/>
          <w:sz w:val="20"/>
          <w:szCs w:val="20"/>
          <w:lang w:val="en-GB" w:eastAsia="en-GB"/>
        </w:rPr>
        <w:t>r</w:t>
      </w:r>
      <w:proofErr w:type="spellEnd"/>
      <w:r w:rsidRPr="0095216A">
        <w:rPr>
          <w:rFonts w:ascii="Arial" w:eastAsia="Calibri" w:hAnsi="Arial" w:cs="Arial"/>
          <w:bCs/>
          <w:sz w:val="20"/>
          <w:szCs w:val="20"/>
          <w:lang w:val="en-GB" w:eastAsia="en-GB"/>
        </w:rPr>
        <w:t xml:space="preserve"> cross-sectional analysis”</w:t>
      </w:r>
    </w:p>
    <w:p w:rsidR="00D67D00" w:rsidRPr="0095216A" w:rsidRDefault="00D67D00" w:rsidP="0095216A">
      <w:pPr>
        <w:spacing w:after="0" w:line="480" w:lineRule="auto"/>
        <w:jc w:val="both"/>
        <w:rPr>
          <w:rFonts w:ascii="Arial" w:eastAsia="Calibri" w:hAnsi="Arial" w:cs="Arial"/>
          <w:bCs/>
          <w:sz w:val="20"/>
          <w:szCs w:val="20"/>
          <w:lang w:val="en-GB" w:eastAsia="en-GB"/>
        </w:rPr>
      </w:pPr>
    </w:p>
    <w:p w:rsidR="00D67D00" w:rsidRPr="0095216A" w:rsidRDefault="00D67D00" w:rsidP="0095216A">
      <w:pPr>
        <w:spacing w:after="0" w:line="480" w:lineRule="auto"/>
        <w:jc w:val="both"/>
        <w:rPr>
          <w:rFonts w:ascii="Arial" w:eastAsia="Calibri" w:hAnsi="Arial" w:cs="Arial"/>
          <w:bCs/>
          <w:sz w:val="20"/>
          <w:szCs w:val="20"/>
          <w:lang w:val="en-GB" w:eastAsia="en-GB"/>
        </w:rPr>
      </w:pPr>
    </w:p>
    <w:p w:rsidR="00D67D00" w:rsidRPr="0095216A" w:rsidRDefault="00D67D00" w:rsidP="0095216A">
      <w:pPr>
        <w:spacing w:after="0" w:line="480" w:lineRule="auto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D67D00" w:rsidRPr="0095216A" w:rsidRDefault="00D67D00" w:rsidP="0095216A">
      <w:pPr>
        <w:spacing w:after="0" w:line="480" w:lineRule="auto"/>
        <w:rPr>
          <w:rFonts w:ascii="Arial" w:eastAsia="Calibri" w:hAnsi="Arial" w:cs="Arial"/>
          <w:sz w:val="20"/>
          <w:szCs w:val="20"/>
          <w:vertAlign w:val="superscript"/>
          <w:lang w:eastAsia="en-GB"/>
        </w:rPr>
      </w:pPr>
      <w:r w:rsidRPr="0095216A">
        <w:rPr>
          <w:rFonts w:ascii="Arial" w:eastAsia="Calibri" w:hAnsi="Arial" w:cs="Arial"/>
          <w:sz w:val="20"/>
          <w:szCs w:val="20"/>
          <w:lang w:eastAsia="en-GB"/>
        </w:rPr>
        <w:t>Patryk Sidorczuk,</w:t>
      </w:r>
      <w:r w:rsidRPr="0095216A">
        <w:rPr>
          <w:rFonts w:ascii="Arial" w:eastAsia="Calibri" w:hAnsi="Arial" w:cs="Arial"/>
          <w:sz w:val="20"/>
          <w:szCs w:val="20"/>
          <w:vertAlign w:val="superscript"/>
          <w:lang w:eastAsia="en-GB"/>
        </w:rPr>
        <w:t>1</w:t>
      </w:r>
      <w:r w:rsidRPr="0095216A">
        <w:rPr>
          <w:rFonts w:ascii="Arial" w:eastAsia="Calibri" w:hAnsi="Arial" w:cs="Arial"/>
          <w:sz w:val="20"/>
          <w:szCs w:val="20"/>
          <w:lang w:eastAsia="en-GB"/>
        </w:rPr>
        <w:t xml:space="preserve"> Barbara Pieklarz,</w:t>
      </w:r>
      <w:r w:rsidRPr="0095216A">
        <w:rPr>
          <w:rFonts w:ascii="Arial" w:eastAsia="Calibri" w:hAnsi="Arial" w:cs="Arial"/>
          <w:sz w:val="20"/>
          <w:szCs w:val="20"/>
          <w:vertAlign w:val="superscript"/>
          <w:lang w:eastAsia="en-GB"/>
        </w:rPr>
        <w:t>1</w:t>
      </w:r>
      <w:r w:rsidRPr="0095216A">
        <w:rPr>
          <w:rFonts w:ascii="Arial" w:eastAsia="Calibri" w:hAnsi="Arial" w:cs="Arial"/>
          <w:sz w:val="20"/>
          <w:szCs w:val="20"/>
          <w:lang w:eastAsia="en-GB"/>
        </w:rPr>
        <w:t xml:space="preserve"> Joanna Konopinska,</w:t>
      </w:r>
      <w:r w:rsidRPr="0095216A">
        <w:rPr>
          <w:rFonts w:ascii="Arial" w:eastAsia="Calibri" w:hAnsi="Arial" w:cs="Arial"/>
          <w:sz w:val="20"/>
          <w:szCs w:val="20"/>
          <w:vertAlign w:val="superscript"/>
          <w:lang w:eastAsia="en-GB"/>
        </w:rPr>
        <w:t>1</w:t>
      </w:r>
      <w:r w:rsidRPr="0095216A">
        <w:rPr>
          <w:rFonts w:ascii="Arial" w:eastAsia="Calibri" w:hAnsi="Arial" w:cs="Arial"/>
          <w:sz w:val="20"/>
          <w:szCs w:val="20"/>
          <w:lang w:eastAsia="en-GB"/>
        </w:rPr>
        <w:t xml:space="preserve"> Emil Saeed,</w:t>
      </w:r>
      <w:r w:rsidRPr="0095216A">
        <w:rPr>
          <w:rFonts w:ascii="Arial" w:eastAsia="Calibri" w:hAnsi="Arial" w:cs="Arial"/>
          <w:sz w:val="20"/>
          <w:szCs w:val="20"/>
          <w:vertAlign w:val="superscript"/>
          <w:lang w:eastAsia="en-GB"/>
        </w:rPr>
        <w:t>1</w:t>
      </w:r>
      <w:r w:rsidRPr="0095216A">
        <w:rPr>
          <w:rFonts w:ascii="Arial" w:eastAsia="Calibri" w:hAnsi="Arial" w:cs="Arial"/>
          <w:sz w:val="20"/>
          <w:szCs w:val="20"/>
          <w:lang w:eastAsia="en-GB"/>
        </w:rPr>
        <w:t xml:space="preserve"> Zofia Mariak,</w:t>
      </w:r>
      <w:r w:rsidRPr="0095216A">
        <w:rPr>
          <w:rFonts w:ascii="Arial" w:eastAsia="Calibri" w:hAnsi="Arial" w:cs="Arial"/>
          <w:sz w:val="20"/>
          <w:szCs w:val="20"/>
          <w:vertAlign w:val="superscript"/>
          <w:lang w:eastAsia="en-GB"/>
        </w:rPr>
        <w:t>1</w:t>
      </w:r>
      <w:r w:rsidRPr="0095216A">
        <w:rPr>
          <w:rFonts w:ascii="Arial" w:eastAsia="Calibri" w:hAnsi="Arial" w:cs="Arial"/>
          <w:sz w:val="20"/>
          <w:szCs w:val="20"/>
          <w:lang w:eastAsia="en-GB"/>
        </w:rPr>
        <w:t xml:space="preserve"> and Diana A. Dmuchowska</w:t>
      </w:r>
      <w:r w:rsidRPr="0095216A">
        <w:rPr>
          <w:rFonts w:ascii="Arial" w:eastAsia="Calibri" w:hAnsi="Arial" w:cs="Arial"/>
          <w:sz w:val="20"/>
          <w:szCs w:val="20"/>
          <w:vertAlign w:val="superscript"/>
          <w:lang w:eastAsia="en-GB"/>
        </w:rPr>
        <w:t>1</w:t>
      </w:r>
    </w:p>
    <w:p w:rsidR="00D67D00" w:rsidRPr="0095216A" w:rsidRDefault="00D67D00" w:rsidP="0095216A">
      <w:pPr>
        <w:spacing w:after="0" w:line="480" w:lineRule="auto"/>
        <w:rPr>
          <w:rFonts w:ascii="Arial" w:eastAsia="Calibri" w:hAnsi="Arial" w:cs="Arial"/>
          <w:sz w:val="20"/>
          <w:szCs w:val="20"/>
          <w:lang w:val="en-GB" w:eastAsia="en-GB"/>
        </w:rPr>
      </w:pPr>
      <w:r w:rsidRPr="0095216A">
        <w:rPr>
          <w:rFonts w:ascii="Arial" w:eastAsia="Calibri" w:hAnsi="Arial" w:cs="Arial"/>
          <w:sz w:val="20"/>
          <w:szCs w:val="20"/>
          <w:vertAlign w:val="superscript"/>
          <w:lang w:val="en-GB" w:eastAsia="en-GB"/>
        </w:rPr>
        <w:t>1</w:t>
      </w:r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 xml:space="preserve">Ophthalmology Department, Medical University of Bialystok, 24a M. </w:t>
      </w:r>
      <w:proofErr w:type="spellStart"/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>Sklodowskiej</w:t>
      </w:r>
      <w:proofErr w:type="spellEnd"/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>-Curie, 15-276 Bialystok, Poland</w:t>
      </w:r>
    </w:p>
    <w:p w:rsidR="00D67D00" w:rsidRPr="0095216A" w:rsidRDefault="00D67D00" w:rsidP="0095216A">
      <w:pPr>
        <w:spacing w:after="0" w:line="480" w:lineRule="auto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D67D00" w:rsidRPr="0095216A" w:rsidRDefault="00D67D00" w:rsidP="0095216A">
      <w:pPr>
        <w:spacing w:after="0" w:line="480" w:lineRule="auto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D67D00" w:rsidRPr="0095216A" w:rsidRDefault="00D67D00" w:rsidP="0095216A">
      <w:pPr>
        <w:spacing w:after="0" w:line="480" w:lineRule="auto"/>
        <w:rPr>
          <w:rFonts w:ascii="Arial" w:eastAsia="Calibri" w:hAnsi="Arial" w:cs="Arial"/>
          <w:sz w:val="20"/>
          <w:szCs w:val="20"/>
          <w:lang w:val="en-GB" w:eastAsia="en-GB"/>
        </w:rPr>
      </w:pPr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 xml:space="preserve">Correspondence should be addressed to Diana A. </w:t>
      </w:r>
      <w:proofErr w:type="spellStart"/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>Dmuchowska</w:t>
      </w:r>
      <w:proofErr w:type="spellEnd"/>
      <w:r w:rsidRPr="0095216A">
        <w:rPr>
          <w:rFonts w:ascii="Arial" w:eastAsia="Calibri" w:hAnsi="Arial" w:cs="Arial"/>
          <w:sz w:val="20"/>
          <w:szCs w:val="20"/>
          <w:lang w:val="en-GB" w:eastAsia="en-GB"/>
        </w:rPr>
        <w:t>; diana.dmuchowska@umb.edu.pl</w:t>
      </w:r>
    </w:p>
    <w:p w:rsidR="0020574D" w:rsidRPr="0095216A" w:rsidRDefault="0020574D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20574D" w:rsidRPr="0095216A" w:rsidRDefault="0020574D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20574D" w:rsidRPr="0095216A" w:rsidRDefault="0020574D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D67D00" w:rsidRPr="0095216A" w:rsidRDefault="00D67D00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D67D00" w:rsidRDefault="00D67D00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95216A" w:rsidRP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</w:p>
    <w:p w:rsidR="00047EB6" w:rsidRP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GB" w:eastAsia="en-GB"/>
        </w:rPr>
      </w:pPr>
      <w:r w:rsidRPr="0095216A">
        <w:rPr>
          <w:rFonts w:ascii="Arial" w:eastAsia="Calibri" w:hAnsi="Arial" w:cs="Arial"/>
          <w:b/>
          <w:sz w:val="20"/>
          <w:szCs w:val="20"/>
          <w:lang w:val="en-GB" w:eastAsia="en-GB"/>
        </w:rPr>
        <w:lastRenderedPageBreak/>
        <w:t>Table S1</w:t>
      </w:r>
      <w:r w:rsidR="0020574D" w:rsidRPr="0095216A">
        <w:rPr>
          <w:rFonts w:ascii="Arial" w:eastAsia="Calibri" w:hAnsi="Arial" w:cs="Arial"/>
          <w:sz w:val="20"/>
          <w:szCs w:val="20"/>
          <w:lang w:val="en-GB" w:eastAsia="en-GB"/>
        </w:rPr>
        <w:t xml:space="preserve"> Baseline characteristics of patients with diabetic retinopathy stra</w:t>
      </w:r>
      <w:r>
        <w:rPr>
          <w:rFonts w:ascii="Arial" w:eastAsia="Calibri" w:hAnsi="Arial" w:cs="Arial"/>
          <w:sz w:val="20"/>
          <w:szCs w:val="20"/>
          <w:lang w:val="en-GB" w:eastAsia="en-GB"/>
        </w:rPr>
        <w:t>tified according to the FAZ size</w:t>
      </w:r>
    </w:p>
    <w:p w:rsidR="00047EB6" w:rsidRPr="0095216A" w:rsidRDefault="00047EB6" w:rsidP="0095216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val="en-US" w:eastAsia="en-GB"/>
        </w:rPr>
      </w:pPr>
    </w:p>
    <w:tbl>
      <w:tblPr>
        <w:tblStyle w:val="Statystyka10pkt9"/>
        <w:tblW w:w="5000" w:type="pct"/>
        <w:tblLook w:val="04A0" w:firstRow="1" w:lastRow="0" w:firstColumn="1" w:lastColumn="0" w:noHBand="0" w:noVBand="1"/>
      </w:tblPr>
      <w:tblGrid>
        <w:gridCol w:w="3970"/>
        <w:gridCol w:w="2081"/>
        <w:gridCol w:w="2083"/>
        <w:gridCol w:w="938"/>
      </w:tblGrid>
      <w:tr w:rsidR="00793697" w:rsidRPr="0095216A" w:rsidTr="00FB6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  <w:vMerge w:val="restar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95" w:type="pct"/>
            <w:gridSpan w:val="2"/>
          </w:tcPr>
          <w:p w:rsidR="00047EB6" w:rsidRPr="0095216A" w:rsidRDefault="00047EB6" w:rsidP="0095216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FAZ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size</w:t>
            </w:r>
            <w:proofErr w:type="spellEnd"/>
          </w:p>
        </w:tc>
        <w:tc>
          <w:tcPr>
            <w:tcW w:w="517" w:type="pct"/>
            <w:vMerge w:val="restart"/>
          </w:tcPr>
          <w:p w:rsidR="00047EB6" w:rsidRPr="0095216A" w:rsidRDefault="00047EB6" w:rsidP="0095216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</w:rPr>
              <w:t>p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  <w:vMerge/>
            <w:tcBorders>
              <w:bottom w:val="single" w:sz="4" w:space="0" w:color="auto"/>
            </w:tcBorders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</w:rPr>
            </w:pPr>
            <w:r w:rsidRPr="0095216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&lt; 0.355</w:t>
            </w:r>
            <w:r w:rsidR="00793697" w:rsidRPr="0095216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mm</w:t>
            </w:r>
            <w:r w:rsidR="00793697" w:rsidRPr="0095216A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</w:rPr>
            </w:pPr>
            <w:r w:rsidRPr="0095216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&gt; 0.355</w:t>
            </w:r>
            <w:r w:rsidR="00793697" w:rsidRPr="0095216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mm</w:t>
            </w:r>
            <w:r w:rsidR="00793697" w:rsidRPr="0095216A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  <w:tcBorders>
              <w:top w:val="single" w:sz="4" w:space="0" w:color="auto"/>
              <w:bottom w:val="nil"/>
            </w:tcBorders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patients</w:t>
            </w:r>
            <w:proofErr w:type="spellEnd"/>
          </w:p>
        </w:tc>
        <w:tc>
          <w:tcPr>
            <w:tcW w:w="1147" w:type="pct"/>
            <w:tcBorders>
              <w:top w:val="single" w:sz="4" w:space="0" w:color="auto"/>
              <w:bottom w:val="nil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48" w:type="pct"/>
            <w:tcBorders>
              <w:top w:val="single" w:sz="4" w:space="0" w:color="auto"/>
              <w:bottom w:val="nil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  <w:tcBorders>
              <w:top w:val="nil"/>
            </w:tcBorders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eyes</w:t>
            </w:r>
            <w:proofErr w:type="spellEnd"/>
          </w:p>
        </w:tc>
        <w:tc>
          <w:tcPr>
            <w:tcW w:w="1147" w:type="pct"/>
            <w:tcBorders>
              <w:top w:val="nil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48" w:type="pct"/>
            <w:tcBorders>
              <w:top w:val="nil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517" w:type="pct"/>
            <w:tcBorders>
              <w:top w:val="nil"/>
            </w:tcBorders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Age,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years</w:t>
            </w:r>
            <w:proofErr w:type="spellEnd"/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mean±SD</w:t>
            </w:r>
            <w:proofErr w:type="spellEnd"/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61.93±12.12</w:t>
            </w: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59.60±12.63</w:t>
            </w: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.249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Sex, female, n (%)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44 (56.4)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31 (41.9)</w:t>
            </w: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.104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Spherical</w:t>
            </w:r>
            <w:proofErr w:type="spellEnd"/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equivalent</w:t>
            </w:r>
            <w:proofErr w:type="spellEnd"/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mean±SD</w:t>
            </w:r>
            <w:proofErr w:type="spellEnd"/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0.48±1.07</w:t>
            </w: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0.12±0.95</w:t>
            </w: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.009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DR severity, n (%)</w:t>
            </w:r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NPDR (DR 1-3)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70 (66.7)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65 (61.9)</w:t>
            </w:r>
          </w:p>
        </w:tc>
        <w:tc>
          <w:tcPr>
            <w:tcW w:w="517" w:type="pct"/>
            <w:vMerge w:val="restar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.565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PDR (DR 4-5)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35 (33.3)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40 (38.1)</w:t>
            </w:r>
          </w:p>
        </w:tc>
        <w:tc>
          <w:tcPr>
            <w:tcW w:w="517" w:type="pct"/>
            <w:vMerge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CSME, n (%)</w:t>
            </w:r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present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72 (68.6)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62 (59.0)</w:t>
            </w:r>
          </w:p>
        </w:tc>
        <w:tc>
          <w:tcPr>
            <w:tcW w:w="517" w:type="pct"/>
            <w:vMerge w:val="restar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</w:rPr>
              <w:t>.196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absent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33 (31.4)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43 (41.0)</w:t>
            </w:r>
          </w:p>
        </w:tc>
        <w:tc>
          <w:tcPr>
            <w:tcW w:w="517" w:type="pct"/>
            <w:vMerge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PRP, n (%)</w:t>
            </w:r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70 (66.7)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68 (64.8)</w:t>
            </w:r>
          </w:p>
        </w:tc>
        <w:tc>
          <w:tcPr>
            <w:tcW w:w="517" w:type="pct"/>
            <w:vMerge w:val="restar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.884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147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35 (33.3)</w:t>
            </w:r>
          </w:p>
        </w:tc>
        <w:tc>
          <w:tcPr>
            <w:tcW w:w="1148" w:type="pct"/>
            <w:vAlign w:val="bottom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37 (35.2)</w:t>
            </w:r>
          </w:p>
        </w:tc>
        <w:tc>
          <w:tcPr>
            <w:tcW w:w="517" w:type="pct"/>
            <w:vMerge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FAZ area, mm</w:t>
            </w:r>
            <w:r w:rsidRPr="0095216A">
              <w:rPr>
                <w:rFonts w:ascii="Arial" w:eastAsia="Calibri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, median (Q1;Q3)</w:t>
            </w:r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0.25 (0.18;0.31)</w:t>
            </w: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0.51 (0.44;0.64)</w:t>
            </w: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&lt;.001</w:t>
            </w:r>
          </w:p>
        </w:tc>
      </w:tr>
      <w:tr w:rsidR="00793697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047EB6" w:rsidRPr="0095216A" w:rsidRDefault="00047EB6" w:rsidP="0095216A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</w:rPr>
              <w:t xml:space="preserve">FAZ </w:t>
            </w:r>
            <w:proofErr w:type="spellStart"/>
            <w:r w:rsidRPr="0095216A">
              <w:rPr>
                <w:rFonts w:ascii="Arial" w:eastAsia="Calibri" w:hAnsi="Arial" w:cs="Arial"/>
                <w:sz w:val="18"/>
                <w:szCs w:val="18"/>
              </w:rPr>
              <w:t>outline</w:t>
            </w:r>
            <w:proofErr w:type="spellEnd"/>
            <w:r w:rsidRPr="0095216A">
              <w:rPr>
                <w:rFonts w:ascii="Arial" w:eastAsia="Calibri" w:hAnsi="Arial" w:cs="Arial"/>
                <w:sz w:val="18"/>
                <w:szCs w:val="18"/>
                <w:lang w:val="en-US"/>
              </w:rPr>
              <w:t>, (%)</w:t>
            </w:r>
          </w:p>
        </w:tc>
        <w:tc>
          <w:tcPr>
            <w:tcW w:w="114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8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17" w:type="pct"/>
          </w:tcPr>
          <w:p w:rsidR="00047EB6" w:rsidRPr="0095216A" w:rsidRDefault="00047EB6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20574D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20574D" w:rsidRPr="0095216A" w:rsidRDefault="0020574D" w:rsidP="0095216A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5216A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val="en-GB"/>
              </w:rPr>
              <w:t>grade ≤2</w:t>
            </w:r>
          </w:p>
        </w:tc>
        <w:tc>
          <w:tcPr>
            <w:tcW w:w="1147" w:type="pct"/>
            <w:vAlign w:val="bottom"/>
          </w:tcPr>
          <w:p w:rsidR="0020574D" w:rsidRPr="0095216A" w:rsidRDefault="0020574D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56 (53.3)</w:t>
            </w:r>
          </w:p>
        </w:tc>
        <w:tc>
          <w:tcPr>
            <w:tcW w:w="1148" w:type="pct"/>
            <w:vAlign w:val="bottom"/>
          </w:tcPr>
          <w:p w:rsidR="0020574D" w:rsidRPr="0095216A" w:rsidRDefault="0020574D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37 (35.2)</w:t>
            </w:r>
          </w:p>
        </w:tc>
        <w:tc>
          <w:tcPr>
            <w:tcW w:w="517" w:type="pct"/>
            <w:vMerge w:val="restart"/>
          </w:tcPr>
          <w:p w:rsidR="0020574D" w:rsidRPr="0095216A" w:rsidRDefault="0020574D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</w:rPr>
              <w:t>.012</w:t>
            </w:r>
          </w:p>
        </w:tc>
      </w:tr>
      <w:tr w:rsidR="0020574D" w:rsidRPr="0095216A" w:rsidTr="00FB6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:rsidR="0020574D" w:rsidRPr="0095216A" w:rsidRDefault="0020574D" w:rsidP="0095216A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5216A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val="en-GB"/>
              </w:rPr>
              <w:t>grade ≥3</w:t>
            </w:r>
          </w:p>
        </w:tc>
        <w:tc>
          <w:tcPr>
            <w:tcW w:w="1147" w:type="pct"/>
            <w:vAlign w:val="bottom"/>
          </w:tcPr>
          <w:p w:rsidR="0020574D" w:rsidRPr="0095216A" w:rsidRDefault="0020574D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49 (46.7)</w:t>
            </w:r>
          </w:p>
        </w:tc>
        <w:tc>
          <w:tcPr>
            <w:tcW w:w="1148" w:type="pct"/>
            <w:vAlign w:val="bottom"/>
          </w:tcPr>
          <w:p w:rsidR="0020574D" w:rsidRPr="0095216A" w:rsidRDefault="0020574D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95216A">
              <w:rPr>
                <w:rFonts w:ascii="Arial" w:eastAsia="Calibri" w:hAnsi="Arial" w:cs="Arial"/>
                <w:sz w:val="18"/>
                <w:szCs w:val="18"/>
                <w:lang w:eastAsia="en-GB"/>
              </w:rPr>
              <w:t>68 (64.8)</w:t>
            </w:r>
          </w:p>
        </w:tc>
        <w:tc>
          <w:tcPr>
            <w:tcW w:w="517" w:type="pct"/>
            <w:vMerge/>
          </w:tcPr>
          <w:p w:rsidR="0020574D" w:rsidRPr="0095216A" w:rsidRDefault="0020574D" w:rsidP="0095216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47EB6" w:rsidRP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sz w:val="18"/>
          <w:szCs w:val="18"/>
          <w:lang w:val="en-US"/>
        </w:rPr>
      </w:pPr>
      <w:r w:rsidRPr="0095216A">
        <w:rPr>
          <w:rFonts w:ascii="Arial" w:eastAsia="Calibri" w:hAnsi="Arial" w:cs="Arial"/>
          <w:b/>
          <w:sz w:val="18"/>
          <w:szCs w:val="18"/>
          <w:lang w:val="en-GB"/>
        </w:rPr>
        <w:t>Notes:</w:t>
      </w:r>
      <w:r w:rsidRPr="0095216A">
        <w:rPr>
          <w:rFonts w:ascii="Arial" w:eastAsia="Calibri" w:hAnsi="Arial" w:cs="Arial"/>
          <w:sz w:val="18"/>
          <w:szCs w:val="18"/>
          <w:lang w:val="en-GB"/>
        </w:rPr>
        <w:t xml:space="preserve"> </w:t>
      </w:r>
      <w:r w:rsidR="00047EB6" w:rsidRPr="0095216A">
        <w:rPr>
          <w:rFonts w:ascii="Arial" w:eastAsia="Calibri" w:hAnsi="Arial" w:cs="Arial"/>
          <w:sz w:val="18"/>
          <w:szCs w:val="18"/>
          <w:lang w:val="en-GB"/>
        </w:rPr>
        <w:t>G</w:t>
      </w:r>
      <w:proofErr w:type="spellStart"/>
      <w:r w:rsidR="00047EB6" w:rsidRPr="0095216A">
        <w:rPr>
          <w:rFonts w:ascii="Arial" w:eastAsia="Calibri" w:hAnsi="Arial" w:cs="Arial"/>
          <w:sz w:val="18"/>
          <w:szCs w:val="18"/>
          <w:lang w:val="en-US"/>
        </w:rPr>
        <w:t>roups</w:t>
      </w:r>
      <w:proofErr w:type="spellEnd"/>
      <w:r w:rsidR="00047EB6" w:rsidRPr="0095216A">
        <w:rPr>
          <w:rFonts w:ascii="Arial" w:eastAsia="Calibri" w:hAnsi="Arial" w:cs="Arial"/>
          <w:sz w:val="18"/>
          <w:szCs w:val="18"/>
          <w:lang w:val="en-US"/>
        </w:rPr>
        <w:t xml:space="preserve"> compared with chi-square test for nominal variables and with t-test o</w:t>
      </w:r>
      <w:r w:rsidR="00793697" w:rsidRPr="0095216A">
        <w:rPr>
          <w:rFonts w:ascii="Arial" w:eastAsia="Calibri" w:hAnsi="Arial" w:cs="Arial"/>
          <w:sz w:val="18"/>
          <w:szCs w:val="18"/>
          <w:lang w:val="en-US"/>
        </w:rPr>
        <w:t>r Mann-Whitney U test</w:t>
      </w:r>
      <w:r w:rsidR="00047EB6" w:rsidRPr="0095216A">
        <w:rPr>
          <w:rFonts w:ascii="Arial" w:eastAsia="Calibri" w:hAnsi="Arial" w:cs="Arial"/>
          <w:sz w:val="18"/>
          <w:szCs w:val="18"/>
          <w:lang w:val="en-US"/>
        </w:rPr>
        <w:t xml:space="preserve"> for continuous variables.</w:t>
      </w:r>
    </w:p>
    <w:p w:rsidR="0020574D" w:rsidRPr="0095216A" w:rsidRDefault="0095216A" w:rsidP="0095216A">
      <w:pPr>
        <w:spacing w:after="0" w:line="480" w:lineRule="auto"/>
        <w:jc w:val="both"/>
        <w:rPr>
          <w:rFonts w:ascii="Arial" w:eastAsia="Calibri" w:hAnsi="Arial" w:cs="Arial"/>
          <w:color w:val="000000"/>
          <w:sz w:val="18"/>
          <w:szCs w:val="18"/>
          <w:lang w:val="en-GB"/>
        </w:rPr>
      </w:pPr>
      <w:r w:rsidRPr="0095216A">
        <w:rPr>
          <w:rFonts w:ascii="Arial" w:eastAsia="Calibri" w:hAnsi="Arial" w:cs="Arial"/>
          <w:b/>
          <w:color w:val="000000"/>
          <w:sz w:val="18"/>
          <w:szCs w:val="18"/>
          <w:lang w:val="en-US"/>
        </w:rPr>
        <w:t>Abbreviations:</w:t>
      </w:r>
      <w:r w:rsidRPr="0095216A">
        <w:rPr>
          <w:rFonts w:ascii="Arial" w:eastAsia="Calibri" w:hAnsi="Arial" w:cs="Arial"/>
          <w:color w:val="000000"/>
          <w:sz w:val="18"/>
          <w:szCs w:val="18"/>
          <w:lang w:val="en-US"/>
        </w:rPr>
        <w:t xml:space="preserve"> </w:t>
      </w:r>
      <w:r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FAZ, </w:t>
      </w:r>
      <w:proofErr w:type="spellStart"/>
      <w:r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>foveal</w:t>
      </w:r>
      <w:proofErr w:type="spellEnd"/>
      <w:r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 avascular zone; CSME, </w:t>
      </w:r>
      <w:r w:rsidR="0020574D"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>clinically s</w:t>
      </w:r>
      <w:r w:rsidR="00F01C74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ignificant macular </w:t>
      </w:r>
      <w:bookmarkStart w:id="0" w:name="_GoBack"/>
      <w:bookmarkEnd w:id="0"/>
      <w:r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edema; DR, diabetic retinopathy; NPDR, </w:t>
      </w:r>
      <w:r w:rsidR="0020574D"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>non-proliferative diabetic re</w:t>
      </w:r>
      <w:r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tinopathy; PDR, </w:t>
      </w:r>
      <w:r w:rsidR="0020574D"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>proliferat</w:t>
      </w:r>
      <w:r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ive diabetic retinopathy; PRP, </w:t>
      </w:r>
      <w:proofErr w:type="spellStart"/>
      <w:r w:rsidR="0020574D"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>panretinal</w:t>
      </w:r>
      <w:proofErr w:type="spellEnd"/>
      <w:r w:rsidR="0020574D" w:rsidRPr="0095216A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 photocoagulation.</w:t>
      </w:r>
    </w:p>
    <w:p w:rsidR="004A1792" w:rsidRPr="0095216A" w:rsidRDefault="004A1792" w:rsidP="0095216A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sectPr w:rsidR="004A1792" w:rsidRPr="0095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B6"/>
    <w:rsid w:val="00047EB6"/>
    <w:rsid w:val="0020574D"/>
    <w:rsid w:val="004A1792"/>
    <w:rsid w:val="00793697"/>
    <w:rsid w:val="0095216A"/>
    <w:rsid w:val="00D67D00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9833"/>
  <w15:chartTrackingRefBased/>
  <w15:docId w15:val="{62BCE448-D0B6-4F3D-99C8-FDDAE7AD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atystyka10pkt9">
    <w:name w:val="Statystyka_10pkt9"/>
    <w:basedOn w:val="Standardowy"/>
    <w:uiPriority w:val="99"/>
    <w:qFormat/>
    <w:rsid w:val="00047EB6"/>
    <w:pPr>
      <w:spacing w:after="0" w:line="240" w:lineRule="auto"/>
      <w:jc w:val="center"/>
    </w:pPr>
    <w:rPr>
      <w:rFonts w:ascii="Calibri" w:hAnsi="Calibri"/>
      <w:sz w:val="20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sz w:val="20"/>
      </w:rPr>
      <w:tblPr/>
      <w:tcPr>
        <w:tcBorders>
          <w:left w:val="nil"/>
          <w:bottom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Calibri" w:hAnsi="Calibri"/>
        <w:b w:val="0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6</cp:revision>
  <dcterms:created xsi:type="dcterms:W3CDTF">2021-03-03T15:17:00Z</dcterms:created>
  <dcterms:modified xsi:type="dcterms:W3CDTF">2021-05-04T21:09:00Z</dcterms:modified>
</cp:coreProperties>
</file>