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02" w:rsidRDefault="00EE6C72">
      <w:pPr>
        <w:widowControl/>
        <w:jc w:val="left"/>
        <w:rPr>
          <w:sz w:val="24"/>
        </w:rPr>
      </w:pPr>
      <w:r>
        <w:rPr>
          <w:rFonts w:ascii="Times New Roman" w:eastAsia="AdvPSOP-B" w:hAnsi="Times New Roman" w:cs="Times New Roman"/>
          <w:b/>
          <w:bCs/>
          <w:color w:val="000000"/>
          <w:kern w:val="0"/>
          <w:sz w:val="24"/>
          <w:lang w:bidi="ar"/>
        </w:rPr>
        <w:t>Schedule 1. Sensitivity Analysis</w:t>
      </w:r>
    </w:p>
    <w:tbl>
      <w:tblPr>
        <w:tblStyle w:val="a5"/>
        <w:tblpPr w:leftFromText="180" w:rightFromText="180" w:vertAnchor="text" w:horzAnchor="page" w:tblpX="1540" w:tblpY="130"/>
        <w:tblOverlap w:val="never"/>
        <w:tblW w:w="147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751"/>
        <w:gridCol w:w="807"/>
        <w:gridCol w:w="2487"/>
        <w:gridCol w:w="2487"/>
        <w:gridCol w:w="159"/>
        <w:gridCol w:w="2482"/>
        <w:gridCol w:w="136"/>
        <w:gridCol w:w="1309"/>
      </w:tblGrid>
      <w:tr w:rsidR="00652402">
        <w:trPr>
          <w:trHeight w:val="391"/>
        </w:trPr>
        <w:tc>
          <w:tcPr>
            <w:tcW w:w="2123" w:type="dxa"/>
            <w:vMerge w:val="restart"/>
            <w:tcBorders>
              <w:bottom w:val="single" w:sz="4" w:space="0" w:color="auto"/>
            </w:tcBorders>
          </w:tcPr>
          <w:p w:rsidR="00652402" w:rsidRDefault="006524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  <w:p w:rsidR="00652402" w:rsidRDefault="00EE6C72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Outcomes</w:t>
            </w:r>
          </w:p>
          <w:p w:rsidR="00652402" w:rsidRDefault="00652402">
            <w:pPr>
              <w:ind w:firstLine="383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51" w:type="dxa"/>
            <w:vMerge w:val="restart"/>
            <w:tcBorders>
              <w:bottom w:val="single" w:sz="4" w:space="0" w:color="auto"/>
            </w:tcBorders>
            <w:vAlign w:val="center"/>
          </w:tcPr>
          <w:p w:rsidR="00652402" w:rsidRDefault="006524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  <w:p w:rsidR="00652402" w:rsidRDefault="00EE6C72">
            <w:pPr>
              <w:widowControl/>
              <w:ind w:firstLineChars="300" w:firstLine="63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186055</wp:posOffset>
                      </wp:positionV>
                      <wp:extent cx="1307465" cy="889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46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57D09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14.65pt" to="112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HbA1c(%)</w:t>
            </w:r>
          </w:p>
          <w:p w:rsidR="00652402" w:rsidRDefault="00EE6C7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OR(95%CI)    </w:t>
            </w:r>
            <w:r>
              <w:rPr>
                <w:rFonts w:ascii="Times New Roman" w:eastAsia="AdvPSA538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8422" w:type="dxa"/>
            <w:gridSpan w:val="5"/>
            <w:tcBorders>
              <w:bottom w:val="single" w:sz="4" w:space="0" w:color="auto"/>
            </w:tcBorders>
            <w:vAlign w:val="bottom"/>
          </w:tcPr>
          <w:p w:rsidR="00652402" w:rsidRDefault="00EE6C72">
            <w:pPr>
              <w:widowControl/>
              <w:ind w:firstLineChars="1400" w:firstLine="29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HbA1c(%)  Category</w:t>
            </w:r>
          </w:p>
        </w:tc>
        <w:tc>
          <w:tcPr>
            <w:tcW w:w="144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52402" w:rsidRDefault="00652402">
            <w:pPr>
              <w:widowControl/>
              <w:ind w:firstLineChars="300" w:firstLine="63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  <w:p w:rsidR="00652402" w:rsidRDefault="00EE6C72">
            <w:pPr>
              <w:widowControl/>
              <w:ind w:firstLineChars="700" w:firstLine="147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for trend</w:t>
            </w:r>
          </w:p>
          <w:p w:rsidR="00652402" w:rsidRDefault="00652402">
            <w:pPr>
              <w:widowControl/>
              <w:ind w:firstLineChars="600" w:firstLine="1260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652402">
        <w:trPr>
          <w:trHeight w:val="751"/>
        </w:trPr>
        <w:tc>
          <w:tcPr>
            <w:tcW w:w="21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2402" w:rsidRDefault="0065240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402" w:rsidRDefault="006524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2402" w:rsidRDefault="00EE6C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Q1</w:t>
            </w:r>
          </w:p>
          <w:p w:rsidR="00652402" w:rsidRDefault="0065240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2402" w:rsidRDefault="00EE6C72">
            <w:pPr>
              <w:widowControl/>
              <w:ind w:firstLineChars="500" w:firstLine="105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192405</wp:posOffset>
                      </wp:positionV>
                      <wp:extent cx="1307465" cy="889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5465" y="2521585"/>
                                <a:ext cx="130746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0A09B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5.15pt" to="109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Q2</w:t>
            </w:r>
          </w:p>
          <w:p w:rsidR="00652402" w:rsidRDefault="00EE6C72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OR(95%CI) </w:t>
            </w:r>
            <w:r>
              <w:rPr>
                <w:rFonts w:ascii="Times New Roman" w:eastAsia="AdvPSA538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2402" w:rsidRDefault="00EE6C72">
            <w:pPr>
              <w:widowControl/>
              <w:ind w:firstLineChars="500" w:firstLine="105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197485</wp:posOffset>
                      </wp:positionV>
                      <wp:extent cx="1307465" cy="889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46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221FE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15.55pt" to="11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Q3</w:t>
            </w:r>
          </w:p>
          <w:p w:rsidR="00652402" w:rsidRDefault="00EE6C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OR(95%CI)    </w:t>
            </w:r>
            <w:r>
              <w:rPr>
                <w:rFonts w:ascii="Times New Roman" w:eastAsia="AdvPSA538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AdvPSA538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2402" w:rsidRDefault="00EE6C72">
            <w:pPr>
              <w:widowControl/>
              <w:ind w:firstLineChars="500" w:firstLine="105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Q4</w:t>
            </w:r>
          </w:p>
          <w:p w:rsidR="00652402" w:rsidRDefault="00EE6C72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4445</wp:posOffset>
                      </wp:positionV>
                      <wp:extent cx="1307465" cy="889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46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EB98AA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.35pt" to="115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OR(95%CI) </w:t>
            </w:r>
            <w:r>
              <w:rPr>
                <w:rFonts w:ascii="Times New Roman" w:eastAsia="AdvPSA538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AdvPSA538" w:hAnsi="Times New Roman" w:cs="Times New Roman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402" w:rsidRDefault="006524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652402">
        <w:trPr>
          <w:trHeight w:val="420"/>
        </w:trPr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Preterm birth </w:t>
            </w:r>
          </w:p>
        </w:tc>
        <w:tc>
          <w:tcPr>
            <w:tcW w:w="2751" w:type="dxa"/>
            <w:tcBorders>
              <w:top w:val="single" w:sz="4" w:space="0" w:color="auto"/>
              <w:bottom w:val="nil"/>
            </w:tcBorders>
            <w:vAlign w:val="center"/>
          </w:tcPr>
          <w:p w:rsidR="00652402" w:rsidRDefault="006524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nil"/>
            </w:tcBorders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nil"/>
            </w:tcBorders>
          </w:tcPr>
          <w:p w:rsidR="00652402" w:rsidRDefault="0065240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nil"/>
            </w:tcBorders>
          </w:tcPr>
          <w:p w:rsidR="00652402" w:rsidRDefault="0065240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nil"/>
            </w:tcBorders>
          </w:tcPr>
          <w:p w:rsidR="00652402" w:rsidRDefault="0065240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nil"/>
            </w:tcBorders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652402">
        <w:trPr>
          <w:trHeight w:val="420"/>
        </w:trPr>
        <w:tc>
          <w:tcPr>
            <w:tcW w:w="2123" w:type="dxa"/>
            <w:tcBorders>
              <w:top w:val="nil"/>
            </w:tcBorders>
          </w:tcPr>
          <w:p w:rsidR="00652402" w:rsidRDefault="00EE6C72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Non-adjusted</w:t>
            </w:r>
          </w:p>
        </w:tc>
        <w:tc>
          <w:tcPr>
            <w:tcW w:w="2751" w:type="dxa"/>
            <w:tcBorders>
              <w:top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2.55 (1.76, 3.68)  &lt;0.0001</w:t>
            </w:r>
          </w:p>
        </w:tc>
        <w:tc>
          <w:tcPr>
            <w:tcW w:w="807" w:type="dxa"/>
            <w:tcBorders>
              <w:top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  <w:tcBorders>
              <w:top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1.17 (0.85, 1.63)  0.3373</w:t>
            </w:r>
          </w:p>
        </w:tc>
        <w:tc>
          <w:tcPr>
            <w:tcW w:w="2646" w:type="dxa"/>
            <w:gridSpan w:val="2"/>
            <w:tcBorders>
              <w:top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1.61 (1.18, 2.20)  0.0025</w:t>
            </w:r>
          </w:p>
        </w:tc>
        <w:tc>
          <w:tcPr>
            <w:tcW w:w="2618" w:type="dxa"/>
            <w:gridSpan w:val="2"/>
            <w:tcBorders>
              <w:top w:val="nil"/>
            </w:tcBorders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1.77 (1.31, 2.40)  0.0002</w:t>
            </w:r>
          </w:p>
        </w:tc>
        <w:tc>
          <w:tcPr>
            <w:tcW w:w="1309" w:type="dxa"/>
            <w:tcBorders>
              <w:top w:val="nil"/>
            </w:tcBorders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100" w:firstLine="210"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Adjust I</w:t>
            </w:r>
          </w:p>
        </w:tc>
        <w:tc>
          <w:tcPr>
            <w:tcW w:w="2751" w:type="dxa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2.41 (1.65, 3.52)  &lt;0.0001</w:t>
            </w:r>
          </w:p>
        </w:tc>
        <w:tc>
          <w:tcPr>
            <w:tcW w:w="807" w:type="dxa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1.16 (0.83, 1.61)  0.3791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1.57 (1.15, 2.15)  0.0050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1.69 (1.24, 2.31)  0.0010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0.0002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100" w:firstLine="210"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Adjust II 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2.39 (1.63, 3.49)  &lt;0.0001 </w:t>
            </w:r>
          </w:p>
        </w:tc>
        <w:tc>
          <w:tcPr>
            <w:tcW w:w="807" w:type="dxa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1.15 (0.83, 1.61)  0.3954 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AdvPSOP-B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1.57 (1.14, 2.15)  0.0051 </w:t>
            </w:r>
          </w:p>
        </w:tc>
        <w:tc>
          <w:tcPr>
            <w:tcW w:w="2618" w:type="dxa"/>
            <w:gridSpan w:val="2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1.68 (1.23, 2.30)  0.0012 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0.0002 </w:t>
            </w:r>
          </w:p>
        </w:tc>
      </w:tr>
      <w:tr w:rsidR="00652402">
        <w:trPr>
          <w:trHeight w:val="420"/>
        </w:trPr>
        <w:tc>
          <w:tcPr>
            <w:tcW w:w="2123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Macrosomia </w:t>
            </w:r>
          </w:p>
        </w:tc>
        <w:tc>
          <w:tcPr>
            <w:tcW w:w="2751" w:type="dxa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07" w:type="dxa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487" w:type="dxa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646" w:type="dxa"/>
            <w:gridSpan w:val="2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618" w:type="dxa"/>
            <w:gridSpan w:val="2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vAlign w:val="center"/>
          </w:tcPr>
          <w:p w:rsidR="00652402" w:rsidRDefault="00652402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Non-adjusted</w:t>
            </w:r>
          </w:p>
        </w:tc>
        <w:tc>
          <w:tcPr>
            <w:tcW w:w="2751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2.82 (2.04, 3.91)  &lt;0.0001</w:t>
            </w:r>
          </w:p>
        </w:tc>
        <w:tc>
          <w:tcPr>
            <w:tcW w:w="80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1.11 (0.83, 1.50)  0.4771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1.69 (1.28, 2.23 )  0.0002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2.03 (1.55, 2.65)  &lt;0.0001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Adjust I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1.91 (1.37, 2.67)  0.0001</w:t>
            </w:r>
          </w:p>
        </w:tc>
        <w:tc>
          <w:tcPr>
            <w:tcW w:w="80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1.01 (0.75, 1.36)  0.9545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1.45 (1.10, 1.92)  0.0089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1.51 (1.15, 2.00)  0.0034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0.0002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Adjust II 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2.23 (1.58, 3.16)  &lt;0.0001 </w:t>
            </w:r>
          </w:p>
        </w:tc>
        <w:tc>
          <w:tcPr>
            <w:tcW w:w="80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1.00 (0.74, 1.36)  0.9994 </w:t>
            </w:r>
          </w:p>
        </w:tc>
        <w:tc>
          <w:tcPr>
            <w:tcW w:w="2646" w:type="dxa"/>
            <w:gridSpan w:val="2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1.50 (1.13, 2.00)  0.0056 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1.65 (1.24, 2.19)  0.0005 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  <w:tr w:rsidR="00652402">
        <w:trPr>
          <w:trHeight w:val="420"/>
        </w:trPr>
        <w:tc>
          <w:tcPr>
            <w:tcW w:w="2123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LGA </w:t>
            </w:r>
          </w:p>
        </w:tc>
        <w:tc>
          <w:tcPr>
            <w:tcW w:w="2751" w:type="dxa"/>
            <w:vAlign w:val="center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07" w:type="dxa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487" w:type="dxa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646" w:type="dxa"/>
            <w:gridSpan w:val="2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2618" w:type="dxa"/>
            <w:gridSpan w:val="2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vAlign w:val="center"/>
          </w:tcPr>
          <w:p w:rsidR="00652402" w:rsidRDefault="00652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Non-adjusted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2.27 (1.84, 2.80)  &lt;0.0001</w:t>
            </w:r>
          </w:p>
        </w:tc>
        <w:tc>
          <w:tcPr>
            <w:tcW w:w="80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1.14 (0.95, 1.37)  0.1469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1.47 (1.23, 1.75)  &lt;0.0001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1.83 (1.54, 2.17)  &lt;0.0001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Adjust I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1.64 (1.32, 2.03)  &lt;0.0001</w:t>
            </w:r>
          </w:p>
        </w:tc>
        <w:tc>
          <w:tcPr>
            <w:tcW w:w="807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1.05 (0.87, 1.26)  0.6132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1.28 (1.07, 1.54)  0.0063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1.43(1.20, 1.70)   &lt;0.0001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  <w:tr w:rsidR="00652402">
        <w:trPr>
          <w:trHeight w:val="420"/>
        </w:trPr>
        <w:tc>
          <w:tcPr>
            <w:tcW w:w="2123" w:type="dxa"/>
          </w:tcPr>
          <w:p w:rsidR="00652402" w:rsidRDefault="00EE6C72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Adjust II </w:t>
            </w:r>
          </w:p>
        </w:tc>
        <w:tc>
          <w:tcPr>
            <w:tcW w:w="2751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1.81 (1.45, 2.26)  &lt;0.0001</w:t>
            </w:r>
          </w:p>
        </w:tc>
        <w:tc>
          <w:tcPr>
            <w:tcW w:w="80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Ref</w:t>
            </w:r>
          </w:p>
        </w:tc>
        <w:tc>
          <w:tcPr>
            <w:tcW w:w="2487" w:type="dxa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1.05 (0.87, 1.26)  0.6168</w:t>
            </w:r>
          </w:p>
        </w:tc>
        <w:tc>
          <w:tcPr>
            <w:tcW w:w="2646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1.32 (1.10, 1.58)  0.0026</w:t>
            </w:r>
          </w:p>
        </w:tc>
        <w:tc>
          <w:tcPr>
            <w:tcW w:w="2618" w:type="dxa"/>
            <w:gridSpan w:val="2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1.52 (1.27, 1.82)  &lt;0.0001</w:t>
            </w:r>
          </w:p>
        </w:tc>
        <w:tc>
          <w:tcPr>
            <w:tcW w:w="1309" w:type="dxa"/>
            <w:vAlign w:val="center"/>
          </w:tcPr>
          <w:p w:rsidR="00652402" w:rsidRDefault="00EE6C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&lt;0.0001</w:t>
            </w:r>
          </w:p>
        </w:tc>
      </w:tr>
    </w:tbl>
    <w:p w:rsidR="00652402" w:rsidRDefault="00EE6C72">
      <w:pPr>
        <w:widowControl/>
        <w:spacing w:line="360" w:lineRule="auto"/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Relationship between HbA1c and adverse birth outcomes</w:t>
      </w:r>
      <w:r>
        <w:rPr>
          <w:rFonts w:ascii="Times New Roman" w:eastAsia="AdvCAECI-H" w:hAnsi="Times New Roman" w:cs="Times New Roman" w:hint="eastAsia"/>
          <w:color w:val="000000"/>
          <w:kern w:val="0"/>
          <w:szCs w:val="21"/>
          <w:lang w:bidi="ar"/>
        </w:rPr>
        <w:t xml:space="preserve"> in different models,</w:t>
      </w:r>
      <w:r w:rsidR="00DB0BC9"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 xml:space="preserve"> </w:t>
      </w:r>
      <w:bookmarkStart w:id="0" w:name="_GoBack"/>
      <w:bookmarkEnd w:id="0"/>
      <w:r>
        <w:rPr>
          <w:rFonts w:ascii="Times New Roman" w:eastAsia="AdvCAECI-H" w:hAnsi="Times New Roman" w:cs="Times New Roman" w:hint="eastAsia"/>
          <w:color w:val="000000"/>
          <w:kern w:val="0"/>
          <w:szCs w:val="21"/>
          <w:lang w:bidi="ar"/>
        </w:rPr>
        <w:t>e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xcluding pregnant women with HbA1c within the range of 5.7–6.4%</w:t>
      </w:r>
      <w:r>
        <w:rPr>
          <w:rFonts w:ascii="Times New Roman" w:eastAsia="AdvCAECI-H" w:hAnsi="Times New Roman" w:cs="Times New Roman" w:hint="eastAsia"/>
          <w:color w:val="000000"/>
          <w:kern w:val="0"/>
          <w:szCs w:val="21"/>
          <w:lang w:bidi="ar"/>
        </w:rPr>
        <w:t>(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n=</w:t>
      </w:r>
      <w:r>
        <w:rPr>
          <w:rFonts w:ascii="Times New Roman" w:eastAsia="AdvCAECI-H" w:hAnsi="Times New Roman" w:cs="Times New Roman" w:hint="eastAsia"/>
          <w:color w:val="000000"/>
          <w:kern w:val="0"/>
          <w:szCs w:val="21"/>
          <w:lang w:bidi="ar"/>
        </w:rPr>
        <w:t>54).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 xml:space="preserve"> </w:t>
      </w:r>
    </w:p>
    <w:p w:rsidR="00652402" w:rsidRDefault="007A1170">
      <w:pPr>
        <w:widowControl/>
        <w:jc w:val="left"/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cs="Times New Roman"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OR, odds ratio; Ref, reference and LGA, large for gestational age.</w:t>
      </w:r>
    </w:p>
    <w:p w:rsidR="00652402" w:rsidRDefault="00EE6C72">
      <w:pPr>
        <w:widowControl/>
        <w:spacing w:line="360" w:lineRule="auto"/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 xml:space="preserve">Model </w:t>
      </w:r>
      <w:r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Ⅰ</w:t>
      </w:r>
      <w:r w:rsidR="00DB0BC9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adjusted for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：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maternal age,</w:t>
      </w:r>
      <w:r w:rsidR="00DB0BC9"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eastAsia="AdvCAECI-H" w:hAnsi="Times New Roman" w:cs="Times New Roman"/>
          <w:color w:val="000000"/>
          <w:kern w:val="0"/>
          <w:szCs w:val="21"/>
          <w:lang w:bidi="ar"/>
        </w:rPr>
        <w:t>pre-pregnancy BMI.</w:t>
      </w:r>
    </w:p>
    <w:p w:rsidR="00652402" w:rsidRDefault="00EE6C72">
      <w:pPr>
        <w:pStyle w:val="2"/>
        <w:widowControl/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</w:pP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lastRenderedPageBreak/>
        <w:t>Model Ⅱ</w:t>
      </w:r>
      <w:r w:rsidR="00DB0BC9"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adjusted for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：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maternal age,</w:t>
      </w:r>
      <w:r w:rsidR="00DB0BC9"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pre-pregnancy BMI,</w:t>
      </w:r>
      <w:r w:rsidR="00DB0BC9"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gestational age at delivery,</w:t>
      </w:r>
      <w:r w:rsidR="00DB0BC9"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caesarean section,</w:t>
      </w:r>
      <w:r w:rsidR="00DB0BC9"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sex.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（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Preterm birth does not adjust gestational age at delivery</w:t>
      </w:r>
      <w:r>
        <w:rPr>
          <w:rFonts w:ascii="Times New Roman" w:eastAsiaTheme="minorEastAsia" w:hAnsi="Times New Roman" w:hint="default"/>
          <w:b w:val="0"/>
          <w:kern w:val="2"/>
          <w:sz w:val="21"/>
          <w:szCs w:val="21"/>
        </w:rPr>
        <w:t>）</w:t>
      </w:r>
    </w:p>
    <w:sectPr w:rsidR="006524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PSOP-B">
    <w:altName w:val="Segoe Print"/>
    <w:charset w:val="00"/>
    <w:family w:val="auto"/>
    <w:pitch w:val="default"/>
  </w:font>
  <w:font w:name="AdvPSA538">
    <w:altName w:val="Segoe Print"/>
    <w:charset w:val="00"/>
    <w:family w:val="auto"/>
    <w:pitch w:val="default"/>
  </w:font>
  <w:font w:name="AdvCAECI-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02"/>
    <w:rsid w:val="00652402"/>
    <w:rsid w:val="007A1170"/>
    <w:rsid w:val="00DB0BC9"/>
    <w:rsid w:val="00EE6C72"/>
    <w:rsid w:val="098A69BA"/>
    <w:rsid w:val="0BC060D0"/>
    <w:rsid w:val="2AD14973"/>
    <w:rsid w:val="31564065"/>
    <w:rsid w:val="38416A6F"/>
    <w:rsid w:val="3B996053"/>
    <w:rsid w:val="41B57D25"/>
    <w:rsid w:val="4AC436B6"/>
    <w:rsid w:val="4E46535C"/>
    <w:rsid w:val="51763FFD"/>
    <w:rsid w:val="6F0531A2"/>
    <w:rsid w:val="6F20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542687"/>
  <w15:docId w15:val="{7F44FC5F-AB0E-4913-A8D8-BE56A27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2014-10-29T12:08:00Z</dcterms:created>
  <dcterms:modified xsi:type="dcterms:W3CDTF">2021-06-09T11:39:00Z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