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581EC" w14:textId="64BDF5E5" w:rsidR="004E315E" w:rsidRPr="003D4603" w:rsidRDefault="004E315E" w:rsidP="004E315E">
      <w:pPr>
        <w:jc w:val="both"/>
        <w:rPr>
          <w:b/>
        </w:rPr>
      </w:pPr>
      <w:r w:rsidRPr="003D4603">
        <w:rPr>
          <w:b/>
        </w:rPr>
        <w:t xml:space="preserve">Supplementary Table 1. Extension of the quantitative bias model to obtain a bias-adjusted hazard ratio for the association between exposure to </w:t>
      </w:r>
      <w:proofErr w:type="spellStart"/>
      <w:r w:rsidRPr="003D4603">
        <w:rPr>
          <w:b/>
        </w:rPr>
        <w:t>dibutyl</w:t>
      </w:r>
      <w:proofErr w:type="spellEnd"/>
      <w:r w:rsidRPr="003D4603">
        <w:rPr>
          <w:b/>
        </w:rPr>
        <w:t xml:space="preserve"> phthalate (</w:t>
      </w:r>
      <w:proofErr w:type="spellStart"/>
      <w:r w:rsidRPr="003D4603">
        <w:rPr>
          <w:b/>
        </w:rPr>
        <w:t>DBP</w:t>
      </w:r>
      <w:proofErr w:type="spellEnd"/>
      <w:r w:rsidRPr="003D4603">
        <w:rPr>
          <w:b/>
        </w:rPr>
        <w:t>) and incident estrogen receptor</w:t>
      </w:r>
      <w:r w:rsidR="002501B8">
        <w:rPr>
          <w:b/>
        </w:rPr>
        <w:t xml:space="preserve"> </w:t>
      </w:r>
      <w:r w:rsidRPr="003D4603">
        <w:rPr>
          <w:b/>
        </w:rPr>
        <w:t xml:space="preserve">(ER)-positive breast cancer after accounting for the estimated magnitude of bias due to unmeasured confounding by medications contributing to </w:t>
      </w:r>
      <w:proofErr w:type="spellStart"/>
      <w:r w:rsidRPr="003D4603">
        <w:rPr>
          <w:b/>
        </w:rPr>
        <w:t>DBP</w:t>
      </w:r>
      <w:proofErr w:type="spellEnd"/>
      <w:r w:rsidRPr="003D4603">
        <w:rPr>
          <w:b/>
        </w:rPr>
        <w:t>.</w:t>
      </w:r>
    </w:p>
    <w:p w14:paraId="54F224ED" w14:textId="77777777" w:rsidR="004E315E" w:rsidRPr="003D4603" w:rsidRDefault="004E315E" w:rsidP="004E315E">
      <w:pPr>
        <w:jc w:val="both"/>
        <w:rPr>
          <w:b/>
        </w:rPr>
      </w:pPr>
    </w:p>
    <w:tbl>
      <w:tblPr>
        <w:tblW w:w="76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44"/>
        <w:gridCol w:w="1440"/>
        <w:gridCol w:w="1800"/>
        <w:gridCol w:w="1790"/>
        <w:gridCol w:w="11"/>
      </w:tblGrid>
      <w:tr w:rsidR="004E315E" w:rsidRPr="003D4603" w14:paraId="56DD81D3" w14:textId="77777777" w:rsidTr="004E315E">
        <w:tc>
          <w:tcPr>
            <w:tcW w:w="264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8188D21" w14:textId="7777777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  <w:b/>
                <w:szCs w:val="20"/>
              </w:rPr>
              <w:t xml:space="preserve">Medication Exposures Contributing to </w:t>
            </w:r>
            <w:proofErr w:type="spellStart"/>
            <w:r w:rsidRPr="003D4603">
              <w:rPr>
                <w:rFonts w:cs="Arial"/>
                <w:b/>
              </w:rPr>
              <w:t>DBP</w:t>
            </w:r>
            <w:proofErr w:type="spellEnd"/>
            <w:r w:rsidRPr="003D4603">
              <w:rPr>
                <w:rFonts w:cs="Arial"/>
                <w:b/>
                <w:szCs w:val="20"/>
              </w:rPr>
              <w:t xml:space="preserve"> Exposure (C</w:t>
            </w:r>
            <w:r w:rsidRPr="003D4603">
              <w:rPr>
                <w:rFonts w:cs="Arial"/>
                <w:b/>
                <w:szCs w:val="20"/>
                <w:vertAlign w:val="subscript"/>
              </w:rPr>
              <w:t>i</w:t>
            </w:r>
            <w:r w:rsidRPr="003D4603">
              <w:rPr>
                <w:rFonts w:cs="Arial"/>
                <w:b/>
                <w:szCs w:val="20"/>
              </w:rPr>
              <w:t>)</w:t>
            </w:r>
            <w:r w:rsidRPr="003D4603">
              <w:rPr>
                <w:rStyle w:val="FootnoteReference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vAlign w:val="center"/>
          </w:tcPr>
          <w:p w14:paraId="2BF2D188" w14:textId="6A95B32C" w:rsidR="004E315E" w:rsidRPr="003D4603" w:rsidRDefault="00925A84" w:rsidP="004E315E">
            <w:pPr>
              <w:widowControl w:val="0"/>
              <w:spacing w:line="240" w:lineRule="auto"/>
              <w:rPr>
                <w:rFonts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HR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, adjusted</m:t>
                    </m:r>
                  </m:sub>
                </m:sSub>
                <m:r>
                  <m:rPr>
                    <m:sty m:val="bi"/>
                  </m:rPr>
                  <w:rPr>
                    <w:rStyle w:val="FootnoteReference"/>
                    <w:rFonts w:ascii="Cambria Math" w:hAnsi="Cambria Math" w:cs="Arial"/>
                    <w:b/>
                    <w:i/>
                  </w:rPr>
                  <w:footnoteReference w:id="2"/>
                </m:r>
              </m:oMath>
            </m:oMathPara>
          </w:p>
        </w:tc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0E88B299" w14:textId="2D9B9383" w:rsidR="004E315E" w:rsidRPr="003D4603" w:rsidRDefault="004E315E" w:rsidP="004E315E">
            <w:pPr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  <w:b/>
                <w:szCs w:val="20"/>
              </w:rPr>
              <w:t>Quantitative Bias Analysis for the “Unmeasured” Confounder C</w:t>
            </w:r>
            <w:r w:rsidRPr="003D4603">
              <w:rPr>
                <w:rFonts w:cs="Arial"/>
                <w:b/>
                <w:szCs w:val="20"/>
                <w:vertAlign w:val="subscript"/>
              </w:rPr>
              <w:t>i</w:t>
            </w:r>
            <w:r w:rsidRPr="003D4603">
              <w:rPr>
                <w:rStyle w:val="FootnoteReference"/>
                <w:rFonts w:cs="Arial"/>
                <w:b/>
              </w:rPr>
              <w:t xml:space="preserve"> </w:t>
            </w:r>
            <w:r w:rsidRPr="003D4603">
              <w:rPr>
                <w:rStyle w:val="FootnoteReference"/>
                <w:rFonts w:cs="Arial"/>
                <w:b/>
              </w:rPr>
              <w:footnoteReference w:id="3"/>
            </w:r>
          </w:p>
        </w:tc>
      </w:tr>
      <w:tr w:rsidR="004E315E" w:rsidRPr="003D4603" w14:paraId="6447D606" w14:textId="77777777" w:rsidTr="004E315E">
        <w:trPr>
          <w:gridAfter w:val="1"/>
          <w:wAfter w:w="11" w:type="dxa"/>
        </w:trPr>
        <w:tc>
          <w:tcPr>
            <w:tcW w:w="26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033A47" w14:textId="7777777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651736E" w14:textId="7777777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ACA6EF8" w14:textId="4647013A" w:rsidR="004E315E" w:rsidRPr="003D4603" w:rsidRDefault="00925A84" w:rsidP="004E315E">
            <w:pPr>
              <w:widowControl w:val="0"/>
              <w:spacing w:line="240" w:lineRule="auto"/>
              <w:rPr>
                <w:rFonts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Arial"/>
                            <w:b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B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Cs w:val="20"/>
                      </w:rPr>
                      <m:t>, QBA</m:t>
                    </m:r>
                  </m:sub>
                </m:sSub>
                <m:r>
                  <m:rPr>
                    <m:sty m:val="bi"/>
                  </m:rPr>
                  <w:rPr>
                    <w:rStyle w:val="FootnoteReference"/>
                    <w:rFonts w:ascii="Cambria Math" w:hAnsi="Cambria Math" w:cs="Arial"/>
                    <w:b/>
                    <w:i/>
                    <w:szCs w:val="20"/>
                  </w:rPr>
                  <w:footnoteReference w:id="4"/>
                </m:r>
              </m:oMath>
            </m:oMathPara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130FE87A" w14:textId="7E155AA4" w:rsidR="004E315E" w:rsidRPr="003D4603" w:rsidRDefault="00925A84" w:rsidP="004E315E">
            <w:pPr>
              <w:spacing w:line="240" w:lineRule="auto"/>
              <w:rPr>
                <w:rFonts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b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Calibri" w:hAnsi="Cambria Math" w:cs="Arial"/>
                          <w:b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</w:rPr>
                        <m:t>HR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</w:rPr>
                        <m:t>C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</w:rPr>
                    <m:t>,bias adjusted</m:t>
                  </m:r>
                </m:sub>
              </m:sSub>
            </m:oMath>
            <w:r w:rsidR="004E315E" w:rsidRPr="003D4603">
              <w:rPr>
                <w:rStyle w:val="FootnoteReference"/>
                <w:rFonts w:eastAsia="Calibri" w:cs="Arial"/>
                <w:b/>
              </w:rPr>
              <w:footnoteReference w:id="5"/>
            </w:r>
          </w:p>
        </w:tc>
      </w:tr>
      <w:tr w:rsidR="004E315E" w:rsidRPr="003D4603" w14:paraId="0E8274D8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2392B497" w14:textId="19F4CFD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proofErr w:type="spellStart"/>
            <w:r w:rsidRPr="003D4603">
              <w:rPr>
                <w:rFonts w:cs="Arial"/>
              </w:rPr>
              <w:t>Bisacodyl</w:t>
            </w:r>
            <w:proofErr w:type="spellEnd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E2A3CC2" w14:textId="198CFBF8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2.13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2EA7ED8" w14:textId="49BA352B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6910F610" w14:textId="4B496BB6" w:rsidR="004E315E" w:rsidRPr="003D4603" w:rsidRDefault="004C17EB" w:rsidP="004E315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2.13</w:t>
            </w:r>
          </w:p>
        </w:tc>
      </w:tr>
      <w:tr w:rsidR="004E315E" w:rsidRPr="003D4603" w14:paraId="5AD99E7F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3FA838F9" w14:textId="5FD629D2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Budesonide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1BFE4E4" w14:textId="50AB120A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2.13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C92B9B" w14:textId="35BCBADC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699AA86E" w14:textId="2459541A" w:rsidR="004E315E" w:rsidRPr="003D4603" w:rsidRDefault="004E315E" w:rsidP="004E315E">
            <w:pPr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2.13</w:t>
            </w:r>
          </w:p>
        </w:tc>
      </w:tr>
      <w:tr w:rsidR="004E315E" w:rsidRPr="003D4603" w14:paraId="369BA80C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614D228D" w14:textId="360F386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Diclofenac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12C37B1" w14:textId="4DDFE545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9A24CB2" w14:textId="11FC3C8B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12652B59" w14:textId="14AB64D5" w:rsidR="004E315E" w:rsidRPr="003D4603" w:rsidRDefault="004E315E" w:rsidP="004E315E">
            <w:pPr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</w:tr>
      <w:tr w:rsidR="004E315E" w:rsidRPr="003D4603" w14:paraId="2D6D3BB3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374A78E0" w14:textId="00F39C7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Diclofenac, combinations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7040780" w14:textId="216B6787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C8AA68F" w14:textId="0E480C09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3E247964" w14:textId="7D0261C6" w:rsidR="004E315E" w:rsidRPr="003D4603" w:rsidRDefault="004E315E" w:rsidP="004E315E">
            <w:pPr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</w:tr>
      <w:tr w:rsidR="004E315E" w:rsidRPr="003D4603" w14:paraId="59213316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46ED744E" w14:textId="1CC63AED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Lithium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1265E61" w14:textId="306F6941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2.02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29805C3" w14:textId="18B8FDDD" w:rsidR="004E315E" w:rsidRPr="003D4603" w:rsidRDefault="004C17EB" w:rsidP="004C17EB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2D21EB79" w14:textId="4A83C274" w:rsidR="004E315E" w:rsidRPr="003D4603" w:rsidRDefault="004C17EB" w:rsidP="004E315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2.02</w:t>
            </w:r>
          </w:p>
        </w:tc>
      </w:tr>
      <w:tr w:rsidR="004E315E" w:rsidRPr="003D4603" w14:paraId="03750F81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46DBD5FC" w14:textId="3CE079EA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proofErr w:type="spellStart"/>
            <w:r w:rsidRPr="003D4603">
              <w:rPr>
                <w:rFonts w:cs="Arial"/>
              </w:rPr>
              <w:t>Mesalamine</w:t>
            </w:r>
            <w:proofErr w:type="spellEnd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4A46E9F" w14:textId="3D25B9D5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2.04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AACF5B1" w14:textId="6ACCCEDE" w:rsidR="004E315E" w:rsidRPr="003D4603" w:rsidRDefault="004C17EB" w:rsidP="004E315E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1.01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585A7CA3" w14:textId="750FABB9" w:rsidR="004E315E" w:rsidRPr="003D4603" w:rsidRDefault="004C17EB" w:rsidP="004E315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2.03</w:t>
            </w:r>
          </w:p>
        </w:tc>
      </w:tr>
      <w:tr w:rsidR="004E315E" w:rsidRPr="003D4603" w14:paraId="756AE2E5" w14:textId="77777777" w:rsidTr="004E315E">
        <w:trPr>
          <w:gridAfter w:val="1"/>
          <w:wAfter w:w="11" w:type="dxa"/>
        </w:trPr>
        <w:tc>
          <w:tcPr>
            <w:tcW w:w="2644" w:type="dxa"/>
            <w:tcBorders>
              <w:left w:val="single" w:sz="1" w:space="0" w:color="000000"/>
              <w:bottom w:val="single" w:sz="1" w:space="0" w:color="000000"/>
            </w:tcBorders>
          </w:tcPr>
          <w:p w14:paraId="479E80CF" w14:textId="208F5B5C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Multi-enzyme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75DC6A2" w14:textId="6B56E456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4F01" w14:textId="447B33BC" w:rsidR="004E315E" w:rsidRPr="003D4603" w:rsidRDefault="004E315E" w:rsidP="004E315E">
            <w:pPr>
              <w:widowControl w:val="0"/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1.00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A3AFFB" w14:textId="457C7BE7" w:rsidR="004E315E" w:rsidRPr="003D4603" w:rsidRDefault="004E315E" w:rsidP="004E315E">
            <w:pPr>
              <w:spacing w:line="240" w:lineRule="auto"/>
              <w:rPr>
                <w:rFonts w:cs="Arial"/>
              </w:rPr>
            </w:pPr>
            <w:r w:rsidRPr="003D4603">
              <w:rPr>
                <w:rFonts w:cs="Arial"/>
              </w:rPr>
              <w:t>2.12</w:t>
            </w:r>
          </w:p>
        </w:tc>
      </w:tr>
    </w:tbl>
    <w:p w14:paraId="144CF875" w14:textId="5DD19412" w:rsidR="00FF6EA8" w:rsidRPr="003D4603" w:rsidRDefault="00FF6EA8" w:rsidP="00EE0017"/>
    <w:sectPr w:rsidR="00FF6EA8" w:rsidRPr="003D4603" w:rsidSect="00C94612">
      <w:footerReference w:type="even" r:id="rId10"/>
      <w:footerReference w:type="default" r:id="rId11"/>
      <w:footnotePr>
        <w:numFmt w:val="lowerLetter"/>
        <w:numRestart w:val="eachPage"/>
      </w:footnotePr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FCFB" w14:textId="77777777" w:rsidR="00980188" w:rsidRDefault="00980188">
      <w:r>
        <w:separator/>
      </w:r>
    </w:p>
  </w:endnote>
  <w:endnote w:type="continuationSeparator" w:id="0">
    <w:p w14:paraId="510FE5BA" w14:textId="77777777" w:rsidR="00980188" w:rsidRDefault="0098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0283" w14:textId="77777777" w:rsidR="00980188" w:rsidRDefault="0098018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914E9" w14:textId="77777777" w:rsidR="00980188" w:rsidRDefault="00980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48B1" w14:textId="085AE7B0" w:rsidR="00980188" w:rsidRDefault="0098018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BC1">
      <w:rPr>
        <w:rStyle w:val="PageNumber"/>
        <w:noProof/>
      </w:rPr>
      <w:t>20</w:t>
    </w:r>
    <w:r>
      <w:rPr>
        <w:rStyle w:val="PageNumber"/>
      </w:rPr>
      <w:fldChar w:fldCharType="end"/>
    </w:r>
  </w:p>
  <w:p w14:paraId="2865B732" w14:textId="77777777" w:rsidR="00980188" w:rsidRDefault="00980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FE60C" w14:textId="77777777" w:rsidR="00980188" w:rsidRDefault="00980188">
      <w:r>
        <w:separator/>
      </w:r>
    </w:p>
  </w:footnote>
  <w:footnote w:type="continuationSeparator" w:id="0">
    <w:p w14:paraId="17774039" w14:textId="77777777" w:rsidR="00980188" w:rsidRDefault="00980188">
      <w:r>
        <w:continuationSeparator/>
      </w:r>
    </w:p>
  </w:footnote>
  <w:footnote w:id="1">
    <w:p w14:paraId="28E951D3" w14:textId="77777777" w:rsidR="00980188" w:rsidRPr="004E315E" w:rsidRDefault="00980188" w:rsidP="004E315E">
      <w:pPr>
        <w:spacing w:line="240" w:lineRule="auto"/>
        <w:jc w:val="both"/>
        <w:rPr>
          <w:rFonts w:cs="Arial"/>
          <w:sz w:val="18"/>
          <w:szCs w:val="20"/>
        </w:rPr>
      </w:pPr>
      <w:r w:rsidRPr="004E315E">
        <w:rPr>
          <w:rStyle w:val="FootnoteReference"/>
          <w:rFonts w:cs="Arial"/>
          <w:sz w:val="18"/>
        </w:rPr>
        <w:footnoteRef/>
      </w:r>
      <w:r w:rsidRPr="004E315E">
        <w:rPr>
          <w:rFonts w:cs="Arial"/>
          <w:sz w:val="18"/>
        </w:rPr>
        <w:t xml:space="preserve"> </w:t>
      </w:r>
      <w:r w:rsidRPr="004E315E">
        <w:rPr>
          <w:rFonts w:cs="Arial"/>
          <w:sz w:val="18"/>
          <w:szCs w:val="20"/>
        </w:rPr>
        <w:t xml:space="preserve">Dichotomous. Classified on the basis of the fifth level of the </w:t>
      </w:r>
      <w:proofErr w:type="spellStart"/>
      <w:r w:rsidRPr="004E315E">
        <w:rPr>
          <w:rFonts w:cs="Arial"/>
          <w:sz w:val="18"/>
          <w:szCs w:val="20"/>
        </w:rPr>
        <w:t>ATC</w:t>
      </w:r>
      <w:proofErr w:type="spellEnd"/>
      <w:r w:rsidRPr="004E315E">
        <w:rPr>
          <w:rFonts w:cs="Arial"/>
          <w:sz w:val="18"/>
          <w:szCs w:val="20"/>
        </w:rPr>
        <w:t xml:space="preserve"> code. </w:t>
      </w:r>
    </w:p>
  </w:footnote>
  <w:footnote w:id="2">
    <w:p w14:paraId="0C079287" w14:textId="77777777" w:rsidR="00980188" w:rsidRPr="004E315E" w:rsidRDefault="00980188" w:rsidP="004E315E">
      <w:pPr>
        <w:pStyle w:val="FootnoteText"/>
        <w:rPr>
          <w:rFonts w:ascii="Arial" w:hAnsi="Arial" w:cs="Arial"/>
          <w:sz w:val="18"/>
        </w:rPr>
      </w:pPr>
      <w:r w:rsidRPr="004E315E">
        <w:rPr>
          <w:rStyle w:val="FootnoteReference"/>
          <w:rFonts w:ascii="Arial" w:hAnsi="Arial" w:cs="Arial"/>
          <w:sz w:val="18"/>
        </w:rPr>
        <w:footnoteRef/>
      </w:r>
      <w:r w:rsidRPr="004E315E">
        <w:rPr>
          <w:rFonts w:ascii="Arial" w:hAnsi="Arial" w:cs="Arial"/>
          <w:sz w:val="18"/>
        </w:rPr>
        <w:t xml:space="preserve"> The estimated hazard ratio adjusted for all confounders except C</w:t>
      </w:r>
      <w:r w:rsidRPr="004E315E">
        <w:rPr>
          <w:rFonts w:ascii="Arial" w:hAnsi="Arial" w:cs="Arial"/>
          <w:sz w:val="18"/>
          <w:vertAlign w:val="subscript"/>
        </w:rPr>
        <w:t>i</w:t>
      </w:r>
      <w:r w:rsidRPr="004E315E">
        <w:rPr>
          <w:rFonts w:ascii="Arial" w:hAnsi="Arial" w:cs="Arial"/>
          <w:sz w:val="18"/>
        </w:rPr>
        <w:t xml:space="preserve"> (</w:t>
      </w:r>
      <w:proofErr w:type="spellStart"/>
      <w:r w:rsidRPr="002501B8">
        <w:rPr>
          <w:rFonts w:ascii="Arial" w:hAnsi="Arial" w:cs="Arial"/>
          <w:sz w:val="18"/>
        </w:rPr>
        <w:t>ie</w:t>
      </w:r>
      <w:proofErr w:type="spellEnd"/>
      <w:r w:rsidRPr="004E315E">
        <w:rPr>
          <w:rFonts w:ascii="Arial" w:hAnsi="Arial" w:cs="Arial"/>
          <w:sz w:val="18"/>
        </w:rPr>
        <w:t xml:space="preserve">, age and the remaining six </w:t>
      </w:r>
      <w:proofErr w:type="spellStart"/>
      <w:r w:rsidRPr="004E315E">
        <w:rPr>
          <w:rFonts w:ascii="Arial" w:hAnsi="Arial" w:cs="Arial"/>
          <w:sz w:val="18"/>
        </w:rPr>
        <w:t>DBP</w:t>
      </w:r>
      <w:proofErr w:type="spellEnd"/>
      <w:r w:rsidRPr="004E315E">
        <w:rPr>
          <w:rFonts w:ascii="Arial" w:hAnsi="Arial" w:cs="Arial"/>
          <w:sz w:val="18"/>
        </w:rPr>
        <w:t>-contributing drug substances), used to represent the hazard ratio we would have expected to observe had C</w:t>
      </w:r>
      <w:r w:rsidRPr="004E315E">
        <w:rPr>
          <w:rFonts w:ascii="Arial" w:hAnsi="Arial" w:cs="Arial"/>
          <w:sz w:val="18"/>
          <w:vertAlign w:val="subscript"/>
        </w:rPr>
        <w:t>i</w:t>
      </w:r>
      <w:r w:rsidRPr="004E315E">
        <w:rPr>
          <w:rFonts w:ascii="Arial" w:hAnsi="Arial" w:cs="Arial"/>
          <w:sz w:val="18"/>
        </w:rPr>
        <w:t xml:space="preserve"> been unmeasured. </w:t>
      </w:r>
    </w:p>
  </w:footnote>
  <w:footnote w:id="3">
    <w:p w14:paraId="175D15FF" w14:textId="36F86937" w:rsidR="002501B8" w:rsidRPr="004E315E" w:rsidRDefault="00980188" w:rsidP="002501B8">
      <w:pPr>
        <w:pStyle w:val="FootnoteText"/>
        <w:rPr>
          <w:rFonts w:ascii="Arial" w:hAnsi="Arial" w:cs="Arial"/>
          <w:sz w:val="18"/>
        </w:rPr>
      </w:pPr>
      <w:r w:rsidRPr="004E315E">
        <w:rPr>
          <w:rStyle w:val="FootnoteReference"/>
          <w:rFonts w:ascii="Arial" w:hAnsi="Arial" w:cs="Arial"/>
          <w:sz w:val="18"/>
        </w:rPr>
        <w:footnoteRef/>
      </w:r>
      <w:r w:rsidRPr="004E315E">
        <w:rPr>
          <w:rFonts w:ascii="Arial" w:hAnsi="Arial" w:cs="Arial"/>
          <w:sz w:val="18"/>
        </w:rPr>
        <w:t xml:space="preserve"> </w:t>
      </w:r>
      <w:bookmarkStart w:id="0" w:name="_GoBack"/>
      <w:bookmarkEnd w:id="0"/>
      <w:r w:rsidR="002501B8" w:rsidRPr="002501B8">
        <w:rPr>
          <w:rFonts w:ascii="Arial" w:hAnsi="Arial" w:cs="Arial"/>
          <w:sz w:val="18"/>
        </w:rPr>
        <w:t>Lash TL, Fink AK, Fox MP. Unm</w:t>
      </w:r>
      <w:r w:rsidR="002501B8">
        <w:rPr>
          <w:rFonts w:ascii="Arial" w:hAnsi="Arial" w:cs="Arial"/>
          <w:sz w:val="18"/>
        </w:rPr>
        <w:t>easured and unknown confounders.</w:t>
      </w:r>
      <w:r w:rsidR="002501B8" w:rsidRPr="002501B8">
        <w:rPr>
          <w:rFonts w:ascii="Arial" w:hAnsi="Arial" w:cs="Arial"/>
          <w:sz w:val="18"/>
        </w:rPr>
        <w:t xml:space="preserve"> In: Applying Quantitative Bias Analysis to Epidemiologic Data.</w:t>
      </w:r>
      <w:r w:rsidR="002501B8">
        <w:rPr>
          <w:rFonts w:ascii="Arial" w:hAnsi="Arial" w:cs="Arial"/>
          <w:sz w:val="18"/>
        </w:rPr>
        <w:t xml:space="preserve"> </w:t>
      </w:r>
      <w:r w:rsidR="002501B8" w:rsidRPr="002501B8">
        <w:rPr>
          <w:rFonts w:ascii="Arial" w:hAnsi="Arial" w:cs="Arial"/>
          <w:sz w:val="18"/>
        </w:rPr>
        <w:t>Springer; 2009:59–78.</w:t>
      </w:r>
    </w:p>
  </w:footnote>
  <w:footnote w:id="4">
    <w:p w14:paraId="2D06EF41" w14:textId="77777777" w:rsidR="00980188" w:rsidRPr="004E315E" w:rsidRDefault="00980188" w:rsidP="001E140B">
      <w:pPr>
        <w:pStyle w:val="FootnoteText"/>
        <w:rPr>
          <w:rFonts w:ascii="Arial" w:hAnsi="Arial" w:cs="Arial"/>
          <w:sz w:val="18"/>
        </w:rPr>
      </w:pPr>
      <w:r w:rsidRPr="004E315E">
        <w:rPr>
          <w:rStyle w:val="FootnoteReference"/>
          <w:rFonts w:ascii="Arial" w:hAnsi="Arial" w:cs="Arial"/>
          <w:sz w:val="18"/>
        </w:rPr>
        <w:footnoteRef/>
      </w:r>
      <w:r w:rsidRPr="004E315E">
        <w:rPr>
          <w:rFonts w:ascii="Arial" w:hAnsi="Arial" w:cs="Arial"/>
          <w:sz w:val="18"/>
        </w:rPr>
        <w:t xml:space="preserve"> The estimated magnitude of bias due to confounding by C</w:t>
      </w:r>
      <w:r w:rsidRPr="004E315E">
        <w:rPr>
          <w:rFonts w:ascii="Arial" w:hAnsi="Arial" w:cs="Arial"/>
          <w:sz w:val="18"/>
          <w:vertAlign w:val="subscript"/>
        </w:rPr>
        <w:t>i</w:t>
      </w:r>
      <w:r w:rsidRPr="004E315E">
        <w:rPr>
          <w:rFonts w:ascii="Arial" w:hAnsi="Arial" w:cs="Arial"/>
          <w:sz w:val="18"/>
        </w:rPr>
        <w:t>, estimated using the quantitative bias analysis (</w:t>
      </w:r>
      <w:proofErr w:type="spellStart"/>
      <w:r w:rsidRPr="004E315E">
        <w:rPr>
          <w:rFonts w:ascii="Arial" w:hAnsi="Arial" w:cs="Arial"/>
          <w:sz w:val="18"/>
        </w:rPr>
        <w:t>QBA</w:t>
      </w:r>
      <w:proofErr w:type="spellEnd"/>
      <w:r w:rsidRPr="004E315E">
        <w:rPr>
          <w:rFonts w:ascii="Arial" w:hAnsi="Arial" w:cs="Arial"/>
          <w:sz w:val="18"/>
        </w:rPr>
        <w:t>) method.</w:t>
      </w:r>
    </w:p>
  </w:footnote>
  <w:footnote w:id="5">
    <w:p w14:paraId="1443311A" w14:textId="2BCBD0E5" w:rsidR="00980188" w:rsidRDefault="00980188" w:rsidP="001E140B">
      <w:pPr>
        <w:pStyle w:val="FootnoteText"/>
        <w:rPr>
          <w:rFonts w:ascii="Arial" w:hAnsi="Arial" w:cs="Arial"/>
          <w:sz w:val="18"/>
        </w:rPr>
      </w:pPr>
      <w:r w:rsidRPr="004E315E">
        <w:rPr>
          <w:rStyle w:val="FootnoteReference"/>
          <w:rFonts w:ascii="Arial" w:hAnsi="Arial" w:cs="Arial"/>
          <w:sz w:val="18"/>
        </w:rPr>
        <w:footnoteRef/>
      </w:r>
      <w:r w:rsidRPr="004E315E">
        <w:rPr>
          <w:rFonts w:ascii="Arial" w:hAnsi="Arial" w:cs="Arial"/>
          <w:sz w:val="18"/>
        </w:rPr>
        <w:t xml:space="preserve"> The estimated hazard ratio bias-adjusted for unmeasured confounding by C</w:t>
      </w:r>
      <w:r w:rsidRPr="004E315E">
        <w:rPr>
          <w:rFonts w:ascii="Arial" w:hAnsi="Arial" w:cs="Arial"/>
          <w:sz w:val="18"/>
          <w:vertAlign w:val="subscript"/>
        </w:rPr>
        <w:t>i</w:t>
      </w:r>
      <w:r w:rsidRPr="004E315E">
        <w:rPr>
          <w:rFonts w:ascii="Arial" w:hAnsi="Arial" w:cs="Arial"/>
          <w:sz w:val="18"/>
        </w:rPr>
        <w:t>, obtained by applying the estimated magnitude of bias due to confounding by C</w:t>
      </w:r>
      <w:r w:rsidRPr="004E315E">
        <w:rPr>
          <w:rFonts w:ascii="Arial" w:hAnsi="Arial" w:cs="Arial"/>
          <w:sz w:val="18"/>
          <w:vertAlign w:val="subscript"/>
        </w:rPr>
        <w:t>i</w:t>
      </w:r>
      <w:r w:rsidRPr="004E315E">
        <w:rPr>
          <w:rFonts w:ascii="Arial" w:hAnsi="Arial" w:cs="Arial"/>
          <w:sz w:val="18"/>
        </w:rPr>
        <w:t xml:space="preserve"> to the expected observed hazard ratio.</w:t>
      </w:r>
    </w:p>
    <w:p w14:paraId="4519A9DF" w14:textId="77777777" w:rsidR="00980188" w:rsidRPr="004E315E" w:rsidRDefault="00980188" w:rsidP="001E140B">
      <w:pPr>
        <w:pStyle w:val="FootnoteText"/>
        <w:rPr>
          <w:rFonts w:ascii="Arial" w:hAnsi="Arial" w:cs="Arial"/>
          <w:sz w:val="18"/>
        </w:rPr>
      </w:pPr>
    </w:p>
    <w:p w14:paraId="70BF7F18" w14:textId="77777777" w:rsidR="00980188" w:rsidRDefault="00980188" w:rsidP="001E140B">
      <w:pPr>
        <w:pStyle w:val="FootnoteText"/>
      </w:pPr>
    </w:p>
    <w:p w14:paraId="7D7BB4F3" w14:textId="77777777" w:rsidR="00980188" w:rsidRDefault="00980188" w:rsidP="001E140B">
      <w:pPr>
        <w:pStyle w:val="FootnoteText"/>
      </w:pPr>
    </w:p>
    <w:p w14:paraId="0DD9CA96" w14:textId="77777777" w:rsidR="00980188" w:rsidRDefault="00980188" w:rsidP="001E140B">
      <w:pPr>
        <w:pStyle w:val="FootnoteText"/>
      </w:pPr>
    </w:p>
    <w:p w14:paraId="773D9D27" w14:textId="77777777" w:rsidR="00980188" w:rsidRDefault="00980188" w:rsidP="001E140B">
      <w:pPr>
        <w:pStyle w:val="FootnoteText"/>
      </w:pPr>
    </w:p>
    <w:p w14:paraId="11C2D802" w14:textId="77777777" w:rsidR="00980188" w:rsidRDefault="00980188" w:rsidP="001E140B">
      <w:pPr>
        <w:pStyle w:val="FootnoteText"/>
      </w:pPr>
    </w:p>
    <w:p w14:paraId="7AE57B7F" w14:textId="77777777" w:rsidR="00980188" w:rsidRDefault="00980188" w:rsidP="001E140B">
      <w:pPr>
        <w:pStyle w:val="FootnoteText"/>
      </w:pPr>
    </w:p>
    <w:p w14:paraId="50BFAEDF" w14:textId="77777777" w:rsidR="00980188" w:rsidRDefault="00980188" w:rsidP="001E140B">
      <w:pPr>
        <w:pStyle w:val="FootnoteText"/>
      </w:pPr>
    </w:p>
    <w:p w14:paraId="64A4850A" w14:textId="77777777" w:rsidR="00980188" w:rsidRDefault="00980188" w:rsidP="001E140B">
      <w:pPr>
        <w:pStyle w:val="FootnoteText"/>
      </w:pPr>
    </w:p>
    <w:p w14:paraId="1690BD48" w14:textId="77777777" w:rsidR="00980188" w:rsidRPr="00916C8A" w:rsidRDefault="00980188" w:rsidP="001E140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3465A4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9sadesvwpttqedttjvedt0vfddtar50sae&quot;&gt;Lash_Unmeasured Confounding&lt;record-ids&gt;&lt;item&gt;1&lt;/item&gt;&lt;item&gt;3&lt;/item&gt;&lt;item&gt;7&lt;/item&gt;&lt;item&gt;9&lt;/item&gt;&lt;item&gt;10&lt;/item&gt;&lt;item&gt;11&lt;/item&gt;&lt;item&gt;12&lt;/item&gt;&lt;item&gt;15&lt;/item&gt;&lt;item&gt;16&lt;/item&gt;&lt;item&gt;17&lt;/item&gt;&lt;item&gt;18&lt;/item&gt;&lt;item&gt;19&lt;/item&gt;&lt;item&gt;20&lt;/item&gt;&lt;item&gt;21&lt;/item&gt;&lt;item&gt;22&lt;/item&gt;&lt;item&gt;24&lt;/item&gt;&lt;item&gt;29&lt;/item&gt;&lt;item&gt;30&lt;/item&gt;&lt;/record-ids&gt;&lt;/item&gt;&lt;/Libraries&gt;"/>
  </w:docVars>
  <w:rsids>
    <w:rsidRoot w:val="00B30BC3"/>
    <w:rsid w:val="00006E2A"/>
    <w:rsid w:val="000142C1"/>
    <w:rsid w:val="00033695"/>
    <w:rsid w:val="000342A0"/>
    <w:rsid w:val="00035CCC"/>
    <w:rsid w:val="00043C1E"/>
    <w:rsid w:val="00050A4E"/>
    <w:rsid w:val="0005257A"/>
    <w:rsid w:val="0005348D"/>
    <w:rsid w:val="00054361"/>
    <w:rsid w:val="000574C8"/>
    <w:rsid w:val="00062025"/>
    <w:rsid w:val="000666AF"/>
    <w:rsid w:val="0007252D"/>
    <w:rsid w:val="00076CB1"/>
    <w:rsid w:val="0008401B"/>
    <w:rsid w:val="00085DA0"/>
    <w:rsid w:val="00087F9B"/>
    <w:rsid w:val="000A4388"/>
    <w:rsid w:val="000B2BC9"/>
    <w:rsid w:val="000B7308"/>
    <w:rsid w:val="000C4DA0"/>
    <w:rsid w:val="000C59ED"/>
    <w:rsid w:val="000D3E37"/>
    <w:rsid w:val="000E6B48"/>
    <w:rsid w:val="000E7758"/>
    <w:rsid w:val="000F4D63"/>
    <w:rsid w:val="001044A3"/>
    <w:rsid w:val="00107E13"/>
    <w:rsid w:val="00117777"/>
    <w:rsid w:val="001253A0"/>
    <w:rsid w:val="00127CD5"/>
    <w:rsid w:val="00167B6A"/>
    <w:rsid w:val="0017004E"/>
    <w:rsid w:val="00170F20"/>
    <w:rsid w:val="00173279"/>
    <w:rsid w:val="00191F49"/>
    <w:rsid w:val="001B066A"/>
    <w:rsid w:val="001E140B"/>
    <w:rsid w:val="001E7479"/>
    <w:rsid w:val="00203209"/>
    <w:rsid w:val="002131DC"/>
    <w:rsid w:val="00217D65"/>
    <w:rsid w:val="00240E76"/>
    <w:rsid w:val="00246A32"/>
    <w:rsid w:val="002501B8"/>
    <w:rsid w:val="00270A96"/>
    <w:rsid w:val="00272487"/>
    <w:rsid w:val="00282F35"/>
    <w:rsid w:val="00285503"/>
    <w:rsid w:val="00286E82"/>
    <w:rsid w:val="00294CB0"/>
    <w:rsid w:val="002A2D9E"/>
    <w:rsid w:val="002C1F19"/>
    <w:rsid w:val="002D1A3E"/>
    <w:rsid w:val="002F315E"/>
    <w:rsid w:val="002F4012"/>
    <w:rsid w:val="003155A1"/>
    <w:rsid w:val="00320521"/>
    <w:rsid w:val="00324555"/>
    <w:rsid w:val="00324666"/>
    <w:rsid w:val="003424A8"/>
    <w:rsid w:val="00362D75"/>
    <w:rsid w:val="0038573C"/>
    <w:rsid w:val="0038598C"/>
    <w:rsid w:val="0039041E"/>
    <w:rsid w:val="00390631"/>
    <w:rsid w:val="003948EC"/>
    <w:rsid w:val="003A6F39"/>
    <w:rsid w:val="003B4083"/>
    <w:rsid w:val="003D4603"/>
    <w:rsid w:val="003D69BD"/>
    <w:rsid w:val="003E11E6"/>
    <w:rsid w:val="00410570"/>
    <w:rsid w:val="004108A1"/>
    <w:rsid w:val="00411796"/>
    <w:rsid w:val="00431388"/>
    <w:rsid w:val="004524A1"/>
    <w:rsid w:val="004655B7"/>
    <w:rsid w:val="00473BF1"/>
    <w:rsid w:val="004754C9"/>
    <w:rsid w:val="004B52C5"/>
    <w:rsid w:val="004C17EB"/>
    <w:rsid w:val="004C5313"/>
    <w:rsid w:val="004C5DB2"/>
    <w:rsid w:val="004D723D"/>
    <w:rsid w:val="004E0368"/>
    <w:rsid w:val="004E2F6D"/>
    <w:rsid w:val="004E315E"/>
    <w:rsid w:val="004E782D"/>
    <w:rsid w:val="00511DB2"/>
    <w:rsid w:val="0053187F"/>
    <w:rsid w:val="00553800"/>
    <w:rsid w:val="00556F09"/>
    <w:rsid w:val="00563BC1"/>
    <w:rsid w:val="00565970"/>
    <w:rsid w:val="005841C1"/>
    <w:rsid w:val="00596B10"/>
    <w:rsid w:val="005A6431"/>
    <w:rsid w:val="005C7AB9"/>
    <w:rsid w:val="005E1ECB"/>
    <w:rsid w:val="00600B5C"/>
    <w:rsid w:val="0060400B"/>
    <w:rsid w:val="00611C5F"/>
    <w:rsid w:val="00616A5D"/>
    <w:rsid w:val="0062140C"/>
    <w:rsid w:val="00646CF0"/>
    <w:rsid w:val="00652A16"/>
    <w:rsid w:val="0065350E"/>
    <w:rsid w:val="00661C2D"/>
    <w:rsid w:val="00662E52"/>
    <w:rsid w:val="00664525"/>
    <w:rsid w:val="00667BDF"/>
    <w:rsid w:val="00680193"/>
    <w:rsid w:val="00680576"/>
    <w:rsid w:val="00683E76"/>
    <w:rsid w:val="006C504E"/>
    <w:rsid w:val="006C5368"/>
    <w:rsid w:val="006C58F2"/>
    <w:rsid w:val="006C6E88"/>
    <w:rsid w:val="006D0474"/>
    <w:rsid w:val="006D142F"/>
    <w:rsid w:val="006D4290"/>
    <w:rsid w:val="006D4AC5"/>
    <w:rsid w:val="006E7713"/>
    <w:rsid w:val="006E7BAE"/>
    <w:rsid w:val="00711171"/>
    <w:rsid w:val="00722FEA"/>
    <w:rsid w:val="00723455"/>
    <w:rsid w:val="007265D3"/>
    <w:rsid w:val="00745C2A"/>
    <w:rsid w:val="00753E6B"/>
    <w:rsid w:val="0075638F"/>
    <w:rsid w:val="00776A7C"/>
    <w:rsid w:val="00780A29"/>
    <w:rsid w:val="007900DA"/>
    <w:rsid w:val="007A11FF"/>
    <w:rsid w:val="007A1BDB"/>
    <w:rsid w:val="007A2AB8"/>
    <w:rsid w:val="007A3BEE"/>
    <w:rsid w:val="007B470F"/>
    <w:rsid w:val="007C30BC"/>
    <w:rsid w:val="007E39E1"/>
    <w:rsid w:val="007E5D6F"/>
    <w:rsid w:val="007F32DA"/>
    <w:rsid w:val="007F3E8B"/>
    <w:rsid w:val="007F3F51"/>
    <w:rsid w:val="00827FC5"/>
    <w:rsid w:val="00852799"/>
    <w:rsid w:val="00853684"/>
    <w:rsid w:val="00855E41"/>
    <w:rsid w:val="00857076"/>
    <w:rsid w:val="00857774"/>
    <w:rsid w:val="00863161"/>
    <w:rsid w:val="0088598F"/>
    <w:rsid w:val="00887016"/>
    <w:rsid w:val="008A08C0"/>
    <w:rsid w:val="008A4036"/>
    <w:rsid w:val="008A52A5"/>
    <w:rsid w:val="008B697C"/>
    <w:rsid w:val="008B7AD5"/>
    <w:rsid w:val="008C361E"/>
    <w:rsid w:val="008E0B0B"/>
    <w:rsid w:val="008E1829"/>
    <w:rsid w:val="008E3EA8"/>
    <w:rsid w:val="00900663"/>
    <w:rsid w:val="00901244"/>
    <w:rsid w:val="0091132F"/>
    <w:rsid w:val="009132ED"/>
    <w:rsid w:val="0091401F"/>
    <w:rsid w:val="009147B3"/>
    <w:rsid w:val="00925A84"/>
    <w:rsid w:val="009345FC"/>
    <w:rsid w:val="00937F3D"/>
    <w:rsid w:val="00944A30"/>
    <w:rsid w:val="00946800"/>
    <w:rsid w:val="009563F4"/>
    <w:rsid w:val="00956C4D"/>
    <w:rsid w:val="00957EFC"/>
    <w:rsid w:val="00966070"/>
    <w:rsid w:val="00980188"/>
    <w:rsid w:val="009828D3"/>
    <w:rsid w:val="0098413F"/>
    <w:rsid w:val="00992CB9"/>
    <w:rsid w:val="009A1ECC"/>
    <w:rsid w:val="009A1F5A"/>
    <w:rsid w:val="009B1D49"/>
    <w:rsid w:val="009D3AD0"/>
    <w:rsid w:val="00A10913"/>
    <w:rsid w:val="00A20FFB"/>
    <w:rsid w:val="00A244B8"/>
    <w:rsid w:val="00A249CD"/>
    <w:rsid w:val="00A3756A"/>
    <w:rsid w:val="00A445D7"/>
    <w:rsid w:val="00A6170F"/>
    <w:rsid w:val="00A63CD7"/>
    <w:rsid w:val="00A70251"/>
    <w:rsid w:val="00A862E8"/>
    <w:rsid w:val="00AA5771"/>
    <w:rsid w:val="00AA752B"/>
    <w:rsid w:val="00AB1AFA"/>
    <w:rsid w:val="00AB389E"/>
    <w:rsid w:val="00AB47E4"/>
    <w:rsid w:val="00AC1F93"/>
    <w:rsid w:val="00AC5480"/>
    <w:rsid w:val="00AD7203"/>
    <w:rsid w:val="00AD7387"/>
    <w:rsid w:val="00AD76B0"/>
    <w:rsid w:val="00AE5062"/>
    <w:rsid w:val="00B2135C"/>
    <w:rsid w:val="00B26A6E"/>
    <w:rsid w:val="00B30BC3"/>
    <w:rsid w:val="00B43A49"/>
    <w:rsid w:val="00B527B4"/>
    <w:rsid w:val="00B5454E"/>
    <w:rsid w:val="00B7570E"/>
    <w:rsid w:val="00B82724"/>
    <w:rsid w:val="00B86FEB"/>
    <w:rsid w:val="00B908FC"/>
    <w:rsid w:val="00B96017"/>
    <w:rsid w:val="00BB027B"/>
    <w:rsid w:val="00C309B4"/>
    <w:rsid w:val="00C43B3D"/>
    <w:rsid w:val="00C548FC"/>
    <w:rsid w:val="00C701F9"/>
    <w:rsid w:val="00C94612"/>
    <w:rsid w:val="00CA1C41"/>
    <w:rsid w:val="00CB0023"/>
    <w:rsid w:val="00CB6D86"/>
    <w:rsid w:val="00CC1ADF"/>
    <w:rsid w:val="00CC1FE9"/>
    <w:rsid w:val="00CD0D88"/>
    <w:rsid w:val="00CD758F"/>
    <w:rsid w:val="00CE79D7"/>
    <w:rsid w:val="00CE7DDC"/>
    <w:rsid w:val="00D00B4B"/>
    <w:rsid w:val="00D10823"/>
    <w:rsid w:val="00D20608"/>
    <w:rsid w:val="00D20F53"/>
    <w:rsid w:val="00D35356"/>
    <w:rsid w:val="00D50641"/>
    <w:rsid w:val="00D51863"/>
    <w:rsid w:val="00D578A6"/>
    <w:rsid w:val="00D700C3"/>
    <w:rsid w:val="00D7204D"/>
    <w:rsid w:val="00D81B3E"/>
    <w:rsid w:val="00D94F22"/>
    <w:rsid w:val="00DB0A0D"/>
    <w:rsid w:val="00DC186B"/>
    <w:rsid w:val="00DE5F42"/>
    <w:rsid w:val="00DF4C7F"/>
    <w:rsid w:val="00DF6A1F"/>
    <w:rsid w:val="00E031E1"/>
    <w:rsid w:val="00E071D9"/>
    <w:rsid w:val="00E1216B"/>
    <w:rsid w:val="00E15060"/>
    <w:rsid w:val="00E3493F"/>
    <w:rsid w:val="00E45ED2"/>
    <w:rsid w:val="00E96D45"/>
    <w:rsid w:val="00EA2B56"/>
    <w:rsid w:val="00EC3C57"/>
    <w:rsid w:val="00ED0317"/>
    <w:rsid w:val="00ED4D96"/>
    <w:rsid w:val="00ED647A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3C3B"/>
    <w:rsid w:val="00F56A5E"/>
    <w:rsid w:val="00F67733"/>
    <w:rsid w:val="00F82795"/>
    <w:rsid w:val="00F91124"/>
    <w:rsid w:val="00F93592"/>
    <w:rsid w:val="00F9503E"/>
    <w:rsid w:val="00FA2EA1"/>
    <w:rsid w:val="00FB5A89"/>
    <w:rsid w:val="00FC05F2"/>
    <w:rsid w:val="00FD4807"/>
    <w:rsid w:val="00FE31E8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C37AB"/>
  <w15:chartTrackingRefBased/>
  <w15:docId w15:val="{79B9A6EE-925B-4103-BC4C-56D335FA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character" w:customStyle="1" w:styleId="CommentTextChar">
    <w:name w:val="Comment Text Char"/>
    <w:link w:val="CommentText"/>
    <w:uiPriority w:val="99"/>
    <w:semiHidden/>
    <w:rsid w:val="00ED647A"/>
    <w:rPr>
      <w:rFonts w:ascii="Arial" w:hAnsi="Arial"/>
    </w:rPr>
  </w:style>
  <w:style w:type="paragraph" w:customStyle="1" w:styleId="EndNoteBibliographyTitle">
    <w:name w:val="EndNote Bibliography Title"/>
    <w:basedOn w:val="Normal"/>
    <w:link w:val="EndNoteBibliographyTitleChar"/>
    <w:rsid w:val="00ED647A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647A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D647A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647A"/>
    <w:rPr>
      <w:rFonts w:ascii="Arial" w:hAnsi="Arial" w:cs="Arial"/>
      <w:noProof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80576"/>
    <w:pPr>
      <w:spacing w:line="240" w:lineRule="auto"/>
    </w:pPr>
    <w:rPr>
      <w:rFonts w:ascii="Times New Roman" w:eastAsiaTheme="minorHAnsi" w:hAnsi="Times New Roman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0576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80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FEE81425F7B4EA3F8BA3C8B04EFBB" ma:contentTypeVersion="13" ma:contentTypeDescription="Create a new document." ma:contentTypeScope="" ma:versionID="2b5c4f53e5c933364be6ff6098fb5639">
  <xsd:schema xmlns:xsd="http://www.w3.org/2001/XMLSchema" xmlns:xs="http://www.w3.org/2001/XMLSchema" xmlns:p="http://schemas.microsoft.com/office/2006/metadata/properties" xmlns:ns3="20dc361d-9d58-419d-85c0-203e56b61a6e" xmlns:ns4="ac8692a4-4f2d-4033-b1a9-b0097fba9a16" targetNamespace="http://schemas.microsoft.com/office/2006/metadata/properties" ma:root="true" ma:fieldsID="5c87b3a0a9db4ec66fdd137b32210cd9" ns3:_="" ns4:_="">
    <xsd:import namespace="20dc361d-9d58-419d-85c0-203e56b61a6e"/>
    <xsd:import namespace="ac8692a4-4f2d-4033-b1a9-b0097fba9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c361d-9d58-419d-85c0-203e56b61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92a4-4f2d-4033-b1a9-b0097fba9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08B5F-19D1-46FE-A91A-BF508F3C0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2EA2C-106D-476A-8506-AE304ED49762}">
  <ds:schemaRefs>
    <ds:schemaRef ds:uri="http://schemas.microsoft.com/office/2006/metadata/properties"/>
    <ds:schemaRef ds:uri="20dc361d-9d58-419d-85c0-203e56b61a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c8692a4-4f2d-4033-b1a9-b0097fba9a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20F175-6AEC-48BC-8315-49E40A1B1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c361d-9d58-419d-85c0-203e56b61a6e"/>
    <ds:schemaRef ds:uri="ac8692a4-4f2d-4033-b1a9-b0097fba9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775</CharactersWithSpaces>
  <SharedDoc>false</SharedDoc>
  <HLinks>
    <vt:vector size="42" baseType="variant"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51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  <vt:variant>
        <vt:i4>524400</vt:i4>
      </vt:variant>
      <vt:variant>
        <vt:i4>0</vt:i4>
      </vt:variant>
      <vt:variant>
        <vt:i4>0</vt:i4>
      </vt:variant>
      <vt:variant>
        <vt:i4>5</vt:i4>
      </vt:variant>
      <vt:variant>
        <vt:lpwstr>mailto:julie.barberio@emory.edu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Barberio, Julie</cp:lastModifiedBy>
  <cp:revision>2</cp:revision>
  <cp:lastPrinted>2009-01-08T15:57:00Z</cp:lastPrinted>
  <dcterms:created xsi:type="dcterms:W3CDTF">2021-06-28T17:00:00Z</dcterms:created>
  <dcterms:modified xsi:type="dcterms:W3CDTF">2021-06-28T17:00:00Z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0x01010008DFEE81425F7B4EA3F8BA3C8B04EFBB</vt:lpwstr>
  </property>
</Properties>
</file>