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CEE84" w14:textId="77777777" w:rsidR="00F1746E" w:rsidRPr="00860E1C" w:rsidRDefault="00F1746E" w:rsidP="00F1746E">
      <w:pPr>
        <w:pStyle w:val="Heading1"/>
      </w:pPr>
      <w:r w:rsidRPr="00860E1C">
        <w:t>Supplementary Material</w:t>
      </w:r>
    </w:p>
    <w:p w14:paraId="54EBD13E" w14:textId="58C4E82D" w:rsidR="00972F56" w:rsidRDefault="00972F56" w:rsidP="00F1746E">
      <w:pPr>
        <w:spacing w:after="240" w:line="360" w:lineRule="auto"/>
        <w:rPr>
          <w:b/>
        </w:rPr>
      </w:pPr>
      <w:r>
        <w:rPr>
          <w:b/>
        </w:rPr>
        <w:t>Investigational 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62F5" w:rsidRPr="002F12E1" w14:paraId="554F68B7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20C8E03E" w14:textId="77777777" w:rsidR="006562F5" w:rsidRPr="002F12E1" w:rsidRDefault="006562F5" w:rsidP="00193563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 w:rsidRPr="002F12E1">
              <w:rPr>
                <w:rFonts w:cs="Arial"/>
                <w:b/>
                <w:bCs/>
                <w:szCs w:val="20"/>
              </w:rPr>
              <w:t>US Investigational sites</w:t>
            </w:r>
          </w:p>
        </w:tc>
      </w:tr>
      <w:tr w:rsidR="006562F5" w:rsidRPr="002F12E1" w14:paraId="24E0813E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6271052D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Highlands Oncology Group, Fayetteville, AR</w:t>
            </w:r>
          </w:p>
        </w:tc>
      </w:tr>
      <w:tr w:rsidR="006562F5" w:rsidRPr="002F12E1" w14:paraId="28CA5A77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53CADE98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Genesis Cancer Center, Hot Springs, AZ</w:t>
            </w:r>
          </w:p>
        </w:tc>
      </w:tr>
      <w:tr w:rsidR="006562F5" w:rsidRPr="002F12E1" w14:paraId="138A8C56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75FD5A9F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Ironwood Cancer &amp; Research Center, Chandler, AZ</w:t>
            </w:r>
          </w:p>
        </w:tc>
      </w:tr>
      <w:tr w:rsidR="006562F5" w:rsidRPr="002F12E1" w14:paraId="56293F83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45367B69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Beverly Hills Cancer Center, Beverly Hills, CA</w:t>
            </w:r>
          </w:p>
        </w:tc>
      </w:tr>
      <w:tr w:rsidR="006562F5" w:rsidRPr="002F12E1" w14:paraId="661990B6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077672AA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St Joseph Heritage Healthcare, Santa Rosa, CA</w:t>
            </w:r>
          </w:p>
        </w:tc>
      </w:tr>
      <w:tr w:rsidR="006562F5" w:rsidRPr="002F12E1" w14:paraId="6C699A7E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7DD195B7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Singing River Health System, Whittier, CA</w:t>
            </w:r>
          </w:p>
        </w:tc>
      </w:tr>
      <w:tr w:rsidR="006562F5" w:rsidRPr="002F12E1" w14:paraId="2BEE7966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2A58CE48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Innovative Clinical Research Institute (ICRI), Whittier, CA</w:t>
            </w:r>
          </w:p>
        </w:tc>
      </w:tr>
      <w:tr w:rsidR="006562F5" w:rsidRPr="002F12E1" w14:paraId="723149F6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76B3FE57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Compassionate Cancer Care Medical Group, Corona, CA</w:t>
            </w:r>
          </w:p>
        </w:tc>
      </w:tr>
      <w:tr w:rsidR="006562F5" w:rsidRPr="002F12E1" w14:paraId="6377A5E0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67EF5408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Memorial Hospital, Colorado Springs, CO</w:t>
            </w:r>
          </w:p>
        </w:tc>
      </w:tr>
      <w:tr w:rsidR="006562F5" w:rsidRPr="002F12E1" w14:paraId="67A3DB01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00235C98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Cancer Care &amp; Hematology, Fort Collins, CO</w:t>
            </w:r>
          </w:p>
        </w:tc>
      </w:tr>
      <w:tr w:rsidR="006562F5" w:rsidRPr="002F12E1" w14:paraId="1CBBA014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415A084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Rocky Mountain Cancer Center, Denver, CO</w:t>
            </w:r>
          </w:p>
        </w:tc>
      </w:tr>
      <w:tr w:rsidR="006562F5" w:rsidRPr="002F12E1" w14:paraId="39017176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64F8D49D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Florida Cancer Specialists, Fort Myers, FL</w:t>
            </w:r>
          </w:p>
        </w:tc>
      </w:tr>
      <w:tr w:rsidR="006562F5" w:rsidRPr="002F12E1" w14:paraId="20BB9E62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076AA153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Florida Cancer Specialists, West Palm Beach, FL</w:t>
            </w:r>
          </w:p>
        </w:tc>
      </w:tr>
      <w:tr w:rsidR="006562F5" w:rsidRPr="002F12E1" w14:paraId="1F9B1F91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58B7D60A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Florida Cancer Specialists, St. Petersburg, FL</w:t>
            </w:r>
          </w:p>
        </w:tc>
      </w:tr>
      <w:tr w:rsidR="006562F5" w:rsidRPr="002F12E1" w14:paraId="0CE9FC13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D16C0AA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Boca Raton Regional Hospital Lynn Cancer Institute, Boca Raton, FL</w:t>
            </w:r>
          </w:p>
        </w:tc>
      </w:tr>
      <w:tr w:rsidR="006562F5" w:rsidRPr="002F12E1" w14:paraId="23DF0356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07780EDE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Sylvester Comprehensive Cancer Center, Miami, FL</w:t>
            </w:r>
          </w:p>
        </w:tc>
      </w:tr>
      <w:tr w:rsidR="006562F5" w:rsidRPr="002F12E1" w14:paraId="4FA8B3BE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3D8FC5EC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Sara Cannon/Florida Cancer Specialist-South, Fort Myers, FL</w:t>
            </w:r>
          </w:p>
        </w:tc>
      </w:tr>
      <w:tr w:rsidR="006562F5" w:rsidRPr="002F12E1" w14:paraId="41A491B0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6046508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Sara Cannon/Florida Cancer Specialist-East, West Palm Beach, FL</w:t>
            </w:r>
          </w:p>
        </w:tc>
      </w:tr>
      <w:tr w:rsidR="006562F5" w:rsidRPr="002F12E1" w14:paraId="03095322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6175E61A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Sara Cannon/Florida Cancer Specialist-North, Tavares, FL</w:t>
            </w:r>
          </w:p>
        </w:tc>
      </w:tr>
      <w:tr w:rsidR="006562F5" w:rsidRPr="002F12E1" w14:paraId="461C63AA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7C6F11B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Winship Cancer Institute, Emory University, Atlanta, GA</w:t>
            </w:r>
          </w:p>
        </w:tc>
      </w:tr>
      <w:tr w:rsidR="006562F5" w:rsidRPr="002F12E1" w14:paraId="0718DD61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4A284CD8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Northside Hospital, Inc., Atlanta, GA</w:t>
            </w:r>
          </w:p>
        </w:tc>
      </w:tr>
      <w:tr w:rsidR="006562F5" w:rsidRPr="002F12E1" w14:paraId="4E4A9EAC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5FF17CB9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Piedmont Cancer Institute, Atlanta, GA</w:t>
            </w:r>
          </w:p>
        </w:tc>
      </w:tr>
      <w:tr w:rsidR="006562F5" w:rsidRPr="002F12E1" w14:paraId="246B37D8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FB601AE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University Cancer &amp; Blood Center, Athens, GA</w:t>
            </w:r>
          </w:p>
        </w:tc>
      </w:tr>
      <w:tr w:rsidR="006562F5" w:rsidRPr="002F12E1" w14:paraId="7799C6A6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404A25D2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Norton Cancer Institute, Norton Healthcare Pavilion, Louisville, KY</w:t>
            </w:r>
          </w:p>
        </w:tc>
      </w:tr>
      <w:tr w:rsidR="006562F5" w:rsidRPr="002F12E1" w14:paraId="3C2A8FB8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6166B495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The Center for Cancer and Blood Disorders, Bethesda, MD</w:t>
            </w:r>
          </w:p>
        </w:tc>
      </w:tr>
      <w:tr w:rsidR="006562F5" w:rsidRPr="002F12E1" w14:paraId="54CCD7DF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47D86CA5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Saint Luke's Hospital, Kansas City, MO</w:t>
            </w:r>
          </w:p>
        </w:tc>
      </w:tr>
      <w:tr w:rsidR="006562F5" w:rsidRPr="002F12E1" w14:paraId="13F7051A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51826F5C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University of North Carolina at Chapel Hill, Chapel Hill, NC</w:t>
            </w:r>
          </w:p>
        </w:tc>
      </w:tr>
      <w:tr w:rsidR="006562F5" w:rsidRPr="002F12E1" w14:paraId="2BFE44D5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068B6069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Regional Medical Oncology Center, Wilson, NC</w:t>
            </w:r>
          </w:p>
        </w:tc>
      </w:tr>
      <w:tr w:rsidR="006562F5" w:rsidRPr="002F12E1" w14:paraId="1C4EE376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54A36B0E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Dartmouth-Hitchcock Medical Center, Lebanon, NH</w:t>
            </w:r>
          </w:p>
        </w:tc>
      </w:tr>
      <w:tr w:rsidR="006562F5" w:rsidRPr="002F12E1" w14:paraId="4DE3235F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978E483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Summit Medical Group, P.A., Morristown, NJ</w:t>
            </w:r>
          </w:p>
        </w:tc>
      </w:tr>
      <w:tr w:rsidR="006562F5" w:rsidRPr="002F12E1" w14:paraId="6E48E887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DD0CCAE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University of New Mexico Comprehensive Cancer Center, Albuquerque, NM</w:t>
            </w:r>
          </w:p>
        </w:tc>
      </w:tr>
      <w:tr w:rsidR="006562F5" w:rsidRPr="002F12E1" w14:paraId="672EBC88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7E0D8185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Roswell Park Cancer Institute, Buffalo, NY</w:t>
            </w:r>
          </w:p>
        </w:tc>
      </w:tr>
      <w:tr w:rsidR="006562F5" w:rsidRPr="002F12E1" w14:paraId="300EAF0A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070398EF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2F12E1">
              <w:rPr>
                <w:rFonts w:cs="Arial"/>
                <w:szCs w:val="20"/>
              </w:rPr>
              <w:t>Gabrail</w:t>
            </w:r>
            <w:proofErr w:type="spellEnd"/>
            <w:r w:rsidRPr="002F12E1">
              <w:rPr>
                <w:rFonts w:cs="Arial"/>
                <w:szCs w:val="20"/>
              </w:rPr>
              <w:t xml:space="preserve"> Cancer Center Research, Canton, OH</w:t>
            </w:r>
          </w:p>
        </w:tc>
      </w:tr>
      <w:tr w:rsidR="006562F5" w:rsidRPr="002F12E1" w14:paraId="322F07AF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3E5DDE89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lastRenderedPageBreak/>
              <w:t>Stephenson Cancer Center, Oklahoma City, OK</w:t>
            </w:r>
          </w:p>
        </w:tc>
      </w:tr>
      <w:tr w:rsidR="006562F5" w:rsidRPr="002F12E1" w14:paraId="1D0A1C40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51469D37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Guthrie Medical Group, Sayre, PA</w:t>
            </w:r>
          </w:p>
        </w:tc>
      </w:tr>
      <w:tr w:rsidR="006562F5" w:rsidRPr="002F12E1" w14:paraId="6CEA206C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27EA91DA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Thomas Jefferson University Hospital, Philadelphia, PA</w:t>
            </w:r>
          </w:p>
        </w:tc>
      </w:tr>
      <w:tr w:rsidR="006562F5" w:rsidRPr="002F12E1" w14:paraId="07BA46B7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6CEAD355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Greenville Health System,</w:t>
            </w:r>
            <w:r w:rsidRPr="002F12E1">
              <w:rPr>
                <w:rFonts w:cs="Arial"/>
                <w:color w:val="000000"/>
                <w:szCs w:val="20"/>
                <w:lang w:eastAsia="en-GB"/>
              </w:rPr>
              <w:t xml:space="preserve"> </w:t>
            </w: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Greensville, SC</w:t>
            </w:r>
          </w:p>
        </w:tc>
      </w:tr>
      <w:tr w:rsidR="006562F5" w:rsidRPr="002F12E1" w14:paraId="3BEC5D18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0377E13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szCs w:val="20"/>
              </w:rPr>
              <w:t>Spartansburg Medical Center, Spartansburg, SC</w:t>
            </w:r>
          </w:p>
        </w:tc>
      </w:tr>
      <w:tr w:rsidR="006562F5" w:rsidRPr="002F12E1" w14:paraId="4FE6FE66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75BC326A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Sara Cannon/Tennessee Oncology, Chattanooga, TN</w:t>
            </w:r>
          </w:p>
        </w:tc>
      </w:tr>
      <w:tr w:rsidR="006562F5" w:rsidRPr="002F12E1" w14:paraId="69E0E4A7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6BBA6C7D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Sara Cannon/Tennessee Oncology-Nashville, Nashville</w:t>
            </w:r>
          </w:p>
        </w:tc>
      </w:tr>
      <w:tr w:rsidR="006562F5" w:rsidRPr="002F12E1" w14:paraId="61D7F98C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73B0D493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University of Tennessee Medical Center, Knoxville, TN</w:t>
            </w:r>
          </w:p>
        </w:tc>
      </w:tr>
      <w:tr w:rsidR="006562F5" w:rsidRPr="002F12E1" w14:paraId="086828AB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358D4A4C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Meharry Medical College, Nashville, TN</w:t>
            </w:r>
          </w:p>
        </w:tc>
      </w:tr>
      <w:tr w:rsidR="006562F5" w:rsidRPr="002F12E1" w14:paraId="006F05B9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EECE08B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Tennessee Cancer Specialists, Knoxville, TN</w:t>
            </w:r>
          </w:p>
        </w:tc>
      </w:tr>
      <w:tr w:rsidR="006562F5" w:rsidRPr="002F12E1" w14:paraId="0124BAFA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3E3B39C9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Tennessee Oncology, Nashville, TN</w:t>
            </w:r>
          </w:p>
        </w:tc>
      </w:tr>
      <w:tr w:rsidR="006562F5" w:rsidRPr="002F12E1" w14:paraId="36FAA9B1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7925B76C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Texas Oncology, Tyler</w:t>
            </w:r>
            <w:r w:rsidRPr="002F12E1">
              <w:rPr>
                <w:rFonts w:cs="Arial"/>
                <w:color w:val="000000"/>
                <w:szCs w:val="20"/>
                <w:lang w:eastAsia="en-GB"/>
              </w:rPr>
              <w:t>, TX</w:t>
            </w:r>
          </w:p>
        </w:tc>
      </w:tr>
      <w:tr w:rsidR="006562F5" w:rsidRPr="002F12E1" w14:paraId="1D0677DD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494CA944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The University of Texas MD Anderson Cancer Center, Houston, TX</w:t>
            </w:r>
          </w:p>
        </w:tc>
      </w:tr>
      <w:tr w:rsidR="006562F5" w:rsidRPr="002F12E1" w14:paraId="2078A9E0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C310AD1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Millennium Oncology, Houston, TX</w:t>
            </w:r>
          </w:p>
        </w:tc>
      </w:tr>
      <w:tr w:rsidR="006562F5" w:rsidRPr="002F12E1" w14:paraId="0813AE24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5019C7D2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Virginia Cancer Specialists, Fairfax, VA</w:t>
            </w:r>
          </w:p>
        </w:tc>
      </w:tr>
      <w:tr w:rsidR="006562F5" w:rsidRPr="002F12E1" w14:paraId="514B2DF7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760C4F4D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Virginia Oncology Associates, Norfolk, VA</w:t>
            </w:r>
          </w:p>
        </w:tc>
      </w:tr>
      <w:tr w:rsidR="006562F5" w:rsidRPr="002F12E1" w14:paraId="49CED667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4C2F3346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Blue Ridge Cancer Care, Blacksburg, VA</w:t>
            </w:r>
          </w:p>
        </w:tc>
      </w:tr>
      <w:tr w:rsidR="006562F5" w:rsidRPr="002F12E1" w14:paraId="76F39387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F03FC52" w14:textId="77777777" w:rsidR="006562F5" w:rsidRPr="002F12E1" w:rsidRDefault="006562F5" w:rsidP="00193563">
            <w:pPr>
              <w:spacing w:line="360" w:lineRule="auto"/>
              <w:rPr>
                <w:rFonts w:cs="Arial"/>
                <w:szCs w:val="20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Fairfax-Northern Virginia Hematology-Oncology PC, Arlington, VA</w:t>
            </w:r>
          </w:p>
        </w:tc>
      </w:tr>
      <w:tr w:rsidR="006562F5" w:rsidRPr="002F12E1" w14:paraId="48CD325C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796F95A7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Northwest Cancer Specialists, Vancouver, WA</w:t>
            </w:r>
          </w:p>
        </w:tc>
      </w:tr>
      <w:tr w:rsidR="006562F5" w:rsidRPr="002F12E1" w14:paraId="5E3E4687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0311D5A8" w14:textId="77777777" w:rsidR="006562F5" w:rsidRPr="002F12E1" w:rsidRDefault="006562F5" w:rsidP="00193563">
            <w:pPr>
              <w:spacing w:line="360" w:lineRule="auto"/>
              <w:rPr>
                <w:rFonts w:cs="Arial"/>
                <w:b/>
                <w:bCs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b/>
                <w:bCs/>
                <w:color w:val="000000"/>
                <w:szCs w:val="20"/>
                <w:lang w:eastAsia="en-GB"/>
              </w:rPr>
              <w:t>Ex-USA Investigational sites</w:t>
            </w:r>
          </w:p>
        </w:tc>
      </w:tr>
      <w:tr w:rsidR="006562F5" w:rsidRPr="002F12E1" w14:paraId="117EC3A0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624813D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eastAsia="en-GB"/>
              </w:rPr>
              <w:t xml:space="preserve">AZ </w:t>
            </w:r>
            <w:proofErr w:type="spellStart"/>
            <w:r w:rsidRPr="002F12E1">
              <w:rPr>
                <w:rFonts w:cs="Arial"/>
                <w:color w:val="000000"/>
                <w:szCs w:val="20"/>
                <w:lang w:eastAsia="en-GB"/>
              </w:rPr>
              <w:t>Klina</w:t>
            </w:r>
            <w:proofErr w:type="spellEnd"/>
            <w:r w:rsidRPr="002F12E1">
              <w:rPr>
                <w:rFonts w:cs="Arial"/>
                <w:color w:val="000000"/>
                <w:szCs w:val="20"/>
                <w:lang w:eastAsia="en-GB"/>
              </w:rPr>
              <w:t>, Antwerp, Belgium</w:t>
            </w:r>
          </w:p>
        </w:tc>
      </w:tr>
      <w:tr w:rsidR="006562F5" w:rsidRPr="002F12E1" w14:paraId="394C71FD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47238905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Complex Oncology Center, Burgas, Bulgaria</w:t>
            </w:r>
          </w:p>
        </w:tc>
      </w:tr>
      <w:tr w:rsidR="006562F5" w:rsidRPr="002F12E1" w14:paraId="3EFB9E92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44BDC356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Multiprofile Hospital for Active Treatment, Serdika, Bulgaria</w:t>
            </w:r>
          </w:p>
        </w:tc>
      </w:tr>
      <w:tr w:rsidR="006562F5" w:rsidRPr="002F12E1" w14:paraId="38DC3B0E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55FF2932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proofErr w:type="spellStart"/>
            <w:r w:rsidRPr="002F12E1">
              <w:rPr>
                <w:rFonts w:cs="Arial"/>
                <w:color w:val="000000"/>
                <w:szCs w:val="20"/>
                <w:lang w:eastAsia="en-GB"/>
              </w:rPr>
              <w:t>Tokuda</w:t>
            </w:r>
            <w:proofErr w:type="spellEnd"/>
            <w:r w:rsidRPr="002F12E1">
              <w:rPr>
                <w:rFonts w:cs="Arial"/>
                <w:color w:val="000000"/>
                <w:szCs w:val="20"/>
                <w:lang w:eastAsia="en-GB"/>
              </w:rPr>
              <w:t xml:space="preserve"> Hospital</w:t>
            </w:r>
            <w:r>
              <w:rPr>
                <w:rFonts w:cs="Arial"/>
                <w:color w:val="000000"/>
                <w:szCs w:val="20"/>
                <w:lang w:eastAsia="en-GB"/>
              </w:rPr>
              <w:t xml:space="preserve">, </w:t>
            </w: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Sofia, Bulgaria</w:t>
            </w:r>
          </w:p>
        </w:tc>
      </w:tr>
      <w:tr w:rsidR="006562F5" w:rsidRPr="002F12E1" w14:paraId="69626E80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73D26465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University Hospital Centre Zagreb, Croatia</w:t>
            </w:r>
          </w:p>
        </w:tc>
      </w:tr>
      <w:tr w:rsidR="006562F5" w:rsidRPr="002F12E1" w14:paraId="34FA83CB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00360F6D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East Tallinn Central Hospital Ltd., Tallinn, Estonia</w:t>
            </w:r>
          </w:p>
        </w:tc>
      </w:tr>
      <w:tr w:rsidR="006562F5" w:rsidRPr="002F12E1" w14:paraId="2B9BA7EB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099EC942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Tartu University Hospital, Tartu, Estonia</w:t>
            </w:r>
          </w:p>
        </w:tc>
      </w:tr>
      <w:tr w:rsidR="006562F5" w:rsidRPr="002F12E1" w14:paraId="5C255139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0D85AC07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CHU de Rennes - Hopital de Pontchaillou, France</w:t>
            </w:r>
          </w:p>
        </w:tc>
      </w:tr>
      <w:tr w:rsidR="006562F5" w:rsidRPr="002F12E1" w14:paraId="74F26CDB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EA9D8E4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Centre Hospitalier de la côte Basque, Bayonne, France</w:t>
            </w:r>
          </w:p>
        </w:tc>
      </w:tr>
      <w:tr w:rsidR="006562F5" w:rsidRPr="002F12E1" w14:paraId="24CE6748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346F915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 xml:space="preserve">LLC ARENSIA </w:t>
            </w:r>
            <w:proofErr w:type="spellStart"/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Explorat</w:t>
            </w:r>
            <w:proofErr w:type="spellEnd"/>
            <w:r>
              <w:rPr>
                <w:rFonts w:cs="Arial"/>
                <w:color w:val="000000"/>
                <w:szCs w:val="20"/>
                <w:lang w:eastAsia="en-GB"/>
              </w:rPr>
              <w:t>o</w:t>
            </w:r>
            <w:proofErr w:type="spellStart"/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ry</w:t>
            </w:r>
            <w:proofErr w:type="spellEnd"/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 xml:space="preserve"> Medicine, Georgia</w:t>
            </w:r>
          </w:p>
        </w:tc>
      </w:tr>
      <w:tr w:rsidR="006562F5" w:rsidRPr="002F12E1" w14:paraId="1509CA57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D5D0808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Georgia LTD Research Institute of Clinical Medicine,</w:t>
            </w:r>
            <w:r>
              <w:rPr>
                <w:rFonts w:cs="Arial"/>
                <w:color w:val="000000"/>
                <w:szCs w:val="20"/>
                <w:lang w:eastAsia="en-GB"/>
              </w:rPr>
              <w:t xml:space="preserve"> </w:t>
            </w: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Tbilisi, Georgia</w:t>
            </w:r>
          </w:p>
        </w:tc>
      </w:tr>
      <w:tr w:rsidR="006562F5" w:rsidRPr="002F12E1" w14:paraId="3A299BB9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33A41E42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Georgia, LTD Clinical Oncology Center, Georgia</w:t>
            </w:r>
          </w:p>
        </w:tc>
      </w:tr>
      <w:tr w:rsidR="006562F5" w:rsidRPr="002F12E1" w14:paraId="06B1CCC9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6947E890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Georgia LTD Institute for Personalized Medicine, Tbilisi, Georgia</w:t>
            </w:r>
          </w:p>
        </w:tc>
      </w:tr>
      <w:tr w:rsidR="006562F5" w:rsidRPr="002F12E1" w14:paraId="0C01477B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6E09E0C8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LTD Cancer Research Centre, Tbilisi, Georgia</w:t>
            </w:r>
          </w:p>
        </w:tc>
      </w:tr>
      <w:tr w:rsidR="006562F5" w:rsidRPr="002F12E1" w14:paraId="69D4A6D8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281FDFAD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Veszprem Megyei Tudogyogyintezet, Hungary</w:t>
            </w:r>
          </w:p>
        </w:tc>
      </w:tr>
      <w:tr w:rsidR="006562F5" w:rsidRPr="002F12E1" w14:paraId="233780E8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E1192C0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Hetenyi Geza Korhaz, Hungary</w:t>
            </w:r>
          </w:p>
        </w:tc>
      </w:tr>
      <w:tr w:rsidR="006562F5" w:rsidRPr="002F12E1" w14:paraId="280B94CE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2358FDC1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Orszagos Koranyi TBC es Pulmonologiai Intezet</w:t>
            </w:r>
            <w:r>
              <w:rPr>
                <w:rFonts w:cs="Arial"/>
                <w:color w:val="000000"/>
                <w:szCs w:val="20"/>
                <w:lang w:eastAsia="en-GB"/>
              </w:rPr>
              <w:t>, Budapest</w:t>
            </w: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, Hungary</w:t>
            </w:r>
          </w:p>
        </w:tc>
      </w:tr>
      <w:tr w:rsidR="006562F5" w:rsidRPr="002F12E1" w14:paraId="5D38B29C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5F586572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Daugavpils Regional Hospital, Daugavpils, Latvia</w:t>
            </w:r>
          </w:p>
        </w:tc>
      </w:tr>
      <w:tr w:rsidR="006562F5" w:rsidRPr="002F12E1" w14:paraId="347CB41F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6328EF99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P. Stradins Clinical University Hospital, Riga, Latvia</w:t>
            </w:r>
          </w:p>
        </w:tc>
      </w:tr>
      <w:tr w:rsidR="006562F5" w:rsidRPr="002F12E1" w14:paraId="1C97682C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2F16E68C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lastRenderedPageBreak/>
              <w:t>Riga East University Hospital, LLC, Riga, Latvia</w:t>
            </w:r>
          </w:p>
        </w:tc>
      </w:tr>
      <w:tr w:rsidR="006562F5" w:rsidRPr="002F12E1" w14:paraId="21306470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77841541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University Clinic of Radiotherapy and Oncology, Skopje, Republic of Macedonia</w:t>
            </w:r>
          </w:p>
        </w:tc>
      </w:tr>
      <w:tr w:rsidR="006562F5" w:rsidRPr="002F12E1" w14:paraId="3C651183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5889E00C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ARENSIA Exploratory Medicine Phase I Unit, The Institute of Oncology, Moldova</w:t>
            </w:r>
          </w:p>
        </w:tc>
      </w:tr>
      <w:tr w:rsidR="006562F5" w:rsidRPr="002F12E1" w14:paraId="014F8769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0C5DB0AD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Wojewodzki Szpital Zespolony im. L. Rydygiera w Toruniu, Poland</w:t>
            </w:r>
          </w:p>
        </w:tc>
      </w:tr>
      <w:tr w:rsidR="006562F5" w:rsidRPr="002F12E1" w14:paraId="250BEC0E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630A8136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Samodzielny Publiczny Zespol Gruzlicy i Chorob Pluc w Olsztynie, Poland</w:t>
            </w:r>
          </w:p>
        </w:tc>
      </w:tr>
      <w:tr w:rsidR="006562F5" w:rsidRPr="002F12E1" w14:paraId="1E2E36C4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556BA88E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Institute for Pulmonary Diseases of Vojvodina, Serbia</w:t>
            </w:r>
          </w:p>
        </w:tc>
      </w:tr>
      <w:tr w:rsidR="006562F5" w:rsidRPr="002F12E1" w14:paraId="52F12CFE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6DF7B53F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Clinical Center Nis, Serbia</w:t>
            </w:r>
          </w:p>
        </w:tc>
      </w:tr>
      <w:tr w:rsidR="006562F5" w:rsidRPr="002F12E1" w14:paraId="0EA79B3E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0957F6E6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Institute for Oncology and Radiology of Serbia, Serbia</w:t>
            </w:r>
          </w:p>
        </w:tc>
      </w:tr>
      <w:tr w:rsidR="006562F5" w:rsidRPr="002F12E1" w14:paraId="19588F97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4EFB4A27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Clinical Center of Serbia, Serbia</w:t>
            </w:r>
          </w:p>
        </w:tc>
      </w:tr>
      <w:tr w:rsidR="006562F5" w:rsidRPr="002F12E1" w14:paraId="2EE9D4E5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75894A07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Clinical Hospital Center "Bezanijska Kosa", Serbia</w:t>
            </w:r>
          </w:p>
        </w:tc>
      </w:tr>
      <w:tr w:rsidR="006562F5" w:rsidRPr="002F12E1" w14:paraId="1F660F4E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5B9933D3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Hospital Provincial de Castellon, Spain</w:t>
            </w:r>
          </w:p>
        </w:tc>
      </w:tr>
      <w:tr w:rsidR="006562F5" w:rsidRPr="002F12E1" w14:paraId="439573BC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2965DB29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Hgu Gregorio Maranon, Spain</w:t>
            </w:r>
          </w:p>
        </w:tc>
      </w:tr>
      <w:tr w:rsidR="006562F5" w:rsidRPr="002F12E1" w14:paraId="41B7196C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5785C3D8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Hospital de la Santa Creu i Sant Pau, Spain</w:t>
            </w:r>
          </w:p>
        </w:tc>
      </w:tr>
      <w:tr w:rsidR="006562F5" w:rsidRPr="002F12E1" w14:paraId="32EFBC24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285729EA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Hospital Universitario Fundacion Jimenez Diaz, Spain</w:t>
            </w:r>
          </w:p>
        </w:tc>
      </w:tr>
      <w:tr w:rsidR="006562F5" w:rsidRPr="002F12E1" w14:paraId="66222A02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32118B85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H.U. Quirón Dexeus, Hospital Universitario, Quirón Dexeus, Spain</w:t>
            </w:r>
          </w:p>
        </w:tc>
      </w:tr>
      <w:tr w:rsidR="006562F5" w:rsidRPr="002F12E1" w14:paraId="23200BD0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47B26D83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 xml:space="preserve">Hospital Teresa Herrera, Xerencia de Xestión Integrada </w:t>
            </w:r>
            <w:proofErr w:type="gramStart"/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A</w:t>
            </w:r>
            <w:proofErr w:type="gramEnd"/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 xml:space="preserve"> Coruña, Spain</w:t>
            </w:r>
          </w:p>
        </w:tc>
      </w:tr>
      <w:tr w:rsidR="006562F5" w:rsidRPr="002F12E1" w14:paraId="738A3BD0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F720082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Dnipropetrovsk City Multispecialty Clinical Hospital #4, Dnipro, Ukraine</w:t>
            </w:r>
          </w:p>
        </w:tc>
      </w:tr>
      <w:tr w:rsidR="006562F5" w:rsidRPr="002F12E1" w14:paraId="503C7F24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19258A6F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Chernivtsi Regional Clinical Oncology Center, Chernivtsi, Ukraine</w:t>
            </w:r>
          </w:p>
        </w:tc>
      </w:tr>
      <w:tr w:rsidR="006562F5" w:rsidRPr="002F12E1" w14:paraId="13A87F1E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3BE67879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Volyn Regional Oncology Center, Lutsk, Ukraine</w:t>
            </w:r>
          </w:p>
        </w:tc>
      </w:tr>
      <w:tr w:rsidR="006562F5" w:rsidRPr="002F12E1" w14:paraId="17980A3A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42216E7A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Ternopil Regional Public Clinical Oncology Center, Ternopil, Ukraine</w:t>
            </w:r>
          </w:p>
        </w:tc>
      </w:tr>
      <w:tr w:rsidR="006562F5" w:rsidRPr="002F12E1" w14:paraId="5A83DA67" w14:textId="77777777" w:rsidTr="00193563">
        <w:trPr>
          <w:trHeight w:val="283"/>
        </w:trPr>
        <w:tc>
          <w:tcPr>
            <w:tcW w:w="9016" w:type="dxa"/>
            <w:vAlign w:val="center"/>
          </w:tcPr>
          <w:p w14:paraId="3ECD069F" w14:textId="77777777" w:rsidR="006562F5" w:rsidRPr="002F12E1" w:rsidRDefault="006562F5" w:rsidP="00193563">
            <w:pPr>
              <w:spacing w:line="360" w:lineRule="auto"/>
              <w:rPr>
                <w:rFonts w:cs="Arial"/>
                <w:color w:val="000000"/>
                <w:szCs w:val="20"/>
                <w:lang w:eastAsia="en-GB"/>
              </w:rPr>
            </w:pPr>
            <w:r w:rsidRPr="002F12E1">
              <w:rPr>
                <w:rFonts w:cs="Arial"/>
                <w:color w:val="000000"/>
                <w:szCs w:val="20"/>
                <w:lang w:val="en-GB" w:eastAsia="en-GB"/>
              </w:rPr>
              <w:t>Sumy Regional Clinical Oncology Center, Sumy, Ukraine</w:t>
            </w:r>
          </w:p>
        </w:tc>
      </w:tr>
    </w:tbl>
    <w:p w14:paraId="196275F6" w14:textId="77777777" w:rsidR="00972F56" w:rsidRDefault="00972F56" w:rsidP="00F1746E">
      <w:pPr>
        <w:spacing w:after="240" w:line="360" w:lineRule="auto"/>
        <w:rPr>
          <w:b/>
        </w:rPr>
      </w:pPr>
    </w:p>
    <w:p w14:paraId="7E7249B5" w14:textId="77777777" w:rsidR="007202F8" w:rsidRDefault="007202F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996EB5D" w14:textId="13D21B69" w:rsidR="00F1746E" w:rsidRPr="00860E1C" w:rsidRDefault="00F1746E" w:rsidP="00F1746E">
      <w:pPr>
        <w:spacing w:after="240" w:line="360" w:lineRule="auto"/>
        <w:rPr>
          <w:b/>
        </w:rPr>
      </w:pPr>
      <w:r w:rsidRPr="00860E1C">
        <w:rPr>
          <w:b/>
        </w:rPr>
        <w:lastRenderedPageBreak/>
        <w:t>Supplementary Methods</w:t>
      </w:r>
    </w:p>
    <w:p w14:paraId="4DD0051C" w14:textId="77777777" w:rsidR="00F1746E" w:rsidRPr="00860E1C" w:rsidRDefault="00F1746E" w:rsidP="00F1746E">
      <w:pPr>
        <w:rPr>
          <w:b/>
        </w:rPr>
      </w:pPr>
      <w:r w:rsidRPr="00860E1C">
        <w:t xml:space="preserve">Risk factor subgroups for </w:t>
      </w:r>
      <w:r>
        <w:t>febrile neutropenia (</w:t>
      </w:r>
      <w:r w:rsidRPr="00860E1C">
        <w:t>FN</w:t>
      </w:r>
      <w:r>
        <w:t>):</w:t>
      </w:r>
      <w:r w:rsidRPr="00860E1C">
        <w:t xml:space="preserve"> </w:t>
      </w:r>
    </w:p>
    <w:p w14:paraId="4060DC99" w14:textId="77777777" w:rsidR="00F1746E" w:rsidRPr="00860E1C" w:rsidRDefault="00F1746E" w:rsidP="00F1746E">
      <w:pPr>
        <w:pStyle w:val="ListParagraph"/>
        <w:numPr>
          <w:ilvl w:val="0"/>
          <w:numId w:val="2"/>
        </w:numPr>
      </w:pPr>
      <w:r w:rsidRPr="00860E1C">
        <w:t>Age ≥65</w:t>
      </w:r>
      <w:r>
        <w:t xml:space="preserve"> years</w:t>
      </w:r>
    </w:p>
    <w:p w14:paraId="5EFBBE6F" w14:textId="77777777" w:rsidR="00F1746E" w:rsidRPr="00860E1C" w:rsidRDefault="00F1746E" w:rsidP="00F1746E">
      <w:pPr>
        <w:pStyle w:val="ListParagraph"/>
        <w:numPr>
          <w:ilvl w:val="0"/>
          <w:numId w:val="2"/>
        </w:numPr>
      </w:pPr>
      <w:r w:rsidRPr="00860E1C">
        <w:t xml:space="preserve">Poor nutritional status </w:t>
      </w:r>
      <w:r>
        <w:t>(</w:t>
      </w:r>
      <w:r w:rsidRPr="00860E1C">
        <w:t xml:space="preserve">if baseline albumin </w:t>
      </w:r>
      <w:r>
        <w:t xml:space="preserve">is </w:t>
      </w:r>
      <w:r w:rsidRPr="00860E1C">
        <w:t>&lt;3.5 g/dL)</w:t>
      </w:r>
    </w:p>
    <w:p w14:paraId="7AC594E4" w14:textId="77777777" w:rsidR="00F1746E" w:rsidRPr="00860E1C" w:rsidRDefault="00F1746E" w:rsidP="00F1746E">
      <w:pPr>
        <w:pStyle w:val="ListParagraph"/>
        <w:numPr>
          <w:ilvl w:val="0"/>
          <w:numId w:val="2"/>
        </w:numPr>
      </w:pPr>
      <w:r w:rsidRPr="00860E1C">
        <w:t xml:space="preserve">Renal dysfunction </w:t>
      </w:r>
      <w:r>
        <w:t>(</w:t>
      </w:r>
      <w:r w:rsidRPr="00860E1C">
        <w:t xml:space="preserve">if any of the </w:t>
      </w:r>
      <w:r>
        <w:t>p</w:t>
      </w:r>
      <w:r w:rsidRPr="00860E1C">
        <w:t xml:space="preserve">referred </w:t>
      </w:r>
      <w:r>
        <w:t>t</w:t>
      </w:r>
      <w:r w:rsidRPr="00860E1C">
        <w:t>erm</w:t>
      </w:r>
      <w:r>
        <w:t>s</w:t>
      </w:r>
      <w:r w:rsidRPr="00860E1C">
        <w:t xml:space="preserve"> </w:t>
      </w:r>
      <w:r>
        <w:t>[</w:t>
      </w:r>
      <w:r w:rsidRPr="00860E1C">
        <w:t>PT</w:t>
      </w:r>
      <w:r>
        <w:t>s]</w:t>
      </w:r>
      <w:r w:rsidRPr="00860E1C">
        <w:t xml:space="preserve"> listed below</w:t>
      </w:r>
      <w:r>
        <w:t xml:space="preserve"> are </w:t>
      </w:r>
      <w:r w:rsidRPr="00860E1C">
        <w:t xml:space="preserve">present in </w:t>
      </w:r>
      <w:r>
        <w:t>m</w:t>
      </w:r>
      <w:r w:rsidRPr="00860E1C">
        <w:t xml:space="preserve">edical </w:t>
      </w:r>
      <w:r>
        <w:t>h</w:t>
      </w:r>
      <w:r w:rsidRPr="00860E1C">
        <w:t>istory</w:t>
      </w:r>
      <w:r>
        <w:t>)</w:t>
      </w:r>
    </w:p>
    <w:tbl>
      <w:tblPr>
        <w:tblStyle w:val="PlainTable4"/>
        <w:tblW w:w="0" w:type="auto"/>
        <w:tblLook w:val="0600" w:firstRow="0" w:lastRow="0" w:firstColumn="0" w:lastColumn="0" w:noHBand="1" w:noVBand="1"/>
      </w:tblPr>
      <w:tblGrid>
        <w:gridCol w:w="4508"/>
        <w:gridCol w:w="4508"/>
      </w:tblGrid>
      <w:tr w:rsidR="00F1746E" w:rsidRPr="00860E1C" w14:paraId="02DDE91E" w14:textId="77777777" w:rsidTr="00001BC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69A" w14:textId="77777777" w:rsidR="00F1746E" w:rsidRPr="00DB2371" w:rsidRDefault="00F1746E" w:rsidP="00001BC6">
            <w:pPr>
              <w:rPr>
                <w:rFonts w:cstheme="minorHAnsi"/>
                <w:b/>
              </w:rPr>
            </w:pPr>
            <w:r w:rsidRPr="00DB2371">
              <w:rPr>
                <w:rFonts w:cstheme="minorHAnsi"/>
                <w:b/>
              </w:rPr>
              <w:t xml:space="preserve">Category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2A85" w14:textId="77777777" w:rsidR="00F1746E" w:rsidRPr="00DB2371" w:rsidRDefault="00F1746E" w:rsidP="00001BC6">
            <w:pPr>
              <w:rPr>
                <w:rFonts w:cstheme="minorHAnsi"/>
                <w:b/>
              </w:rPr>
            </w:pPr>
            <w:r w:rsidRPr="00DB2371">
              <w:rPr>
                <w:rFonts w:cstheme="minorHAnsi"/>
                <w:b/>
              </w:rPr>
              <w:t>PTs</w:t>
            </w:r>
          </w:p>
        </w:tc>
      </w:tr>
      <w:tr w:rsidR="00F1746E" w:rsidRPr="00860E1C" w14:paraId="6CF49BF6" w14:textId="77777777" w:rsidTr="00001BC6"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4CB3D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Renal dysfunction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5A47F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Chronic kidney disease</w:t>
            </w:r>
          </w:p>
        </w:tc>
      </w:tr>
      <w:tr w:rsidR="00F1746E" w:rsidRPr="00860E1C" w14:paraId="7052903A" w14:textId="77777777" w:rsidTr="00001BC6"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7F1027EC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29D876CE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Diabetic end</w:t>
            </w:r>
            <w:r>
              <w:rPr>
                <w:rFonts w:cstheme="minorHAnsi"/>
              </w:rPr>
              <w:t>-</w:t>
            </w:r>
            <w:r w:rsidRPr="00860E1C">
              <w:rPr>
                <w:rFonts w:cstheme="minorHAnsi"/>
              </w:rPr>
              <w:t>stage renal disease</w:t>
            </w:r>
          </w:p>
        </w:tc>
      </w:tr>
      <w:tr w:rsidR="00F1746E" w:rsidRPr="00860E1C" w14:paraId="3E75638B" w14:textId="77777777" w:rsidTr="00001BC6"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2A7407A5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4056011C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End</w:t>
            </w:r>
            <w:r>
              <w:rPr>
                <w:rFonts w:cstheme="minorHAnsi"/>
              </w:rPr>
              <w:t>-</w:t>
            </w:r>
            <w:r w:rsidRPr="00860E1C">
              <w:rPr>
                <w:rFonts w:cstheme="minorHAnsi"/>
              </w:rPr>
              <w:t>stage renal disease</w:t>
            </w:r>
          </w:p>
        </w:tc>
      </w:tr>
      <w:tr w:rsidR="00F1746E" w:rsidRPr="00860E1C" w14:paraId="0938C1DC" w14:textId="77777777" w:rsidTr="00001BC6"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38789334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04B40537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Renal impairment</w:t>
            </w:r>
          </w:p>
        </w:tc>
      </w:tr>
      <w:tr w:rsidR="00F1746E" w:rsidRPr="00860E1C" w14:paraId="0440EE44" w14:textId="77777777" w:rsidTr="00001BC6"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6171D535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670D4C9C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Glomerulonephritis chronic</w:t>
            </w:r>
          </w:p>
        </w:tc>
      </w:tr>
      <w:tr w:rsidR="00F1746E" w:rsidRPr="00860E1C" w14:paraId="1A801470" w14:textId="77777777" w:rsidTr="00001BC6"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4A016844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3309D012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Chronic autoimmune glomerulonephritis</w:t>
            </w:r>
          </w:p>
        </w:tc>
      </w:tr>
      <w:tr w:rsidR="00F1746E" w:rsidRPr="00860E1C" w14:paraId="03335C01" w14:textId="77777777" w:rsidTr="00001BC6"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3E9CD49E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219599A0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Nephrosclerosis</w:t>
            </w:r>
          </w:p>
        </w:tc>
      </w:tr>
      <w:tr w:rsidR="00F1746E" w:rsidRPr="00860E1C" w14:paraId="6D322459" w14:textId="77777777" w:rsidTr="00001BC6"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645D53C6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6B63C2B9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Nephrotic syndrome</w:t>
            </w:r>
          </w:p>
        </w:tc>
      </w:tr>
      <w:tr w:rsidR="00F1746E" w:rsidRPr="00860E1C" w14:paraId="4181FF8C" w14:textId="77777777" w:rsidTr="00001BC6">
        <w:tc>
          <w:tcPr>
            <w:tcW w:w="4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4EF6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0B1B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Acute glomerulonephritis</w:t>
            </w:r>
          </w:p>
        </w:tc>
      </w:tr>
    </w:tbl>
    <w:p w14:paraId="333577B3" w14:textId="77777777" w:rsidR="00F1746E" w:rsidRPr="00860E1C" w:rsidRDefault="00F1746E" w:rsidP="00F1746E">
      <w:pPr>
        <w:pStyle w:val="ListParagraph"/>
        <w:numPr>
          <w:ilvl w:val="0"/>
          <w:numId w:val="1"/>
        </w:numPr>
        <w:spacing w:before="240" w:line="360" w:lineRule="auto"/>
        <w:ind w:left="714" w:hanging="357"/>
        <w:rPr>
          <w:rFonts w:cstheme="minorHAnsi"/>
        </w:rPr>
      </w:pPr>
      <w:r w:rsidRPr="00860E1C">
        <w:rPr>
          <w:rFonts w:cstheme="minorHAnsi"/>
        </w:rPr>
        <w:t xml:space="preserve">Cardiovascular disease </w:t>
      </w:r>
      <w:r>
        <w:rPr>
          <w:rFonts w:cstheme="minorHAnsi"/>
        </w:rPr>
        <w:t>(</w:t>
      </w:r>
      <w:r w:rsidRPr="00860E1C">
        <w:rPr>
          <w:rFonts w:cstheme="minorHAnsi"/>
        </w:rPr>
        <w:t xml:space="preserve">if any of the following </w:t>
      </w:r>
      <w:r>
        <w:rPr>
          <w:rFonts w:cstheme="minorHAnsi"/>
        </w:rPr>
        <w:t>h</w:t>
      </w:r>
      <w:r w:rsidRPr="00860E1C">
        <w:rPr>
          <w:rFonts w:cstheme="minorHAnsi"/>
        </w:rPr>
        <w:t>igh-</w:t>
      </w:r>
      <w:r>
        <w:rPr>
          <w:rFonts w:cstheme="minorHAnsi"/>
        </w:rPr>
        <w:t>l</w:t>
      </w:r>
      <w:r w:rsidRPr="00860E1C">
        <w:rPr>
          <w:rFonts w:cstheme="minorHAnsi"/>
        </w:rPr>
        <w:t xml:space="preserve">evel </w:t>
      </w:r>
      <w:r>
        <w:rPr>
          <w:rFonts w:cstheme="minorHAnsi"/>
        </w:rPr>
        <w:t>t</w:t>
      </w:r>
      <w:r w:rsidRPr="00860E1C">
        <w:rPr>
          <w:rFonts w:cstheme="minorHAnsi"/>
        </w:rPr>
        <w:t xml:space="preserve">erms </w:t>
      </w:r>
      <w:r>
        <w:rPr>
          <w:rFonts w:cstheme="minorHAnsi"/>
        </w:rPr>
        <w:t>[</w:t>
      </w:r>
      <w:r w:rsidRPr="00860E1C">
        <w:rPr>
          <w:rFonts w:cstheme="minorHAnsi"/>
        </w:rPr>
        <w:t>HLTs</w:t>
      </w:r>
      <w:r>
        <w:rPr>
          <w:rFonts w:cstheme="minorHAnsi"/>
        </w:rPr>
        <w:t>] are</w:t>
      </w:r>
      <w:r w:rsidRPr="00860E1C">
        <w:rPr>
          <w:rFonts w:cstheme="minorHAnsi"/>
        </w:rPr>
        <w:t xml:space="preserve"> present in medical history</w:t>
      </w:r>
      <w:r>
        <w:rPr>
          <w:rFonts w:cstheme="minorHAnsi"/>
        </w:rPr>
        <w:t>)</w:t>
      </w:r>
    </w:p>
    <w:tbl>
      <w:tblPr>
        <w:tblStyle w:val="PlainTable4"/>
        <w:tblW w:w="0" w:type="auto"/>
        <w:tblLook w:val="0600" w:firstRow="0" w:lastRow="0" w:firstColumn="0" w:lastColumn="0" w:noHBand="1" w:noVBand="1"/>
      </w:tblPr>
      <w:tblGrid>
        <w:gridCol w:w="4508"/>
        <w:gridCol w:w="4508"/>
      </w:tblGrid>
      <w:tr w:rsidR="00F1746E" w:rsidRPr="00860E1C" w14:paraId="28456A19" w14:textId="77777777" w:rsidTr="00001BC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DFB3" w14:textId="77777777" w:rsidR="00F1746E" w:rsidRPr="00DB2371" w:rsidRDefault="00F1746E" w:rsidP="00001BC6">
            <w:pPr>
              <w:rPr>
                <w:rFonts w:cstheme="minorHAnsi"/>
                <w:b/>
              </w:rPr>
            </w:pPr>
            <w:r w:rsidRPr="00DB2371">
              <w:rPr>
                <w:rFonts w:cstheme="minorHAnsi"/>
                <w:b/>
              </w:rPr>
              <w:t xml:space="preserve">Category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AF6B" w14:textId="77777777" w:rsidR="00F1746E" w:rsidRPr="00DB2371" w:rsidRDefault="00F1746E" w:rsidP="00001BC6">
            <w:pPr>
              <w:rPr>
                <w:rFonts w:cstheme="minorHAnsi"/>
                <w:b/>
              </w:rPr>
            </w:pPr>
            <w:r w:rsidRPr="00DB2371">
              <w:rPr>
                <w:rFonts w:cstheme="minorHAnsi"/>
                <w:b/>
              </w:rPr>
              <w:t>HLTs</w:t>
            </w:r>
          </w:p>
        </w:tc>
      </w:tr>
      <w:tr w:rsidR="00F1746E" w:rsidRPr="00860E1C" w14:paraId="714C28B9" w14:textId="77777777" w:rsidTr="00001BC6"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40CD7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Cardiovascular disease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D39B8" w14:textId="77777777" w:rsidR="00F1746E" w:rsidRPr="00860E1C" w:rsidRDefault="00F1746E" w:rsidP="00001BC6">
            <w:pPr>
              <w:rPr>
                <w:rFonts w:cstheme="minorHAnsi"/>
              </w:rPr>
            </w:pPr>
            <w:bookmarkStart w:id="0" w:name="_Hlk57797844"/>
            <w:r w:rsidRPr="00860E1C">
              <w:rPr>
                <w:rFonts w:cstheme="minorHAnsi"/>
              </w:rPr>
              <w:t xml:space="preserve">Heart failure </w:t>
            </w:r>
            <w:r w:rsidRPr="00506CE4">
              <w:rPr>
                <w:rFonts w:cstheme="minorHAnsi"/>
              </w:rPr>
              <w:t>necrotizing enterocolitis</w:t>
            </w:r>
            <w:bookmarkEnd w:id="0"/>
          </w:p>
        </w:tc>
      </w:tr>
      <w:tr w:rsidR="00F1746E" w:rsidRPr="00860E1C" w14:paraId="343D0F14" w14:textId="77777777" w:rsidTr="00001BC6"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11C33C18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09E51401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Left ventricular failure</w:t>
            </w:r>
          </w:p>
        </w:tc>
      </w:tr>
      <w:tr w:rsidR="00F1746E" w:rsidRPr="00860E1C" w14:paraId="3D2A10DB" w14:textId="77777777" w:rsidTr="00001BC6"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25784C42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1312393A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Right ventricular failure</w:t>
            </w:r>
          </w:p>
        </w:tc>
      </w:tr>
      <w:tr w:rsidR="00F1746E" w:rsidRPr="00860E1C" w14:paraId="0BC4C3D1" w14:textId="77777777" w:rsidTr="00001BC6"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11D57089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left w:val="single" w:sz="4" w:space="0" w:color="auto"/>
              <w:right w:val="single" w:sz="4" w:space="0" w:color="auto"/>
            </w:tcBorders>
          </w:tcPr>
          <w:p w14:paraId="444AFC7B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Ischemic coronary artery disorders</w:t>
            </w:r>
          </w:p>
        </w:tc>
      </w:tr>
      <w:tr w:rsidR="00F1746E" w:rsidRPr="00860E1C" w14:paraId="6A063500" w14:textId="77777777" w:rsidTr="00001BC6">
        <w:tc>
          <w:tcPr>
            <w:tcW w:w="4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732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A79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Coronary necrosis and vascular insufficiency</w:t>
            </w:r>
          </w:p>
        </w:tc>
      </w:tr>
    </w:tbl>
    <w:p w14:paraId="0B2C1ED1" w14:textId="77777777" w:rsidR="00F1746E" w:rsidRPr="00860E1C" w:rsidRDefault="00F1746E" w:rsidP="00F1746E">
      <w:pPr>
        <w:pStyle w:val="ListParagraph"/>
        <w:pageBreakBefore/>
        <w:numPr>
          <w:ilvl w:val="0"/>
          <w:numId w:val="1"/>
        </w:numPr>
        <w:spacing w:line="360" w:lineRule="auto"/>
        <w:ind w:left="714" w:hanging="357"/>
        <w:rPr>
          <w:rFonts w:cstheme="minorHAnsi"/>
        </w:rPr>
      </w:pPr>
      <w:r w:rsidRPr="00860E1C">
        <w:rPr>
          <w:rFonts w:cstheme="minorHAnsi"/>
        </w:rPr>
        <w:lastRenderedPageBreak/>
        <w:t xml:space="preserve">Multiple comorbid conditions </w:t>
      </w:r>
      <w:r>
        <w:rPr>
          <w:rFonts w:cstheme="minorHAnsi"/>
        </w:rPr>
        <w:t>(</w:t>
      </w:r>
      <w:r w:rsidRPr="00860E1C">
        <w:rPr>
          <w:rFonts w:cstheme="minorHAnsi"/>
        </w:rPr>
        <w:t xml:space="preserve">if any of the following terms </w:t>
      </w:r>
      <w:r>
        <w:rPr>
          <w:rFonts w:cstheme="minorHAnsi"/>
        </w:rPr>
        <w:t>[</w:t>
      </w:r>
      <w:r w:rsidRPr="00860E1C">
        <w:rPr>
          <w:rFonts w:cstheme="minorHAnsi"/>
        </w:rPr>
        <w:t>HLT or PT</w:t>
      </w:r>
      <w:r>
        <w:rPr>
          <w:rFonts w:cstheme="minorHAnsi"/>
        </w:rPr>
        <w:t>] are</w:t>
      </w:r>
      <w:r w:rsidRPr="00860E1C">
        <w:rPr>
          <w:rFonts w:cstheme="minorHAnsi"/>
        </w:rPr>
        <w:t xml:space="preserve"> presen</w:t>
      </w:r>
      <w:r>
        <w:rPr>
          <w:rFonts w:cstheme="minorHAnsi"/>
        </w:rPr>
        <w:t>t</w:t>
      </w:r>
      <w:r w:rsidRPr="00860E1C">
        <w:rPr>
          <w:rFonts w:cstheme="minorHAnsi"/>
        </w:rPr>
        <w:t xml:space="preserve"> in medical history</w:t>
      </w:r>
      <w:r>
        <w:rPr>
          <w:rFonts w:cstheme="minorHAnsi"/>
        </w:rPr>
        <w:t>)</w:t>
      </w:r>
    </w:p>
    <w:tbl>
      <w:tblPr>
        <w:tblStyle w:val="PlainTable4"/>
        <w:tblW w:w="0" w:type="auto"/>
        <w:tblLook w:val="0600" w:firstRow="0" w:lastRow="0" w:firstColumn="0" w:lastColumn="0" w:noHBand="1" w:noVBand="1"/>
      </w:tblPr>
      <w:tblGrid>
        <w:gridCol w:w="3119"/>
        <w:gridCol w:w="5897"/>
      </w:tblGrid>
      <w:tr w:rsidR="00F1746E" w:rsidRPr="00860E1C" w14:paraId="237450FB" w14:textId="77777777" w:rsidTr="00001BC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EBED" w14:textId="77777777" w:rsidR="00F1746E" w:rsidRPr="00DB2371" w:rsidRDefault="00F1746E" w:rsidP="00001BC6">
            <w:pPr>
              <w:rPr>
                <w:rFonts w:cstheme="minorHAnsi"/>
                <w:b/>
              </w:rPr>
            </w:pPr>
            <w:r w:rsidRPr="00DB2371">
              <w:rPr>
                <w:rFonts w:cstheme="minorHAnsi"/>
                <w:b/>
              </w:rPr>
              <w:t xml:space="preserve">Category 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F2F" w14:textId="77777777" w:rsidR="00F1746E" w:rsidRPr="00DB2371" w:rsidRDefault="00F1746E" w:rsidP="00001BC6">
            <w:pPr>
              <w:rPr>
                <w:rFonts w:cstheme="minorHAnsi"/>
                <w:b/>
              </w:rPr>
            </w:pPr>
            <w:r w:rsidRPr="00DB2371">
              <w:rPr>
                <w:rFonts w:cstheme="minorHAnsi"/>
                <w:b/>
              </w:rPr>
              <w:t>PTs</w:t>
            </w:r>
          </w:p>
        </w:tc>
      </w:tr>
      <w:tr w:rsidR="00F1746E" w:rsidRPr="00860E1C" w14:paraId="2C915BB5" w14:textId="77777777" w:rsidTr="00001BC6"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37E08" w14:textId="77777777" w:rsidR="00F1746E" w:rsidRPr="00860E1C" w:rsidRDefault="00F1746E" w:rsidP="00001BC6">
            <w:pPr>
              <w:tabs>
                <w:tab w:val="left" w:pos="910"/>
              </w:tabs>
              <w:rPr>
                <w:rFonts w:cstheme="minorHAnsi"/>
              </w:rPr>
            </w:pPr>
            <w:r w:rsidRPr="00860E1C">
              <w:rPr>
                <w:rFonts w:cstheme="minorHAnsi"/>
              </w:rPr>
              <w:t>Multiple comorbid conditions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6D25E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Chronic kidney disease</w:t>
            </w:r>
          </w:p>
        </w:tc>
      </w:tr>
      <w:tr w:rsidR="00F1746E" w:rsidRPr="00860E1C" w14:paraId="1DFD00CA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F77F662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18340052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Diabetic end</w:t>
            </w:r>
            <w:r>
              <w:rPr>
                <w:rFonts w:cstheme="minorHAnsi"/>
              </w:rPr>
              <w:t>-</w:t>
            </w:r>
            <w:r w:rsidRPr="00860E1C">
              <w:rPr>
                <w:rFonts w:cstheme="minorHAnsi"/>
              </w:rPr>
              <w:t>stage renal disease</w:t>
            </w:r>
          </w:p>
        </w:tc>
      </w:tr>
      <w:tr w:rsidR="00F1746E" w:rsidRPr="00860E1C" w14:paraId="1C0A0776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E14054D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311C0C20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End</w:t>
            </w:r>
            <w:r>
              <w:rPr>
                <w:rFonts w:cstheme="minorHAnsi"/>
              </w:rPr>
              <w:t>-</w:t>
            </w:r>
            <w:r w:rsidRPr="00860E1C">
              <w:rPr>
                <w:rFonts w:cstheme="minorHAnsi"/>
              </w:rPr>
              <w:t>stage renal disease</w:t>
            </w:r>
          </w:p>
        </w:tc>
      </w:tr>
      <w:tr w:rsidR="00F1746E" w:rsidRPr="00860E1C" w14:paraId="04724B26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7CCF98E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1D8EA590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Renal impairment</w:t>
            </w:r>
          </w:p>
        </w:tc>
      </w:tr>
      <w:tr w:rsidR="00F1746E" w:rsidRPr="00860E1C" w14:paraId="174CE93A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FB9AF5F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01899CB1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Glomerulonephritis chronic</w:t>
            </w:r>
          </w:p>
        </w:tc>
      </w:tr>
      <w:tr w:rsidR="00F1746E" w:rsidRPr="00860E1C" w14:paraId="2EA5D614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C9C0F03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09F8F398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Chronic autoimmune glomerulonephritis</w:t>
            </w:r>
          </w:p>
        </w:tc>
      </w:tr>
      <w:tr w:rsidR="00F1746E" w:rsidRPr="00860E1C" w14:paraId="3D884B3B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B127829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7E988DE3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Nephrosclerosis</w:t>
            </w:r>
          </w:p>
        </w:tc>
      </w:tr>
      <w:tr w:rsidR="00F1746E" w:rsidRPr="00860E1C" w14:paraId="26E9BCA4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0BAE363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0CB21559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Nephrotic syndrome</w:t>
            </w:r>
          </w:p>
        </w:tc>
      </w:tr>
      <w:tr w:rsidR="00F1746E" w:rsidRPr="00860E1C" w14:paraId="33BED9FA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FF6BA17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674DEE60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Acute glomerulonephritis</w:t>
            </w:r>
          </w:p>
        </w:tc>
      </w:tr>
      <w:tr w:rsidR="00F1746E" w:rsidRPr="00860E1C" w14:paraId="758EDB6C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BBD2463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6229B843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Osteoarthritis</w:t>
            </w:r>
          </w:p>
        </w:tc>
      </w:tr>
      <w:tr w:rsidR="00F1746E" w:rsidRPr="00860E1C" w14:paraId="46365CEC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484AC75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70D8BF78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Bronchitis chronic</w:t>
            </w:r>
          </w:p>
        </w:tc>
      </w:tr>
      <w:tr w:rsidR="00F1746E" w:rsidRPr="00860E1C" w14:paraId="6B89744B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E97AD2A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0BDAFF86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Chronic obstructive pulmonary disease</w:t>
            </w:r>
          </w:p>
        </w:tc>
      </w:tr>
      <w:tr w:rsidR="00F1746E" w:rsidRPr="00860E1C" w14:paraId="0FE9CC1F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33F5F6E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013CADF2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Asthma – chronic obstructive pulmonary disease overlap syndrome</w:t>
            </w:r>
          </w:p>
        </w:tc>
      </w:tr>
      <w:tr w:rsidR="00F1746E" w:rsidRPr="00860E1C" w14:paraId="08B3CE26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7488560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5431771F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Emphysema</w:t>
            </w:r>
          </w:p>
        </w:tc>
      </w:tr>
      <w:tr w:rsidR="00F1746E" w:rsidRPr="00860E1C" w14:paraId="6FE3315E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4F8368F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7151F2F9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Asthma</w:t>
            </w:r>
          </w:p>
        </w:tc>
      </w:tr>
      <w:tr w:rsidR="00F1746E" w:rsidRPr="00860E1C" w14:paraId="260ED999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9E9C72D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188AF612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Bronchiectasis</w:t>
            </w:r>
          </w:p>
        </w:tc>
      </w:tr>
      <w:tr w:rsidR="00F1746E" w:rsidRPr="00860E1C" w14:paraId="12C06A14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2BE79E2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00568888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Autoimmune colitis</w:t>
            </w:r>
          </w:p>
        </w:tc>
      </w:tr>
      <w:tr w:rsidR="00F1746E" w:rsidRPr="00860E1C" w14:paraId="621AC86A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AB23C3B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22BDB022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Crohn’s disease</w:t>
            </w:r>
          </w:p>
        </w:tc>
      </w:tr>
      <w:tr w:rsidR="00F1746E" w:rsidRPr="00860E1C" w14:paraId="0D4128CF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8876FF6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3EDF07F5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Colitis ulcerative</w:t>
            </w:r>
          </w:p>
        </w:tc>
      </w:tr>
      <w:tr w:rsidR="00F1746E" w:rsidRPr="00860E1C" w14:paraId="43CDB9E6" w14:textId="77777777" w:rsidTr="00001BC6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48C5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08D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Multiple sclerosis</w:t>
            </w:r>
          </w:p>
        </w:tc>
      </w:tr>
      <w:tr w:rsidR="00F1746E" w:rsidRPr="00860E1C" w14:paraId="220C1B10" w14:textId="77777777" w:rsidTr="00001BC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7CE1" w14:textId="77777777" w:rsidR="00F1746E" w:rsidRPr="00470ADA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2CA" w14:textId="77777777" w:rsidR="00F1746E" w:rsidRPr="00DB2371" w:rsidRDefault="00F1746E" w:rsidP="00001BC6">
            <w:pPr>
              <w:rPr>
                <w:rFonts w:cstheme="minorHAnsi"/>
                <w:b/>
              </w:rPr>
            </w:pPr>
            <w:r w:rsidRPr="00DB2371">
              <w:rPr>
                <w:rFonts w:cstheme="minorHAnsi"/>
                <w:b/>
              </w:rPr>
              <w:t>HLTs</w:t>
            </w:r>
          </w:p>
        </w:tc>
      </w:tr>
      <w:tr w:rsidR="00F1746E" w:rsidRPr="00860E1C" w14:paraId="37425B64" w14:textId="77777777" w:rsidTr="00001BC6"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6F9D2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AD24C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 xml:space="preserve">Heart failure </w:t>
            </w:r>
            <w:r w:rsidRPr="00506CE4">
              <w:rPr>
                <w:rFonts w:cstheme="minorHAnsi"/>
              </w:rPr>
              <w:t>necrotizing enterocolitis</w:t>
            </w:r>
          </w:p>
        </w:tc>
      </w:tr>
      <w:tr w:rsidR="00F1746E" w:rsidRPr="00860E1C" w14:paraId="5AF468CA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7B8E47F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5B22A3D7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Left ventricular failure</w:t>
            </w:r>
          </w:p>
        </w:tc>
      </w:tr>
      <w:tr w:rsidR="00F1746E" w:rsidRPr="00860E1C" w14:paraId="6716DEA6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D64E69F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52F0486A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Right ventricular failure</w:t>
            </w:r>
          </w:p>
        </w:tc>
      </w:tr>
      <w:tr w:rsidR="00F1746E" w:rsidRPr="00860E1C" w14:paraId="22B86A01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36885D4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0BE31C11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Ischemic coronary artery disorders</w:t>
            </w:r>
          </w:p>
        </w:tc>
      </w:tr>
      <w:tr w:rsidR="00F1746E" w:rsidRPr="00860E1C" w14:paraId="5DF7E966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7C77A30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5AA74466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Coronary necrosis and vascular insufficiency</w:t>
            </w:r>
          </w:p>
        </w:tc>
      </w:tr>
      <w:tr w:rsidR="00F1746E" w:rsidRPr="00860E1C" w14:paraId="5547B828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AC1E0EC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4ADE82AB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Lupus erythematosus and associated</w:t>
            </w:r>
            <w:r>
              <w:rPr>
                <w:rFonts w:cstheme="minorHAnsi"/>
              </w:rPr>
              <w:t xml:space="preserve"> </w:t>
            </w:r>
            <w:r w:rsidRPr="00860E1C">
              <w:rPr>
                <w:rFonts w:cstheme="minorHAnsi"/>
              </w:rPr>
              <w:t>conditions</w:t>
            </w:r>
          </w:p>
        </w:tc>
      </w:tr>
      <w:tr w:rsidR="00F1746E" w:rsidRPr="00860E1C" w14:paraId="199F7AC3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B70AECC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6CEEA0E6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Lupus erythematosus (incl</w:t>
            </w:r>
            <w:r>
              <w:rPr>
                <w:rFonts w:cstheme="minorHAnsi"/>
              </w:rPr>
              <w:t>uding</w:t>
            </w:r>
            <w:r w:rsidRPr="00860E1C">
              <w:rPr>
                <w:rFonts w:cstheme="minorHAnsi"/>
              </w:rPr>
              <w:t xml:space="preserve"> subtypes)</w:t>
            </w:r>
          </w:p>
        </w:tc>
      </w:tr>
      <w:tr w:rsidR="00F1746E" w:rsidRPr="00860E1C" w14:paraId="356383EB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6355133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1678DA83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Multiple sclerosis acute and progressive</w:t>
            </w:r>
          </w:p>
        </w:tc>
      </w:tr>
      <w:tr w:rsidR="00F1746E" w:rsidRPr="00860E1C" w14:paraId="3721FE6B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5C8AE47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3ED2C6D0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Duodenal ulcers and perforation</w:t>
            </w:r>
          </w:p>
        </w:tc>
      </w:tr>
      <w:tr w:rsidR="00F1746E" w:rsidRPr="00860E1C" w14:paraId="46B6826B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E2A1515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1F7781AD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Gastric ulcers and perforation</w:t>
            </w:r>
          </w:p>
        </w:tc>
      </w:tr>
      <w:tr w:rsidR="00F1746E" w:rsidRPr="00860E1C" w14:paraId="5954D402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2B62207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00445A9C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Peptic ulcers and perforation</w:t>
            </w:r>
          </w:p>
        </w:tc>
      </w:tr>
      <w:tr w:rsidR="00F1746E" w:rsidRPr="00860E1C" w14:paraId="4D42A706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656398E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54EAC2DE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Acute and chronic thyroiditis</w:t>
            </w:r>
          </w:p>
        </w:tc>
      </w:tr>
      <w:tr w:rsidR="00F1746E" w:rsidRPr="00860E1C" w14:paraId="6A77A560" w14:textId="77777777" w:rsidTr="00001BC6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10E6BFF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right w:val="single" w:sz="4" w:space="0" w:color="auto"/>
            </w:tcBorders>
          </w:tcPr>
          <w:p w14:paraId="7151CECE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Thyroid hypofunction disorders</w:t>
            </w:r>
          </w:p>
        </w:tc>
      </w:tr>
      <w:tr w:rsidR="00F1746E" w:rsidRPr="00860E1C" w14:paraId="4A70EE33" w14:textId="77777777" w:rsidTr="00001BC6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D7D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5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6052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Thyroid hyperfunction disorders</w:t>
            </w:r>
          </w:p>
        </w:tc>
      </w:tr>
    </w:tbl>
    <w:p w14:paraId="696EEE25" w14:textId="77777777" w:rsidR="00F1746E" w:rsidRPr="00860E1C" w:rsidRDefault="00F1746E" w:rsidP="00F1746E">
      <w:pPr>
        <w:pStyle w:val="ListParagraph"/>
        <w:numPr>
          <w:ilvl w:val="0"/>
          <w:numId w:val="1"/>
        </w:numPr>
        <w:spacing w:before="240" w:line="360" w:lineRule="auto"/>
        <w:ind w:left="714" w:hanging="357"/>
        <w:rPr>
          <w:rFonts w:cstheme="minorHAnsi"/>
        </w:rPr>
      </w:pPr>
      <w:r w:rsidRPr="00860E1C">
        <w:rPr>
          <w:rFonts w:cstheme="minorHAnsi"/>
        </w:rPr>
        <w:t xml:space="preserve">For patients enrolled in </w:t>
      </w:r>
      <w:r>
        <w:rPr>
          <w:rFonts w:cstheme="minorHAnsi"/>
        </w:rPr>
        <w:t>s</w:t>
      </w:r>
      <w:r w:rsidRPr="00860E1C">
        <w:rPr>
          <w:rFonts w:cstheme="minorHAnsi"/>
        </w:rPr>
        <w:t xml:space="preserve">tudy G1T28-03, an additional factor related to the risk of FN is identified as previous cytotoxic chemotherapy (defined by any of the following prior </w:t>
      </w:r>
      <w:r>
        <w:rPr>
          <w:rFonts w:cstheme="minorHAnsi"/>
        </w:rPr>
        <w:t>small cell lung cancer</w:t>
      </w:r>
      <w:r w:rsidRPr="00860E1C">
        <w:rPr>
          <w:rFonts w:cstheme="minorHAnsi"/>
        </w:rPr>
        <w:t xml:space="preserve"> therapies coded by </w:t>
      </w:r>
      <w:r>
        <w:rPr>
          <w:rFonts w:cstheme="minorHAnsi"/>
        </w:rPr>
        <w:t>World Health Organization Drug Dictionary</w:t>
      </w:r>
      <w:r w:rsidRPr="00860E1C">
        <w:rPr>
          <w:rFonts w:cstheme="minorHAnsi"/>
        </w:rPr>
        <w:t xml:space="preserve"> </w:t>
      </w:r>
      <w:r>
        <w:rPr>
          <w:rFonts w:cstheme="minorHAnsi"/>
        </w:rPr>
        <w:t xml:space="preserve">[WHO-DD] </w:t>
      </w:r>
      <w:r w:rsidRPr="00860E1C">
        <w:rPr>
          <w:rFonts w:cstheme="minorHAnsi"/>
        </w:rPr>
        <w:t>preferred names)</w:t>
      </w:r>
    </w:p>
    <w:tbl>
      <w:tblPr>
        <w:tblStyle w:val="PlainTabl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508"/>
        <w:gridCol w:w="4508"/>
      </w:tblGrid>
      <w:tr w:rsidR="00F1746E" w:rsidRPr="000F3E36" w14:paraId="53FD709B" w14:textId="77777777" w:rsidTr="00001BC6">
        <w:trPr>
          <w:trHeight w:val="367"/>
        </w:trPr>
        <w:tc>
          <w:tcPr>
            <w:tcW w:w="4508" w:type="dxa"/>
            <w:tcBorders>
              <w:bottom w:val="single" w:sz="4" w:space="0" w:color="auto"/>
            </w:tcBorders>
          </w:tcPr>
          <w:p w14:paraId="5FB2F68D" w14:textId="77777777" w:rsidR="00F1746E" w:rsidRPr="00FD044E" w:rsidRDefault="00F1746E" w:rsidP="00001BC6">
            <w:pPr>
              <w:rPr>
                <w:rFonts w:cstheme="minorHAnsi"/>
                <w:b/>
              </w:rPr>
            </w:pPr>
            <w:r w:rsidRPr="00FD044E">
              <w:rPr>
                <w:rFonts w:cstheme="minorHAnsi"/>
                <w:b/>
              </w:rPr>
              <w:t xml:space="preserve">Category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FA97BC0" w14:textId="77777777" w:rsidR="00F1746E" w:rsidRPr="00FD044E" w:rsidRDefault="00F1746E" w:rsidP="00001BC6">
            <w:pPr>
              <w:rPr>
                <w:rFonts w:cstheme="minorHAnsi"/>
                <w:b/>
              </w:rPr>
            </w:pPr>
            <w:r w:rsidRPr="00FD044E">
              <w:rPr>
                <w:rFonts w:cstheme="minorHAnsi"/>
                <w:b/>
              </w:rPr>
              <w:t>WHO-DD Preferred Names</w:t>
            </w:r>
          </w:p>
        </w:tc>
      </w:tr>
      <w:tr w:rsidR="00F1746E" w:rsidRPr="00860E1C" w14:paraId="01976280" w14:textId="77777777" w:rsidTr="00001BC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5CDE4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Previous cytotoxic chemotherapy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866A9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Carboplatin</w:t>
            </w:r>
          </w:p>
        </w:tc>
      </w:tr>
      <w:tr w:rsidR="00F1746E" w:rsidRPr="00860E1C" w14:paraId="5556E36A" w14:textId="77777777" w:rsidTr="00001BC6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A7AC7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4F990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Cisplatin</w:t>
            </w:r>
          </w:p>
        </w:tc>
      </w:tr>
      <w:tr w:rsidR="00F1746E" w:rsidRPr="00860E1C" w14:paraId="72297104" w14:textId="77777777" w:rsidTr="00001BC6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F306E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1940C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Cyclophosphamide</w:t>
            </w:r>
          </w:p>
        </w:tc>
      </w:tr>
      <w:tr w:rsidR="00F1746E" w:rsidRPr="00860E1C" w14:paraId="6C38B20F" w14:textId="77777777" w:rsidTr="00001BC6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197E5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D0654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Doxorubicin</w:t>
            </w:r>
          </w:p>
        </w:tc>
      </w:tr>
      <w:tr w:rsidR="00F1746E" w:rsidRPr="00860E1C" w14:paraId="37F6845C" w14:textId="77777777" w:rsidTr="00001BC6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3D8DE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39A62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Etoposide</w:t>
            </w:r>
          </w:p>
        </w:tc>
      </w:tr>
      <w:tr w:rsidR="00F1746E" w:rsidRPr="00860E1C" w14:paraId="110A34F1" w14:textId="77777777" w:rsidTr="00001BC6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08056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81E96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Irinotecan</w:t>
            </w:r>
          </w:p>
        </w:tc>
      </w:tr>
      <w:tr w:rsidR="00F1746E" w:rsidRPr="00860E1C" w14:paraId="4B8B38A9" w14:textId="77777777" w:rsidTr="00001BC6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DA9DD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A527B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Lurbinectedin</w:t>
            </w:r>
          </w:p>
        </w:tc>
      </w:tr>
      <w:tr w:rsidR="00F1746E" w:rsidRPr="00860E1C" w14:paraId="118ABF6E" w14:textId="77777777" w:rsidTr="00001BC6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98E87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9070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Platinum</w:t>
            </w:r>
          </w:p>
        </w:tc>
      </w:tr>
      <w:tr w:rsidR="00F1746E" w:rsidRPr="00860E1C" w14:paraId="2B54C5F4" w14:textId="77777777" w:rsidTr="00001BC6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E8EEB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D8A6F" w14:textId="77777777" w:rsidR="00F1746E" w:rsidRPr="00860E1C" w:rsidRDefault="00F1746E" w:rsidP="00001BC6">
            <w:pPr>
              <w:rPr>
                <w:rFonts w:cstheme="minorHAnsi"/>
              </w:rPr>
            </w:pPr>
            <w:proofErr w:type="spellStart"/>
            <w:r w:rsidRPr="00860E1C">
              <w:rPr>
                <w:rFonts w:cstheme="minorHAnsi"/>
              </w:rPr>
              <w:t>Prexasertib</w:t>
            </w:r>
            <w:proofErr w:type="spellEnd"/>
          </w:p>
        </w:tc>
      </w:tr>
      <w:tr w:rsidR="00F1746E" w:rsidRPr="00860E1C" w14:paraId="52DA5205" w14:textId="77777777" w:rsidTr="00001BC6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ADE68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32188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Veliparib</w:t>
            </w:r>
          </w:p>
        </w:tc>
      </w:tr>
      <w:tr w:rsidR="00F1746E" w:rsidRPr="00860E1C" w14:paraId="2EDA5295" w14:textId="77777777" w:rsidTr="00001BC6"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6E13" w14:textId="77777777" w:rsidR="00F1746E" w:rsidRPr="00860E1C" w:rsidRDefault="00F1746E" w:rsidP="00001BC6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3BA" w14:textId="77777777" w:rsidR="00F1746E" w:rsidRPr="00860E1C" w:rsidRDefault="00F1746E" w:rsidP="00001BC6">
            <w:pPr>
              <w:rPr>
                <w:rFonts w:cstheme="minorHAnsi"/>
              </w:rPr>
            </w:pPr>
            <w:r w:rsidRPr="00860E1C">
              <w:rPr>
                <w:rFonts w:cstheme="minorHAnsi"/>
              </w:rPr>
              <w:t>Vincristine</w:t>
            </w:r>
          </w:p>
        </w:tc>
      </w:tr>
    </w:tbl>
    <w:p w14:paraId="089EFA12" w14:textId="77777777" w:rsidR="00F1746E" w:rsidRDefault="00F1746E" w:rsidP="00F1746E">
      <w:pPr>
        <w:rPr>
          <w:b/>
        </w:rPr>
      </w:pPr>
    </w:p>
    <w:p w14:paraId="55EC3325" w14:textId="77777777" w:rsidR="00D1051D" w:rsidRDefault="001A1731"/>
    <w:sectPr w:rsidR="00D10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A2E74"/>
    <w:multiLevelType w:val="hybridMultilevel"/>
    <w:tmpl w:val="5D1C5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086E"/>
    <w:multiLevelType w:val="hybridMultilevel"/>
    <w:tmpl w:val="45DE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6E"/>
    <w:rsid w:val="000D5D0C"/>
    <w:rsid w:val="001A1731"/>
    <w:rsid w:val="0027205F"/>
    <w:rsid w:val="002E3884"/>
    <w:rsid w:val="003A5326"/>
    <w:rsid w:val="0042195D"/>
    <w:rsid w:val="004D63EB"/>
    <w:rsid w:val="00510DB4"/>
    <w:rsid w:val="00514891"/>
    <w:rsid w:val="005B6D8A"/>
    <w:rsid w:val="005E5529"/>
    <w:rsid w:val="00636716"/>
    <w:rsid w:val="006562F5"/>
    <w:rsid w:val="007202F8"/>
    <w:rsid w:val="008C0C68"/>
    <w:rsid w:val="00972F56"/>
    <w:rsid w:val="00A635EB"/>
    <w:rsid w:val="00E74B88"/>
    <w:rsid w:val="00F1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9920"/>
  <w15:chartTrackingRefBased/>
  <w15:docId w15:val="{CC351A94-8232-4C0D-ACA7-B7D8C289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46E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1746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746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F1746E"/>
    <w:pPr>
      <w:ind w:left="720"/>
      <w:contextualSpacing/>
    </w:pPr>
  </w:style>
  <w:style w:type="table" w:styleId="PlainTable4">
    <w:name w:val="Plain Table 4"/>
    <w:basedOn w:val="TableNormal"/>
    <w:uiPriority w:val="44"/>
    <w:rsid w:val="00F1746E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72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F5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F56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F56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8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88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65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1085</Words>
  <Characters>6188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Demetrious-Seymour, Beth</dc:creator>
  <cp:keywords/>
  <dc:description/>
  <cp:lastModifiedBy>Bolland, Fiona</cp:lastModifiedBy>
  <cp:revision>2</cp:revision>
  <dcterms:created xsi:type="dcterms:W3CDTF">2021-07-09T19:26:00Z</dcterms:created>
  <dcterms:modified xsi:type="dcterms:W3CDTF">2021-07-09T19:26:00Z</dcterms:modified>
</cp:coreProperties>
</file>