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9974B" w14:textId="4C4610AD" w:rsidR="00EC0515" w:rsidRPr="00282C55" w:rsidRDefault="00EC0515" w:rsidP="00FB5885">
      <w:pPr>
        <w:spacing w:line="480" w:lineRule="auto"/>
        <w:jc w:val="center"/>
        <w:rPr>
          <w:rFonts w:asciiTheme="minorHAnsi" w:hAnsiTheme="minorHAnsi" w:cstheme="minorHAnsi"/>
          <w:b/>
          <w:bCs/>
          <w:lang w:val="en-US"/>
        </w:rPr>
      </w:pPr>
      <w:r w:rsidRPr="00282C55">
        <w:rPr>
          <w:rFonts w:asciiTheme="minorHAnsi" w:hAnsiTheme="minorHAnsi" w:cstheme="minorHAnsi"/>
          <w:b/>
          <w:bCs/>
          <w:lang w:val="en-US"/>
        </w:rPr>
        <w:t>Supplementary Methods</w:t>
      </w:r>
    </w:p>
    <w:p w14:paraId="36FA8FB8" w14:textId="77777777" w:rsidR="00EC0515" w:rsidRPr="00282C55" w:rsidRDefault="00EC0515" w:rsidP="00FB5885">
      <w:pPr>
        <w:spacing w:line="480" w:lineRule="auto"/>
        <w:jc w:val="center"/>
        <w:rPr>
          <w:rFonts w:asciiTheme="minorHAnsi" w:hAnsiTheme="minorHAnsi" w:cstheme="minorHAnsi"/>
          <w:b/>
          <w:bCs/>
          <w:lang w:val="en-US"/>
        </w:rPr>
      </w:pPr>
    </w:p>
    <w:p w14:paraId="08368091" w14:textId="77777777" w:rsidR="001A155D" w:rsidRPr="00282C55" w:rsidRDefault="001A155D" w:rsidP="00FB5885">
      <w:pPr>
        <w:spacing w:after="120" w:line="480" w:lineRule="auto"/>
        <w:jc w:val="both"/>
        <w:rPr>
          <w:rFonts w:asciiTheme="minorHAnsi" w:eastAsia="Times New Roman" w:hAnsiTheme="minorHAnsi" w:cstheme="minorHAnsi"/>
          <w:b/>
          <w:i/>
          <w:color w:val="000000"/>
          <w:lang w:val="en-US" w:eastAsia="en-GB"/>
        </w:rPr>
      </w:pPr>
      <w:r w:rsidRPr="00282C55">
        <w:rPr>
          <w:rFonts w:asciiTheme="minorHAnsi" w:eastAsia="Times New Roman" w:hAnsiTheme="minorHAnsi" w:cstheme="minorHAnsi"/>
          <w:b/>
          <w:i/>
          <w:color w:val="000000"/>
          <w:lang w:val="en-US" w:eastAsia="en-GB"/>
        </w:rPr>
        <w:t>Blood measurements</w:t>
      </w:r>
    </w:p>
    <w:p w14:paraId="2DEEE2EA" w14:textId="116E613C" w:rsidR="001A155D" w:rsidRPr="00282C55" w:rsidRDefault="001A155D" w:rsidP="00FB5885">
      <w:pPr>
        <w:spacing w:after="120" w:line="480" w:lineRule="auto"/>
        <w:jc w:val="both"/>
        <w:rPr>
          <w:rFonts w:asciiTheme="minorHAnsi" w:eastAsia="Times New Roman" w:hAnsiTheme="minorHAnsi" w:cstheme="minorHAnsi"/>
          <w:color w:val="000000"/>
          <w:lang w:val="en-US" w:eastAsia="en-GB"/>
        </w:rPr>
      </w:pPr>
      <w:r w:rsidRPr="00282C55">
        <w:rPr>
          <w:rFonts w:asciiTheme="minorHAnsi" w:eastAsia="Times New Roman" w:hAnsiTheme="minorHAnsi" w:cstheme="minorHAnsi"/>
          <w:color w:val="000000"/>
          <w:lang w:val="en-US" w:eastAsia="en-GB"/>
        </w:rPr>
        <w:t>Blood samples were obtained between 7 and 9 AM from participants who had fasted overnight and had refrained from smoking for at least 6 hours (h). Biochemical analyses were performed in the centrali</w:t>
      </w:r>
      <w:r w:rsidR="000979C1" w:rsidRPr="00282C55">
        <w:rPr>
          <w:rFonts w:asciiTheme="minorHAnsi" w:eastAsia="Times New Roman" w:hAnsiTheme="minorHAnsi" w:cstheme="minorHAnsi"/>
          <w:color w:val="000000"/>
          <w:lang w:val="en-US" w:eastAsia="en-GB"/>
        </w:rPr>
        <w:t>z</w:t>
      </w:r>
      <w:r w:rsidRPr="00282C55">
        <w:rPr>
          <w:rFonts w:asciiTheme="minorHAnsi" w:eastAsia="Times New Roman" w:hAnsiTheme="minorHAnsi" w:cstheme="minorHAnsi"/>
          <w:color w:val="000000"/>
          <w:lang w:val="en-US" w:eastAsia="en-GB"/>
        </w:rPr>
        <w:t xml:space="preserve">ed </w:t>
      </w:r>
      <w:proofErr w:type="spellStart"/>
      <w:r w:rsidRPr="00282C55">
        <w:rPr>
          <w:rFonts w:asciiTheme="minorHAnsi" w:eastAsia="Times New Roman" w:hAnsiTheme="minorHAnsi" w:cstheme="minorHAnsi"/>
          <w:color w:val="000000"/>
          <w:lang w:val="en-US" w:eastAsia="en-GB"/>
        </w:rPr>
        <w:t>Moli-sani</w:t>
      </w:r>
      <w:proofErr w:type="spellEnd"/>
      <w:r w:rsidRPr="00282C55">
        <w:rPr>
          <w:rFonts w:asciiTheme="minorHAnsi" w:eastAsia="Times New Roman" w:hAnsiTheme="minorHAnsi" w:cstheme="minorHAnsi"/>
          <w:color w:val="000000"/>
          <w:lang w:val="en-US" w:eastAsia="en-GB"/>
        </w:rPr>
        <w:t xml:space="preserve"> laboratory </w:t>
      </w:r>
      <w:r w:rsidRPr="00282C55">
        <w:rPr>
          <w:rFonts w:asciiTheme="minorHAnsi" w:eastAsia="Times New Roman" w:hAnsiTheme="minorHAnsi" w:cstheme="minorHAnsi"/>
          <w:color w:val="000000"/>
          <w:lang w:eastAsia="en-GB"/>
        </w:rPr>
        <w:fldChar w:fldCharType="begin" w:fldLock="1"/>
      </w:r>
      <w:r w:rsidR="00F01247">
        <w:rPr>
          <w:rFonts w:asciiTheme="minorHAnsi" w:eastAsia="Times New Roman" w:hAnsiTheme="minorHAnsi" w:cstheme="minorHAnsi"/>
          <w:color w:val="000000"/>
          <w:lang w:val="en-US" w:eastAsia="en-GB"/>
        </w:rPr>
        <w:instrText>ADDIN CSL_CITATION {"citationItems":[{"id":"ITEM-1","itemData":{"DOI":"10.3324/haematol.2011.043042","ISSN":"0390-6078","PMID":"21546503","abstract":"BACKGROUND The understanding of non-genetic regulation of platelet indices--platelet count, plateletcrit, mean platelet volume, and platelet distribution width--is limited. The association of these platelet indices with a number of biochemical, environmental and clinical variables was studied in a large cohort of the general population. DESIGN AND METHODS Men and women (n=18,097, 52% women, 56±12 years) were randomly recruited from various villages in Molise (Italy) in the framework of the population-based cohort study \"Moli-sani\". Hemochromocytometric analyses were performed using an automatic analyzer (Beckman Coulter, IL, Milan, Italy). Associations of platelet indices with dependent variables were investigated by multivariable linear regression analysis. RESULTS Full models including age, sex, body mass index, blood pressure, smoking, menopause, white and red blood cell counts, mean corpuscular volume, D-dimers, C-reactive protein, high-density lipoproteins, low-density lipoproteins, triglycerides, glucose, and drug use explained 16%, 21%, 1.9% and 4.7% of platelet count, plateletcrit, mean platelet volume and platelet distribution width variability, respectively; variables that appeared to be most strongly associated were white blood cell count, age, and sex. Platelet count, mean platelet volume and plateletcrit were positively associated with white blood cell count, while platelet distribution width was negatively associated with white blood cell count. Platelet count and plateletcrit were also positively associated with C-reactive protein and D-dimers (P&lt;0.0001). Each of the other variables, although associated with platelet indices in a statistically significant manner, only explained less than 0.5% of their variability. Platelet indices varied across Molise villages, independently of any other platelet count determinant or characteristics of the villages. CONCLUSIONS The association of platelet indices with white blood cell count, C-reactive protein and D-dimers in a general population underline the relation between platelets and inflammation.","author":[{"dropping-particle":"","family":"Santimone","given":"I.","non-dropping-particle":"","parse-names":false,"suffix":""},{"dropping-particle":"","family":"Castelnuovo","given":"A.","non-dropping-particle":"Di","parse-names":false,"suffix":""},{"dropping-particle":"","family":"Curtis","given":"A.","non-dropping-particle":"De","parse-names":false,"suffix":""},{"dropping-particle":"","family":"Spinelli","given":"M.","non-dropping-particle":"","parse-names":false,"suffix":""},{"dropping-particle":"","family":"Cugino","given":"D.","non-dropping-particle":"","parse-names":false,"suffix":""},{"dropping-particle":"","family":"Gianfagna","given":"F.","non-dropping-particle":"","parse-names":false,"suffix":""},{"dropping-particle":"","family":"Zito","given":"F.","non-dropping-particle":"","parse-names":false,"suffix":""},{"dropping-particle":"","family":"Donati","given":"M. B.","non-dropping-particle":"","parse-names":false,"suffix":""},{"dropping-particle":"","family":"Cerletti","given":"C.","non-dropping-particle":"","parse-names":false,"suffix":""},{"dropping-particle":"","family":"Gaetano","given":"G.","non-dropping-particle":"de","parse-names":false,"suffix":""},{"dropping-particle":"","family":"Iacoviello","given":"L.","non-dropping-particle":"","parse-names":false,"suffix":""},{"dropping-particle":"","family":"MOLI-SANI Project Investigators","given":"","non-dropping-particle":"","parse-names":false,"suffix":""}],"container-title":"Haematologica","id":"ITEM-1","issue":"8","issued":{"date-parts":[["2011","8","1"]]},"page":"1180-1188","title":"White blood cell count, sex and age are major determinants of heterogeneity of platelet indices in an adult general population: results from the MOLI-SANI project","type":"article-journal","volume":"96"},"uris":["http://www.mendeley.com/documents/?uuid=d92993e0-d99d-3fe3-afd5-985c084f840c"]}],"mendeley":{"formattedCitation":"[1]","plainTextFormattedCitation":"[1]","previouslyFormattedCitation":"[1]"},"properties":{"noteIndex":0},"schema":"https://github.com/citation-style-language/schema/raw/master/csl-citation.json"}</w:instrText>
      </w:r>
      <w:r w:rsidRPr="00282C55">
        <w:rPr>
          <w:rFonts w:asciiTheme="minorHAnsi" w:eastAsia="Times New Roman" w:hAnsiTheme="minorHAnsi" w:cstheme="minorHAnsi"/>
          <w:color w:val="000000"/>
          <w:lang w:eastAsia="en-GB"/>
        </w:rPr>
        <w:fldChar w:fldCharType="separate"/>
      </w:r>
      <w:r w:rsidR="000979C1" w:rsidRPr="00282C55">
        <w:rPr>
          <w:rFonts w:asciiTheme="minorHAnsi" w:eastAsia="Times New Roman" w:hAnsiTheme="minorHAnsi" w:cstheme="minorHAnsi"/>
          <w:noProof/>
          <w:color w:val="000000"/>
          <w:lang w:val="en-US" w:eastAsia="en-GB"/>
        </w:rPr>
        <w:t>[1]</w:t>
      </w:r>
      <w:r w:rsidRPr="00282C55">
        <w:rPr>
          <w:rFonts w:asciiTheme="minorHAnsi" w:eastAsia="Times New Roman" w:hAnsiTheme="minorHAnsi" w:cstheme="minorHAnsi"/>
          <w:color w:val="000000"/>
          <w:lang w:eastAsia="en-GB"/>
        </w:rPr>
        <w:fldChar w:fldCharType="end"/>
      </w:r>
      <w:r w:rsidRPr="00282C55">
        <w:rPr>
          <w:rFonts w:asciiTheme="minorHAnsi" w:eastAsia="Times New Roman" w:hAnsiTheme="minorHAnsi" w:cstheme="minorHAnsi"/>
          <w:color w:val="000000"/>
          <w:lang w:val="en-US" w:eastAsia="en-GB"/>
        </w:rPr>
        <w:t xml:space="preserve">. All </w:t>
      </w:r>
      <w:proofErr w:type="spellStart"/>
      <w:r w:rsidRPr="00282C55">
        <w:rPr>
          <w:rFonts w:asciiTheme="minorHAnsi" w:eastAsia="Times New Roman" w:hAnsiTheme="minorHAnsi" w:cstheme="minorHAnsi"/>
          <w:color w:val="000000"/>
          <w:lang w:val="en-US" w:eastAsia="en-GB"/>
        </w:rPr>
        <w:t>haemochromocytometric</w:t>
      </w:r>
      <w:proofErr w:type="spellEnd"/>
      <w:r w:rsidRPr="00282C55">
        <w:rPr>
          <w:rFonts w:asciiTheme="minorHAnsi" w:eastAsia="Times New Roman" w:hAnsiTheme="minorHAnsi" w:cstheme="minorHAnsi"/>
          <w:color w:val="000000"/>
          <w:lang w:val="en-US" w:eastAsia="en-GB"/>
        </w:rPr>
        <w:t xml:space="preserve"> analyses (white blood cell and platelet counts, granulocyte % and lymphocyte %) were performed by cell counter (Coulter HMX, Beckman Coulter, Milan, Italy) within 3 h from venipuncture. High sensitivity C reactive protein (CRP) was measured in fresh serum, by a latex particle-enhanced immunoturbidimetric assay (</w:t>
      </w:r>
      <w:proofErr w:type="spellStart"/>
      <w:r w:rsidRPr="00282C55">
        <w:rPr>
          <w:rFonts w:asciiTheme="minorHAnsi" w:eastAsia="Times New Roman" w:hAnsiTheme="minorHAnsi" w:cstheme="minorHAnsi"/>
          <w:color w:val="000000"/>
          <w:lang w:val="en-US" w:eastAsia="en-GB"/>
        </w:rPr>
        <w:t>ILab</w:t>
      </w:r>
      <w:proofErr w:type="spellEnd"/>
      <w:r w:rsidRPr="00282C55">
        <w:rPr>
          <w:rFonts w:asciiTheme="minorHAnsi" w:eastAsia="Times New Roman" w:hAnsiTheme="minorHAnsi" w:cstheme="minorHAnsi"/>
          <w:color w:val="000000"/>
          <w:lang w:val="en-US" w:eastAsia="en-GB"/>
        </w:rPr>
        <w:t xml:space="preserve"> 350 Instrumentation Laboratory, Milan, Italy). </w:t>
      </w:r>
    </w:p>
    <w:p w14:paraId="211748E6" w14:textId="77777777" w:rsidR="001A155D" w:rsidRPr="00282C55" w:rsidRDefault="001A155D" w:rsidP="00FB5885">
      <w:pPr>
        <w:spacing w:line="480" w:lineRule="auto"/>
        <w:rPr>
          <w:rFonts w:asciiTheme="minorHAnsi" w:hAnsiTheme="minorHAnsi" w:cstheme="minorHAnsi"/>
          <w:b/>
          <w:bCs/>
          <w:i/>
          <w:iCs/>
          <w:lang w:val="en-US"/>
        </w:rPr>
      </w:pPr>
    </w:p>
    <w:p w14:paraId="41D863C3" w14:textId="4083F33D" w:rsidR="00675996" w:rsidRPr="00282C55" w:rsidRDefault="00510323" w:rsidP="00FB5885">
      <w:pPr>
        <w:spacing w:line="480" w:lineRule="auto"/>
        <w:rPr>
          <w:rFonts w:asciiTheme="minorHAnsi" w:hAnsiTheme="minorHAnsi" w:cstheme="minorHAnsi"/>
          <w:b/>
          <w:bCs/>
          <w:i/>
          <w:iCs/>
          <w:lang w:val="en-US"/>
        </w:rPr>
      </w:pPr>
      <w:r w:rsidRPr="00282C55">
        <w:rPr>
          <w:rFonts w:asciiTheme="minorHAnsi" w:hAnsiTheme="minorHAnsi" w:cstheme="minorHAnsi"/>
          <w:b/>
          <w:bCs/>
          <w:i/>
          <w:iCs/>
          <w:lang w:val="en-US"/>
        </w:rPr>
        <w:t>Definition of c</w:t>
      </w:r>
      <w:r w:rsidR="00675996" w:rsidRPr="00282C55">
        <w:rPr>
          <w:rFonts w:asciiTheme="minorHAnsi" w:hAnsiTheme="minorHAnsi" w:cstheme="minorHAnsi"/>
          <w:b/>
          <w:bCs/>
          <w:i/>
          <w:iCs/>
          <w:lang w:val="en-US"/>
        </w:rPr>
        <w:t>ovariates</w:t>
      </w:r>
    </w:p>
    <w:p w14:paraId="70C74BC6" w14:textId="7C448659" w:rsidR="00EC0515" w:rsidRPr="00282C55" w:rsidRDefault="00EC0515" w:rsidP="00FB5885">
      <w:pPr>
        <w:spacing w:line="480" w:lineRule="auto"/>
        <w:jc w:val="both"/>
        <w:rPr>
          <w:rFonts w:asciiTheme="minorHAnsi" w:hAnsiTheme="minorHAnsi" w:cstheme="minorHAnsi"/>
          <w:lang w:val="en-US"/>
        </w:rPr>
      </w:pPr>
      <w:r w:rsidRPr="00282C55">
        <w:rPr>
          <w:rFonts w:asciiTheme="minorHAnsi" w:hAnsiTheme="minorHAnsi" w:cstheme="minorHAnsi"/>
          <w:lang w:val="en-US"/>
        </w:rPr>
        <w:t xml:space="preserve">A </w:t>
      </w:r>
      <w:r w:rsidRPr="00282C55">
        <w:rPr>
          <w:rFonts w:asciiTheme="minorHAnsi" w:hAnsiTheme="minorHAnsi" w:cstheme="minorHAnsi"/>
          <w:i/>
          <w:iCs/>
          <w:lang w:val="en-US"/>
        </w:rPr>
        <w:t>recruiting center</w:t>
      </w:r>
      <w:r w:rsidRPr="00282C55">
        <w:rPr>
          <w:rFonts w:asciiTheme="minorHAnsi" w:hAnsiTheme="minorHAnsi" w:cstheme="minorHAnsi"/>
          <w:lang w:val="en-US"/>
        </w:rPr>
        <w:t xml:space="preserve"> (binary) variable was </w:t>
      </w:r>
      <w:r w:rsidR="00D11A53">
        <w:rPr>
          <w:rFonts w:asciiTheme="minorHAnsi" w:hAnsiTheme="minorHAnsi" w:cstheme="minorHAnsi"/>
          <w:lang w:val="en-US"/>
        </w:rPr>
        <w:t>defined</w:t>
      </w:r>
      <w:r w:rsidR="00236785">
        <w:rPr>
          <w:rFonts w:asciiTheme="minorHAnsi" w:hAnsiTheme="minorHAnsi" w:cstheme="minorHAnsi"/>
          <w:lang w:val="en-US"/>
        </w:rPr>
        <w:t xml:space="preserve"> based on the city where the participant was recruited (</w:t>
      </w:r>
      <w:proofErr w:type="spellStart"/>
      <w:r w:rsidRPr="00282C55">
        <w:rPr>
          <w:rFonts w:asciiTheme="minorHAnsi" w:hAnsiTheme="minorHAnsi" w:cstheme="minorHAnsi"/>
          <w:lang w:val="en-US"/>
        </w:rPr>
        <w:t>Termoli</w:t>
      </w:r>
      <w:proofErr w:type="spellEnd"/>
      <w:r w:rsidR="00236785">
        <w:rPr>
          <w:rFonts w:asciiTheme="minorHAnsi" w:hAnsiTheme="minorHAnsi" w:cstheme="minorHAnsi"/>
          <w:lang w:val="en-US"/>
        </w:rPr>
        <w:t xml:space="preserve"> or </w:t>
      </w:r>
      <w:r w:rsidRPr="00282C55">
        <w:rPr>
          <w:rFonts w:asciiTheme="minorHAnsi" w:hAnsiTheme="minorHAnsi" w:cstheme="minorHAnsi"/>
          <w:lang w:val="en-US"/>
        </w:rPr>
        <w:t>Campobasso).</w:t>
      </w:r>
    </w:p>
    <w:p w14:paraId="5D828D44" w14:textId="77777777" w:rsidR="00EC0515" w:rsidRPr="00282C55" w:rsidRDefault="007C44F9" w:rsidP="00FB5885">
      <w:pPr>
        <w:spacing w:line="480" w:lineRule="auto"/>
        <w:jc w:val="both"/>
        <w:rPr>
          <w:rFonts w:asciiTheme="minorHAnsi" w:hAnsiTheme="minorHAnsi" w:cstheme="minorHAnsi"/>
          <w:lang w:val="en-US"/>
        </w:rPr>
      </w:pPr>
      <w:r w:rsidRPr="00282C55">
        <w:rPr>
          <w:rFonts w:asciiTheme="minorHAnsi" w:hAnsiTheme="minorHAnsi" w:cstheme="minorHAnsi"/>
          <w:lang w:val="en-US"/>
        </w:rPr>
        <w:t xml:space="preserve">For </w:t>
      </w:r>
      <w:r w:rsidRPr="00282C55">
        <w:rPr>
          <w:rFonts w:asciiTheme="minorHAnsi" w:hAnsiTheme="minorHAnsi" w:cstheme="minorHAnsi"/>
          <w:i/>
          <w:iCs/>
          <w:lang w:val="en-US"/>
        </w:rPr>
        <w:t>educational attainment</w:t>
      </w:r>
      <w:r w:rsidRPr="00282C55">
        <w:rPr>
          <w:rFonts w:asciiTheme="minorHAnsi" w:hAnsiTheme="minorHAnsi" w:cstheme="minorHAnsi"/>
          <w:lang w:val="en-US"/>
        </w:rPr>
        <w:t xml:space="preserve">, subjects were divided into four categories, based on their education level (i.e., the school level that they had completed): Primary, Lower secondary, Upper secondary and Post-secondary. </w:t>
      </w:r>
    </w:p>
    <w:p w14:paraId="68C25CE7" w14:textId="5C25D029" w:rsidR="00EC0515" w:rsidRPr="00282C55" w:rsidRDefault="007C44F9" w:rsidP="00FB5885">
      <w:pPr>
        <w:spacing w:line="480" w:lineRule="auto"/>
        <w:jc w:val="both"/>
        <w:rPr>
          <w:rFonts w:asciiTheme="minorHAnsi" w:hAnsiTheme="minorHAnsi" w:cstheme="minorHAnsi"/>
          <w:lang w:val="en-US"/>
        </w:rPr>
      </w:pPr>
      <w:r w:rsidRPr="00282C55">
        <w:rPr>
          <w:rFonts w:asciiTheme="minorHAnsi" w:hAnsiTheme="minorHAnsi" w:cstheme="minorHAnsi"/>
          <w:lang w:val="en-US"/>
        </w:rPr>
        <w:t xml:space="preserve">For </w:t>
      </w:r>
      <w:r w:rsidRPr="00282C55">
        <w:rPr>
          <w:rFonts w:asciiTheme="minorHAnsi" w:hAnsiTheme="minorHAnsi" w:cstheme="minorHAnsi"/>
          <w:i/>
          <w:iCs/>
          <w:lang w:val="en-US"/>
        </w:rPr>
        <w:t>smoking status</w:t>
      </w:r>
      <w:r w:rsidRPr="00282C55">
        <w:rPr>
          <w:rFonts w:asciiTheme="minorHAnsi" w:hAnsiTheme="minorHAnsi" w:cstheme="minorHAnsi"/>
          <w:lang w:val="en-US"/>
        </w:rPr>
        <w:t xml:space="preserve">, subjects were assigned to three categories based on their cigarette smoking habits: smokers, </w:t>
      </w:r>
      <w:r w:rsidR="00EC0515" w:rsidRPr="00282C55">
        <w:rPr>
          <w:rFonts w:asciiTheme="minorHAnsi" w:hAnsiTheme="minorHAnsi" w:cstheme="minorHAnsi"/>
          <w:lang w:val="en-US"/>
        </w:rPr>
        <w:t>previous-</w:t>
      </w:r>
      <w:r w:rsidRPr="00282C55">
        <w:rPr>
          <w:rFonts w:asciiTheme="minorHAnsi" w:hAnsiTheme="minorHAnsi" w:cstheme="minorHAnsi"/>
          <w:lang w:val="en-US"/>
        </w:rPr>
        <w:t xml:space="preserve"> (i.e., subjects who quitted at least one year before the interview) and non-smokers. </w:t>
      </w:r>
      <w:r w:rsidR="00FF3383" w:rsidRPr="00282C55">
        <w:rPr>
          <w:rFonts w:asciiTheme="minorHAnsi" w:hAnsiTheme="minorHAnsi" w:cstheme="minorHAnsi"/>
          <w:lang w:val="en-US"/>
        </w:rPr>
        <w:t xml:space="preserve">Leisure-time </w:t>
      </w:r>
      <w:r w:rsidR="00FF3383" w:rsidRPr="00282C55">
        <w:rPr>
          <w:rFonts w:asciiTheme="minorHAnsi" w:hAnsiTheme="minorHAnsi" w:cstheme="minorHAnsi"/>
          <w:i/>
          <w:iCs/>
          <w:lang w:val="en-US"/>
        </w:rPr>
        <w:t>physical activity</w:t>
      </w:r>
      <w:r w:rsidR="00FF3383" w:rsidRPr="00282C55">
        <w:rPr>
          <w:rFonts w:asciiTheme="minorHAnsi" w:hAnsiTheme="minorHAnsi" w:cstheme="minorHAnsi"/>
          <w:lang w:val="en-US"/>
        </w:rPr>
        <w:t xml:space="preserve"> was assessed through a structured questionnaire (including questions on sport participation, walking and gardening), and expressed as daily energy expenditure in metabolic equivalent task-hours (MET-h/day) </w:t>
      </w:r>
      <w:r w:rsidR="00FF3383" w:rsidRPr="00282C55">
        <w:rPr>
          <w:rFonts w:asciiTheme="minorHAnsi" w:hAnsiTheme="minorHAnsi" w:cstheme="minorHAnsi"/>
          <w:lang w:val="en-US"/>
        </w:rPr>
        <w:fldChar w:fldCharType="begin" w:fldLock="1"/>
      </w:r>
      <w:r w:rsidR="00F01247">
        <w:rPr>
          <w:rFonts w:asciiTheme="minorHAnsi" w:hAnsiTheme="minorHAnsi" w:cstheme="minorHAnsi"/>
          <w:lang w:val="en-US"/>
        </w:rPr>
        <w:instrText>ADDIN CSL_CITATION {"citationItems":[{"id":"ITEM-1","itemData":{"DOI":"10.1097/00005768-200009001-00009","ISSN":"0195-9131","PMID":"10993420","abstract":"We provide an updated version of the Compendium of Physical Activities, a coding scheme that classifies specific physical activity (PA) by rate of energy expenditure. It was developed to enhance the comparability of results across studies using self-reports of PA. The Compendium coding scheme links a five-digit code that describes physical activities by major headings (e.g., occupation, transportation, etc.) and specific activities within each major heading with its intensity, defined as the ratio of work metabolic rate to a standard resting metabolic rate (MET). Energy expenditure in MET-minutes, MET-hours, kcal, or kcal per kilogram body weight can be estimated for specific activities by type or MET intensity. Additions to the Compendium were obtained from studies describing daily PA patterns of adults and studies measuring the energy cost of specific physical activities in field settings. The updated version includes two new major headings of volunteer and religious activities, extends the number of specific activities from 477 to 605, and provides updated MET intensity levels for selected activities.","author":[{"dropping-particle":"","family":"Ainsworth","given":"B E","non-dropping-particle":"","parse-names":false,"suffix":""},{"dropping-particle":"","family":"Haskell","given":"W L","non-dropping-particle":"","parse-names":false,"suffix":""},{"dropping-particle":"","family":"Whitt","given":"M C","non-dropping-particle":"","parse-names":false,"suffix":""},{"dropping-particle":"","family":"Irwin","given":"M L","non-dropping-particle":"","parse-names":false,"suffix":""},{"dropping-particle":"","family":"Swartz","given":"A M","non-dropping-particle":"","parse-names":false,"suffix":""},{"dropping-particle":"","family":"Strath","given":"S J","non-dropping-particle":"","parse-names":false,"suffix":""},{"dropping-particle":"","family":"O'Brien","given":"W L","non-dropping-particle":"","parse-names":false,"suffix":""},{"dropping-particle":"","family":"Bassett","given":"D R","non-dropping-particle":"","parse-names":false,"suffix":""},{"dropping-particle":"","family":"Schmitz","given":"K H","non-dropping-particle":"","parse-names":false,"suffix":""},{"dropping-particle":"","family":"Emplaincourt","given":"P O","non-dropping-particle":"","parse-names":false,"suffix":""},{"dropping-particle":"","family":"Jacobs","given":"D R","non-dropping-particle":"","parse-names":false,"suffix":""},{"dropping-particle":"","family":"Leon","given":"A S","non-dropping-particle":"","parse-names":false,"suffix":""}],"container-title":"Medicine and science in sports and exercise","id":"ITEM-1","issue":"9 Suppl","issued":{"date-parts":[["2000","9"]]},"page":"S498-504","title":"Compendium of physical activities: an update of activity codes and MET intensities.","type":"article-journal","volume":"32"},"uris":["http://www.mendeley.com/documents/?uuid=ac22212c-79b6-3f66-b96c-189c9bc40ff1"]}],"mendeley":{"formattedCitation":"[2]","plainTextFormattedCitation":"[2]","previouslyFormattedCitation":"[2]"},"properties":{"noteIndex":0},"schema":"https://github.com/citation-style-language/schema/raw/master/csl-citation.json"}</w:instrText>
      </w:r>
      <w:r w:rsidR="00FF3383" w:rsidRPr="00282C55">
        <w:rPr>
          <w:rFonts w:asciiTheme="minorHAnsi" w:hAnsiTheme="minorHAnsi" w:cstheme="minorHAnsi"/>
          <w:lang w:val="en-US"/>
        </w:rPr>
        <w:fldChar w:fldCharType="separate"/>
      </w:r>
      <w:r w:rsidR="000979C1" w:rsidRPr="00282C55">
        <w:rPr>
          <w:rFonts w:asciiTheme="minorHAnsi" w:hAnsiTheme="minorHAnsi" w:cstheme="minorHAnsi"/>
          <w:noProof/>
          <w:lang w:val="en-US"/>
        </w:rPr>
        <w:t>[2]</w:t>
      </w:r>
      <w:r w:rsidR="00FF3383" w:rsidRPr="00282C55">
        <w:rPr>
          <w:rFonts w:asciiTheme="minorHAnsi" w:hAnsiTheme="minorHAnsi" w:cstheme="minorHAnsi"/>
          <w:lang w:val="en-US"/>
        </w:rPr>
        <w:fldChar w:fldCharType="end"/>
      </w:r>
      <w:r w:rsidR="00FF3383" w:rsidRPr="00282C55">
        <w:rPr>
          <w:rFonts w:asciiTheme="minorHAnsi" w:hAnsiTheme="minorHAnsi" w:cstheme="minorHAnsi"/>
          <w:lang w:val="en-US"/>
        </w:rPr>
        <w:t xml:space="preserve">. </w:t>
      </w:r>
    </w:p>
    <w:p w14:paraId="0A460542" w14:textId="39D6B3E9" w:rsidR="00962339" w:rsidRPr="00282C55" w:rsidRDefault="00FF3383" w:rsidP="00FB5885">
      <w:pPr>
        <w:spacing w:line="480" w:lineRule="auto"/>
        <w:jc w:val="both"/>
        <w:rPr>
          <w:rFonts w:asciiTheme="minorHAnsi" w:hAnsiTheme="minorHAnsi" w:cstheme="minorHAnsi"/>
          <w:lang w:val="en-US"/>
        </w:rPr>
      </w:pPr>
      <w:r w:rsidRPr="00282C55">
        <w:rPr>
          <w:rFonts w:asciiTheme="minorHAnsi" w:hAnsiTheme="minorHAnsi" w:cstheme="minorHAnsi"/>
          <w:lang w:val="en-US"/>
        </w:rPr>
        <w:t xml:space="preserve">Prevalent </w:t>
      </w:r>
      <w:r w:rsidRPr="00282C55">
        <w:rPr>
          <w:rFonts w:asciiTheme="minorHAnsi" w:hAnsiTheme="minorHAnsi" w:cstheme="minorHAnsi"/>
          <w:i/>
          <w:iCs/>
          <w:lang w:val="en-US"/>
        </w:rPr>
        <w:t>diabetes</w:t>
      </w:r>
      <w:r w:rsidRPr="00282C55">
        <w:rPr>
          <w:rFonts w:asciiTheme="minorHAnsi" w:hAnsiTheme="minorHAnsi" w:cstheme="minorHAnsi"/>
          <w:lang w:val="en-US"/>
        </w:rPr>
        <w:t xml:space="preserve"> was defined as dichotomous variables (Yes/No), based on the reported and verified </w:t>
      </w:r>
      <w:r w:rsidR="00EC0515" w:rsidRPr="00282C55">
        <w:rPr>
          <w:rFonts w:asciiTheme="minorHAnsi" w:hAnsiTheme="minorHAnsi" w:cstheme="minorHAnsi"/>
          <w:lang w:val="en-US"/>
        </w:rPr>
        <w:t xml:space="preserve">use </w:t>
      </w:r>
      <w:r w:rsidRPr="00282C55">
        <w:rPr>
          <w:rFonts w:asciiTheme="minorHAnsi" w:hAnsiTheme="minorHAnsi" w:cstheme="minorHAnsi"/>
          <w:lang w:val="en-US"/>
        </w:rPr>
        <w:t xml:space="preserve">of specific drugs for the treatment of these disorders. Prevalent </w:t>
      </w:r>
      <w:r w:rsidRPr="00282C55">
        <w:rPr>
          <w:rFonts w:asciiTheme="minorHAnsi" w:hAnsiTheme="minorHAnsi" w:cstheme="minorHAnsi"/>
          <w:i/>
          <w:iCs/>
          <w:lang w:val="en-US"/>
        </w:rPr>
        <w:t>cardiovascular disease</w:t>
      </w:r>
      <w:r w:rsidRPr="00282C55">
        <w:rPr>
          <w:rFonts w:asciiTheme="minorHAnsi" w:hAnsiTheme="minorHAnsi" w:cstheme="minorHAnsi"/>
          <w:lang w:val="en-US"/>
        </w:rPr>
        <w:t xml:space="preserve"> </w:t>
      </w:r>
      <w:r w:rsidRPr="00282C55">
        <w:rPr>
          <w:rFonts w:asciiTheme="minorHAnsi" w:hAnsiTheme="minorHAnsi" w:cstheme="minorHAnsi"/>
          <w:lang w:val="en-US"/>
        </w:rPr>
        <w:lastRenderedPageBreak/>
        <w:t xml:space="preserve">(CVD) and </w:t>
      </w:r>
      <w:r w:rsidRPr="00282C55">
        <w:rPr>
          <w:rFonts w:asciiTheme="minorHAnsi" w:hAnsiTheme="minorHAnsi" w:cstheme="minorHAnsi"/>
          <w:i/>
          <w:iCs/>
          <w:lang w:val="en-US"/>
        </w:rPr>
        <w:t>cancer</w:t>
      </w:r>
      <w:r w:rsidRPr="00282C55">
        <w:rPr>
          <w:rFonts w:asciiTheme="minorHAnsi" w:hAnsiTheme="minorHAnsi" w:cstheme="minorHAnsi"/>
          <w:lang w:val="en-US"/>
        </w:rPr>
        <w:t xml:space="preserve"> were defined as three-classes variables: subjects with no medical history of the disease, subjects reporting the disease with medical documentation or reporting and demonstrating the use of specific drugs (in the case of CVD), and those reporting the disease without medical documentation.</w:t>
      </w:r>
      <w:r w:rsidR="00EC0515" w:rsidRPr="00282C55">
        <w:rPr>
          <w:rFonts w:asciiTheme="minorHAnsi" w:hAnsiTheme="minorHAnsi" w:cstheme="minorHAnsi"/>
          <w:lang w:val="en-US"/>
        </w:rPr>
        <w:t xml:space="preserve"> </w:t>
      </w:r>
      <w:r w:rsidR="00962339" w:rsidRPr="00282C55">
        <w:rPr>
          <w:rFonts w:asciiTheme="minorHAnsi" w:eastAsia="Times New Roman" w:hAnsiTheme="minorHAnsi" w:cstheme="minorHAnsi"/>
          <w:lang w:val="en-US" w:eastAsia="en-GB"/>
        </w:rPr>
        <w:t>As a proxy measure</w:t>
      </w:r>
      <w:r w:rsidR="00EC0515" w:rsidRPr="00282C55">
        <w:rPr>
          <w:rFonts w:asciiTheme="minorHAnsi" w:eastAsia="Times New Roman" w:hAnsiTheme="minorHAnsi" w:cstheme="minorHAnsi"/>
          <w:lang w:val="en-US" w:eastAsia="en-GB"/>
        </w:rPr>
        <w:t xml:space="preserve"> of adiposity (which may influence the release of inflammatory cytokines and hence </w:t>
      </w:r>
      <w:r w:rsidR="00C60516">
        <w:rPr>
          <w:rFonts w:asciiTheme="minorHAnsi" w:eastAsia="Times New Roman" w:hAnsiTheme="minorHAnsi" w:cstheme="minorHAnsi"/>
          <w:lang w:val="en-US" w:eastAsia="en-GB"/>
        </w:rPr>
        <w:t xml:space="preserve">act </w:t>
      </w:r>
      <w:r w:rsidR="00EC0515" w:rsidRPr="00282C55">
        <w:rPr>
          <w:rFonts w:asciiTheme="minorHAnsi" w:eastAsia="Times New Roman" w:hAnsiTheme="minorHAnsi" w:cstheme="minorHAnsi"/>
          <w:lang w:val="en-US" w:eastAsia="en-GB"/>
        </w:rPr>
        <w:t>as a potential confounder)</w:t>
      </w:r>
      <w:r w:rsidR="00962339" w:rsidRPr="00282C55">
        <w:rPr>
          <w:rFonts w:asciiTheme="minorHAnsi" w:eastAsia="Times New Roman" w:hAnsiTheme="minorHAnsi" w:cstheme="minorHAnsi"/>
          <w:lang w:val="en-US" w:eastAsia="en-GB"/>
        </w:rPr>
        <w:t xml:space="preserve">, </w:t>
      </w:r>
      <w:r w:rsidR="00EC0515" w:rsidRPr="00282C55">
        <w:rPr>
          <w:rFonts w:asciiTheme="minorHAnsi" w:eastAsia="Times New Roman" w:hAnsiTheme="minorHAnsi" w:cstheme="minorHAnsi"/>
          <w:i/>
          <w:iCs/>
          <w:lang w:val="en-US" w:eastAsia="en-GB"/>
        </w:rPr>
        <w:t>Relative Fat Mass (</w:t>
      </w:r>
      <w:r w:rsidR="00962339" w:rsidRPr="00282C55">
        <w:rPr>
          <w:rFonts w:asciiTheme="minorHAnsi" w:eastAsia="Times New Roman" w:hAnsiTheme="minorHAnsi" w:cstheme="minorHAnsi"/>
          <w:i/>
          <w:iCs/>
          <w:lang w:val="en-US" w:eastAsia="en-GB"/>
        </w:rPr>
        <w:t>RFM</w:t>
      </w:r>
      <w:r w:rsidR="00EC0515" w:rsidRPr="00282C55">
        <w:rPr>
          <w:rFonts w:asciiTheme="minorHAnsi" w:eastAsia="Times New Roman" w:hAnsiTheme="minorHAnsi" w:cstheme="minorHAnsi"/>
          <w:i/>
          <w:iCs/>
          <w:lang w:val="en-US" w:eastAsia="en-GB"/>
        </w:rPr>
        <w:t>)</w:t>
      </w:r>
      <w:r w:rsidR="00EC0515" w:rsidRPr="00282C55">
        <w:rPr>
          <w:rFonts w:asciiTheme="minorHAnsi" w:eastAsia="Times New Roman" w:hAnsiTheme="minorHAnsi" w:cstheme="minorHAnsi"/>
          <w:lang w:val="en-US" w:eastAsia="en-GB"/>
        </w:rPr>
        <w:t xml:space="preserve"> </w:t>
      </w:r>
      <w:r w:rsidR="00962339" w:rsidRPr="00282C55">
        <w:rPr>
          <w:rFonts w:asciiTheme="minorHAnsi" w:eastAsia="Times New Roman" w:hAnsiTheme="minorHAnsi" w:cstheme="minorHAnsi"/>
          <w:lang w:val="en-US" w:eastAsia="en-GB"/>
        </w:rPr>
        <w:t xml:space="preserve">was </w:t>
      </w:r>
      <w:r w:rsidR="00EC0515" w:rsidRPr="00282C55">
        <w:rPr>
          <w:rFonts w:asciiTheme="minorHAnsi" w:eastAsia="Times New Roman" w:hAnsiTheme="minorHAnsi" w:cstheme="minorHAnsi"/>
          <w:lang w:val="en-US" w:eastAsia="en-GB"/>
        </w:rPr>
        <w:t xml:space="preserve">computed, </w:t>
      </w:r>
      <w:r w:rsidR="00962339" w:rsidRPr="00282C55">
        <w:rPr>
          <w:rFonts w:asciiTheme="minorHAnsi" w:eastAsia="Times New Roman" w:hAnsiTheme="minorHAnsi" w:cstheme="minorHAnsi"/>
          <w:lang w:val="en-US" w:eastAsia="en-GB"/>
        </w:rPr>
        <w:t xml:space="preserve">following the formula </w:t>
      </w:r>
      <w:r w:rsidR="00962339" w:rsidRPr="00282C55">
        <w:rPr>
          <w:rFonts w:asciiTheme="minorHAnsi" w:eastAsia="Times New Roman" w:hAnsiTheme="minorHAnsi" w:cstheme="minorHAnsi"/>
          <w:lang w:val="en-US" w:eastAsia="en-GB"/>
        </w:rPr>
        <w:fldChar w:fldCharType="begin" w:fldLock="1"/>
      </w:r>
      <w:r w:rsidR="00F01247">
        <w:rPr>
          <w:rFonts w:asciiTheme="minorHAnsi" w:eastAsia="Times New Roman" w:hAnsiTheme="minorHAnsi" w:cstheme="minorHAnsi"/>
          <w:lang w:val="en-US" w:eastAsia="en-GB"/>
        </w:rPr>
        <w:instrText>ADDIN CSL_CITATION {"citationItems":[{"id":"ITEM-1","itemData":{"DOI":"10.1038/s41598-018-29362-1","ISSN":"20452322","abstract":"High whole-body fat percentage is independently associated with increased mortality. We aimed to identify a simple anthropometric linear equation that is more accurate than the body mass index (BMI) to estimate whole-body fat percentage among adult individuals. National Health and Nutrition Examination Survey (NHANES) 1999–2004 data (n = 12,581) were used for model development and NHANES 2005–2006 data (n = 3,456) were used for model validation. From the 365 anthropometric indices generated, the final selected equation was as follows: 64 − (20 × height/waist circumference) + (12 × sex), named as the relative fat mass (RFM); sex = 0 for men and 1 for women. In the validation dataset, compared with BMI, RFM better predicted whole-body fat percentage, measured by dual energy X-ray absorptiometry (DXA), among women and men. RFM showed better accuracy than the BMI and had fewer false negative cases of body fat-defined obesity among women and men. RFM reduced total obesity misclassification among all women and all men and, overall, among Mexican-Americans, European-Americans and African-Americans. In the population studied, the suggested RFM was more accurate than BMI to estimate whole-body fat percentage among women and men and improved body fat-defined obesity misclassification among American adult individuals of Mexican, European or African ethnicity.","author":[{"dropping-particle":"","family":"Woolcott","given":"Orison O.","non-dropping-particle":"","parse-names":false,"suffix":""},{"dropping-particle":"","family":"Bergman","given":"Richard N.","non-dropping-particle":"","parse-names":false,"suffix":""}],"container-title":"Scientific Reports","id":"ITEM-1","issue":"1","issued":{"date-parts":[["2018"]]},"page":"1-11","title":"Relative fat mass (RFM) as a new estimator of whole-body fat percentage ─ A cross-sectional study in American adult individuals","type":"article-journal","volume":"8"},"uris":["http://www.mendeley.com/documents/?uuid=b11ca45c-acbf-48d0-b7f1-c749b1519bc8"]}],"mendeley":{"formattedCitation":"[3]","plainTextFormattedCitation":"[3]","previouslyFormattedCitation":"[3]"},"properties":{"noteIndex":0},"schema":"https://github.com/citation-style-language/schema/raw/master/csl-citation.json"}</w:instrText>
      </w:r>
      <w:r w:rsidR="00962339" w:rsidRPr="00282C55">
        <w:rPr>
          <w:rFonts w:asciiTheme="minorHAnsi" w:eastAsia="Times New Roman" w:hAnsiTheme="minorHAnsi" w:cstheme="minorHAnsi"/>
          <w:lang w:val="en-US" w:eastAsia="en-GB"/>
        </w:rPr>
        <w:fldChar w:fldCharType="separate"/>
      </w:r>
      <w:r w:rsidR="000979C1" w:rsidRPr="00282C55">
        <w:rPr>
          <w:rFonts w:asciiTheme="minorHAnsi" w:eastAsia="Times New Roman" w:hAnsiTheme="minorHAnsi" w:cstheme="minorHAnsi"/>
          <w:noProof/>
          <w:lang w:val="en-US" w:eastAsia="en-GB"/>
        </w:rPr>
        <w:t>[3]</w:t>
      </w:r>
      <w:r w:rsidR="00962339" w:rsidRPr="00282C55">
        <w:rPr>
          <w:rFonts w:asciiTheme="minorHAnsi" w:eastAsia="Times New Roman" w:hAnsiTheme="minorHAnsi" w:cstheme="minorHAnsi"/>
          <w:lang w:val="en-US" w:eastAsia="en-GB"/>
        </w:rPr>
        <w:fldChar w:fldCharType="end"/>
      </w:r>
      <w:r w:rsidR="00962339" w:rsidRPr="00282C55">
        <w:rPr>
          <w:rFonts w:asciiTheme="minorHAnsi" w:eastAsia="Times New Roman" w:hAnsiTheme="minorHAnsi" w:cstheme="minorHAnsi"/>
          <w:lang w:val="en-US" w:eastAsia="en-GB"/>
        </w:rPr>
        <w:t>:</w:t>
      </w:r>
    </w:p>
    <w:p w14:paraId="5C5FD770" w14:textId="46E8FD3D" w:rsidR="00962339" w:rsidRPr="00E10945" w:rsidRDefault="00962339" w:rsidP="00FB5885">
      <w:pPr>
        <w:spacing w:line="480" w:lineRule="auto"/>
        <w:jc w:val="center"/>
        <w:rPr>
          <w:rFonts w:asciiTheme="minorHAnsi" w:eastAsia="Times New Roman" w:hAnsiTheme="minorHAnsi" w:cstheme="minorHAnsi"/>
          <w:i/>
          <w:iCs/>
          <w:lang w:val="en-US" w:eastAsia="en-GB"/>
        </w:rPr>
      </w:pPr>
      <w:r w:rsidRPr="00E10945">
        <w:rPr>
          <w:rFonts w:asciiTheme="minorHAnsi" w:eastAsia="Times New Roman" w:hAnsiTheme="minorHAnsi" w:cstheme="minorHAnsi"/>
          <w:i/>
          <w:iCs/>
          <w:lang w:val="en-US" w:eastAsia="en-GB"/>
        </w:rPr>
        <w:t>RFM = 64 – (20 x height/waist circumference) + (12 x sex),</w:t>
      </w:r>
    </w:p>
    <w:p w14:paraId="110ECBFF" w14:textId="266B4F45" w:rsidR="006D5CDD" w:rsidRPr="00282C55" w:rsidRDefault="00EC0515" w:rsidP="00FB5885">
      <w:pPr>
        <w:spacing w:line="480" w:lineRule="auto"/>
        <w:jc w:val="both"/>
        <w:rPr>
          <w:rFonts w:asciiTheme="minorHAnsi" w:eastAsia="Times New Roman" w:hAnsiTheme="minorHAnsi" w:cstheme="minorHAnsi"/>
          <w:lang w:val="en-US" w:eastAsia="en-GB"/>
        </w:rPr>
      </w:pPr>
      <w:r w:rsidRPr="00282C55">
        <w:rPr>
          <w:rFonts w:asciiTheme="minorHAnsi" w:eastAsia="Times New Roman" w:hAnsiTheme="minorHAnsi" w:cstheme="minorHAnsi"/>
          <w:lang w:val="en-US" w:eastAsia="en-GB"/>
        </w:rPr>
        <w:t>Here</w:t>
      </w:r>
      <w:r w:rsidR="00962339" w:rsidRPr="00282C55">
        <w:rPr>
          <w:rFonts w:asciiTheme="minorHAnsi" w:eastAsia="Times New Roman" w:hAnsiTheme="minorHAnsi" w:cstheme="minorHAnsi"/>
          <w:lang w:val="en-US" w:eastAsia="en-GB"/>
        </w:rPr>
        <w:t xml:space="preserve"> height and waist are in the same scale unit, sex = 0 for men and 1 for women. RFM has been reported to be more accurate than body mass index in estimating whole-body fat percentage measured by dual energy X-ray absorptiometry in the NHANES cohort, and to improve body fat-defined obesity misclassification </w:t>
      </w:r>
      <w:r w:rsidR="00962339" w:rsidRPr="00282C55">
        <w:rPr>
          <w:rFonts w:asciiTheme="minorHAnsi" w:eastAsia="Times New Roman" w:hAnsiTheme="minorHAnsi" w:cstheme="minorHAnsi"/>
          <w:lang w:val="en-US" w:eastAsia="en-GB"/>
        </w:rPr>
        <w:fldChar w:fldCharType="begin" w:fldLock="1"/>
      </w:r>
      <w:r w:rsidR="00F01247">
        <w:rPr>
          <w:rFonts w:asciiTheme="minorHAnsi" w:eastAsia="Times New Roman" w:hAnsiTheme="minorHAnsi" w:cstheme="minorHAnsi"/>
          <w:lang w:val="en-US" w:eastAsia="en-GB"/>
        </w:rPr>
        <w:instrText>ADDIN CSL_CITATION {"citationItems":[{"id":"ITEM-1","itemData":{"DOI":"10.1038/s41598-018-29362-1","ISSN":"20452322","abstract":"High whole-body fat percentage is independently associated with increased mortality. We aimed to identify a simple anthropometric linear equation that is more accurate than the body mass index (BMI) to estimate whole-body fat percentage among adult individuals. National Health and Nutrition Examination Survey (NHANES) 1999–2004 data (n = 12,581) were used for model development and NHANES 2005–2006 data (n = 3,456) were used for model validation. From the 365 anthropometric indices generated, the final selected equation was as follows: 64 − (20 × height/waist circumference) + (12 × sex), named as the relative fat mass (RFM); sex = 0 for men and 1 for women. In the validation dataset, compared with BMI, RFM better predicted whole-body fat percentage, measured by dual energy X-ray absorptiometry (DXA), among women and men. RFM showed better accuracy than the BMI and had fewer false negative cases of body fat-defined obesity among women and men. RFM reduced total obesity misclassification among all women and all men and, overall, among Mexican-Americans, European-Americans and African-Americans. In the population studied, the suggested RFM was more accurate than BMI to estimate whole-body fat percentage among women and men and improved body fat-defined obesity misclassification among American adult individuals of Mexican, European or African ethnicity.","author":[{"dropping-particle":"","family":"Woolcott","given":"Orison O.","non-dropping-particle":"","parse-names":false,"suffix":""},{"dropping-particle":"","family":"Bergman","given":"Richard N.","non-dropping-particle":"","parse-names":false,"suffix":""}],"container-title":"Scientific Reports","id":"ITEM-1","issue":"1","issued":{"date-parts":[["2018"]]},"page":"1-11","title":"Relative fat mass (RFM) as a new estimator of whole-body fat percentage ─ A cross-sectional study in American adult individuals","type":"article-journal","volume":"8"},"uris":["http://www.mendeley.com/documents/?uuid=b11ca45c-acbf-48d0-b7f1-c749b1519bc8"]}],"mendeley":{"formattedCitation":"[3]","plainTextFormattedCitation":"[3]","previouslyFormattedCitation":"[3]"},"properties":{"noteIndex":0},"schema":"https://github.com/citation-style-language/schema/raw/master/csl-citation.json"}</w:instrText>
      </w:r>
      <w:r w:rsidR="00962339" w:rsidRPr="00282C55">
        <w:rPr>
          <w:rFonts w:asciiTheme="minorHAnsi" w:eastAsia="Times New Roman" w:hAnsiTheme="minorHAnsi" w:cstheme="minorHAnsi"/>
          <w:lang w:val="en-US" w:eastAsia="en-GB"/>
        </w:rPr>
        <w:fldChar w:fldCharType="separate"/>
      </w:r>
      <w:r w:rsidR="000979C1" w:rsidRPr="00282C55">
        <w:rPr>
          <w:rFonts w:asciiTheme="minorHAnsi" w:eastAsia="Times New Roman" w:hAnsiTheme="minorHAnsi" w:cstheme="minorHAnsi"/>
          <w:noProof/>
          <w:lang w:val="en-US" w:eastAsia="en-GB"/>
        </w:rPr>
        <w:t>[3]</w:t>
      </w:r>
      <w:r w:rsidR="00962339" w:rsidRPr="00282C55">
        <w:rPr>
          <w:rFonts w:asciiTheme="minorHAnsi" w:eastAsia="Times New Roman" w:hAnsiTheme="minorHAnsi" w:cstheme="minorHAnsi"/>
          <w:lang w:val="en-US" w:eastAsia="en-GB"/>
        </w:rPr>
        <w:fldChar w:fldCharType="end"/>
      </w:r>
      <w:r w:rsidR="00962339" w:rsidRPr="00282C55">
        <w:rPr>
          <w:rFonts w:asciiTheme="minorHAnsi" w:eastAsia="Times New Roman" w:hAnsiTheme="minorHAnsi" w:cstheme="minorHAnsi"/>
          <w:lang w:val="en-US" w:eastAsia="en-GB"/>
        </w:rPr>
        <w:t>.</w:t>
      </w:r>
    </w:p>
    <w:p w14:paraId="0E71D2E1" w14:textId="7885AF41" w:rsidR="00016C5C" w:rsidRDefault="003C707C" w:rsidP="00FB5885">
      <w:pPr>
        <w:spacing w:line="480" w:lineRule="auto"/>
        <w:jc w:val="both"/>
        <w:rPr>
          <w:rFonts w:asciiTheme="minorHAnsi" w:eastAsia="Times New Roman" w:hAnsiTheme="minorHAnsi" w:cstheme="minorHAnsi"/>
          <w:lang w:val="en-GB" w:eastAsia="en-GB"/>
        </w:rPr>
      </w:pPr>
      <w:r w:rsidRPr="00282C55">
        <w:rPr>
          <w:rFonts w:asciiTheme="minorHAnsi" w:eastAsia="Times New Roman" w:hAnsiTheme="minorHAnsi" w:cstheme="minorHAnsi"/>
          <w:lang w:val="en-US" w:eastAsia="en-GB"/>
        </w:rPr>
        <w:t xml:space="preserve">Food intake was assessed through the validated Italian EPIC food frequency questionnaire </w:t>
      </w:r>
      <w:r w:rsidR="00FC6B63" w:rsidRPr="00282C55">
        <w:rPr>
          <w:rFonts w:asciiTheme="minorHAnsi" w:eastAsia="Times New Roman" w:hAnsiTheme="minorHAnsi" w:cstheme="minorHAnsi"/>
          <w:lang w:val="en-US" w:eastAsia="en-GB"/>
        </w:rPr>
        <w:fldChar w:fldCharType="begin" w:fldLock="1"/>
      </w:r>
      <w:r w:rsidR="00F01247">
        <w:rPr>
          <w:rFonts w:asciiTheme="minorHAnsi" w:eastAsia="Times New Roman" w:hAnsiTheme="minorHAnsi" w:cstheme="minorHAnsi"/>
          <w:lang w:val="en-US" w:eastAsia="en-GB"/>
        </w:rPr>
        <w:instrText>ADDIN CSL_CITATION {"citationItems":[{"id":"ITEM-1","itemData":{"ISSN":"0300-5771","PMID":"9126543","abstract":"A pilot questionnaire was developed for the EPIC centres of northern Italy, and validated in the feasibility part of the cohort project. The questionnaire was self-administered and of the food frequency type with portion size estimated by means of pictures. It was structured by courses within a meal characteristic of Italian dietary habits. Dietary intake estimated by the questionnaire was compared to the corresponding estimates obtained from 8-14 24-hour recall interviews administered over a 1-year period. The reference method was validated by means of urinary nitrogen in 4-6 repeated 24-hour urine collections. One hundred and ninety-seven volunteers (47 men and 150 women) were enrolled and completed the study lasting 1 year. They filled out two questionnaires at the beginning and at the end of the study, and had a 24-hour recall interview once a month. Twenty-four-hour urine samples were collected at regular intervals. Usual intake of energy, the major nutrients and some vitamins were estimated for the questionnaires and the reference method by means of food composition tables compiled for this study. The agreement between the questionnaire and the 24-hour recalls was only good for alcohol consumption: Pearson's correlation was 0.73 and 0.77 in men and women respectively. Otherwise the relative validity of the questionnaire ranged between 0.28 for fat to 0.52 for carbohydrates in men and 0.25 and 0.50 in women for the same nutrients. The validity of the two interview methods in estimating protein intake, compared to mean urinary nitrogen was 0.24 (M) and 0.18 (W) for the questionnaire and 0.63 (M) and 0.48 (W) for 24-hour recalls. The main causes of low performance of the questionnaire were identified to be the estimated intake of dressing and cooking fats, vegetables and meat. Remedies were devised and introduced in the final version of the questionnaire currently in use in the EPIC project.","author":[{"dropping-particle":"","family":"Pisani","given":"P","non-dropping-particle":"","parse-names":false,"suffix":""},{"dropping-particle":"","family":"Faggiano","given":"F","non-dropping-particle":"","parse-names":false,"suffix":""},{"dropping-particle":"","family":"Krogh","given":"V","non-dropping-particle":"","parse-names":false,"suffix":""},{"dropping-particle":"","family":"Palli","given":"D","non-dropping-particle":"","parse-names":false,"suffix":""},{"dropping-particle":"","family":"Vineis","given":"P","non-dropping-particle":"","parse-names":false,"suffix":""},{"dropping-particle":"","family":"Berrino","given":"F","non-dropping-particle":"","parse-names":false,"suffix":""}],"container-title":"International journal of epidemiology","id":"ITEM-1","issued":{"date-parts":[["1997"]]},"page":"S152-60","title":"Relative validity and reproducibility of a food frequency dietary questionnaire for use in the Italian EPIC centres.","type":"article-journal","volume":"26 Suppl 1"},"uris":["http://www.mendeley.com/documents/?uuid=10d4ea8f-ff08-3546-b650-14f6a9f52071"]}],"mendeley":{"formattedCitation":"[4]","plainTextFormattedCitation":"[4]","previouslyFormattedCitation":"[4]"},"properties":{"noteIndex":0},"schema":"https://github.com/citation-style-language/schema/raw/master/csl-citation.json"}</w:instrText>
      </w:r>
      <w:r w:rsidR="00FC6B63" w:rsidRPr="00282C55">
        <w:rPr>
          <w:rFonts w:asciiTheme="minorHAnsi" w:eastAsia="Times New Roman" w:hAnsiTheme="minorHAnsi" w:cstheme="minorHAnsi"/>
          <w:lang w:val="en-US" w:eastAsia="en-GB"/>
        </w:rPr>
        <w:fldChar w:fldCharType="separate"/>
      </w:r>
      <w:r w:rsidR="000979C1" w:rsidRPr="00282C55">
        <w:rPr>
          <w:rFonts w:asciiTheme="minorHAnsi" w:eastAsia="Times New Roman" w:hAnsiTheme="minorHAnsi" w:cstheme="minorHAnsi"/>
          <w:noProof/>
          <w:lang w:val="en-US" w:eastAsia="en-GB"/>
        </w:rPr>
        <w:t>[4]</w:t>
      </w:r>
      <w:r w:rsidR="00FC6B63" w:rsidRPr="00282C55">
        <w:rPr>
          <w:rFonts w:asciiTheme="minorHAnsi" w:eastAsia="Times New Roman" w:hAnsiTheme="minorHAnsi" w:cstheme="minorHAnsi"/>
          <w:lang w:val="en-US" w:eastAsia="en-GB"/>
        </w:rPr>
        <w:fldChar w:fldCharType="end"/>
      </w:r>
      <w:r w:rsidR="00FC6B63" w:rsidRPr="00282C55">
        <w:rPr>
          <w:rFonts w:asciiTheme="minorHAnsi" w:eastAsia="Times New Roman" w:hAnsiTheme="minorHAnsi" w:cstheme="minorHAnsi"/>
          <w:lang w:val="en-US" w:eastAsia="en-GB"/>
        </w:rPr>
        <w:t xml:space="preserve">. The EPIC questionnaire allowed to compute the daily </w:t>
      </w:r>
      <w:r w:rsidR="00FC6B63" w:rsidRPr="00282C55">
        <w:rPr>
          <w:rFonts w:asciiTheme="minorHAnsi" w:eastAsia="Times New Roman" w:hAnsiTheme="minorHAnsi" w:cstheme="minorHAnsi"/>
          <w:i/>
          <w:iCs/>
          <w:lang w:val="en-US" w:eastAsia="en-GB"/>
        </w:rPr>
        <w:t>energy intake</w:t>
      </w:r>
      <w:r w:rsidR="00FC6B63" w:rsidRPr="00282C55">
        <w:rPr>
          <w:rFonts w:asciiTheme="minorHAnsi" w:eastAsia="Times New Roman" w:hAnsiTheme="minorHAnsi" w:cstheme="minorHAnsi"/>
          <w:lang w:val="en-US" w:eastAsia="en-GB"/>
        </w:rPr>
        <w:t xml:space="preserve"> for the subjects assessed (Kcal/day), as well as alcohol consumption habits, along with a few additional questions (see </w:t>
      </w:r>
      <w:r w:rsidR="00FC6B63" w:rsidRPr="00282C55">
        <w:rPr>
          <w:rFonts w:asciiTheme="minorHAnsi" w:eastAsia="Times New Roman" w:hAnsiTheme="minorHAnsi" w:cstheme="minorHAnsi"/>
          <w:lang w:val="en-US" w:eastAsia="en-GB"/>
        </w:rPr>
        <w:fldChar w:fldCharType="begin" w:fldLock="1"/>
      </w:r>
      <w:r w:rsidR="00F01247">
        <w:rPr>
          <w:rFonts w:asciiTheme="minorHAnsi" w:eastAsia="Times New Roman" w:hAnsiTheme="minorHAnsi" w:cstheme="minorHAnsi"/>
          <w:lang w:val="en-US" w:eastAsia="en-GB"/>
        </w:rPr>
        <w:instrText>ADDIN CSL_CITATION {"citationItems":[{"id":"ITEM-1","itemData":{"DOI":"10.1111/add.14490","ISSN":"13600443","abstract":"Background and aims Epidemiological evidence on the impact of different\nalcohol drinking patterns on health-care systems or hospitalizations is\nsparse. We investigated how the different average volumes of alcohol\nconsumed relate to all-cause and cause-specific hospitalizations. Design\nProspective cohort study (baseline 2005-10) linked to a registry of\nhospital discharge records to identify hospitalizations at follow-up\n(December 2013). Setting Molise region, Italy. Participants A total of\n20 682 individuals (48% men, age &gt;= 35 years) who participated in the\nMoli-sani Study and were free from cardiovascular disease or cancer at\nbaseline. Measurements The alcohol volume consumed in the year before\nenrolment was classified as: life-time abstainers, former drinkers,\noccasional drinkers and current drinkers who drank 1-12 (referent),\n12.1-24, 24.1-48 and &gt; 48 g/day of alcohol. Cause-specific\nhospitalizations were assigned by Italian Diagnosis Related Groups\nclassification or by ICD-9 code of main admission diagnoses. Incidence\nrate ratios (IRR) of hospitalization were estimated by Poisson\nregression, taking into account the total number of admissions that\noccurred during the follow-up per person. Findings During a median\nfollow-up of 6.3 years, 12 996 multiple hospital admissions occurred. In\nmultivariable analyses, life-time abstainers and former drinkers had\nhigher rates of all-cause {[}IRR = 1.11, 95% confidence interval (CI) =\n1.05-1.17 and IRR = 1.19, 95% CI = 1.02-1.31, respectively] and\nvascular (IRR = 1.14, 95% CI = 1.02-1.27 and IRR = 1.48, 95% CI =\n1.24-1.76, respectively) hospitalizations compared with light alcohol\nconsumers. Alcohol consumption &gt; 48 g/day was associated with a higher\nrate of hospitalization for both alcohol-related diseases (IRR = 1.74,\n95% CI = 1.32-2.29) and cancer (IRR = 1.36, 95% CI = 1.12-1.65). The\nmagnitude of the association between heavier alcohol intake and\nhospitalization tended to be greater in smokers than non-smokers. No\nassociations were observed with hospitalization for trauma or\nneurodegenerative diseases. Conclusions Moderate alcohol consumption\nappears to have a modest but complex impact on global hospitalization\nburden. Heavier drinkers have a higher rate of hospitalization for all\ncauses, including alcohol-related diseases and cancer, a risk that\nappears to be further magnified by concurrent smoking.","author":[{"dropping-particle":"","family":"Costanzo","given":"Simona","non-dropping-particle":"","parse-names":false,"suffix":""},{"dropping-particle":"","family":"Mukamal","given":"Kenneth J.","non-dropping-particle":"","parse-names":false,"suffix":""},{"dropping-particle":"","family":"Castelnuovo","given":"Augusto","non-dropping-particle":"Di","parse-names":false,"suffix":""},{"dropping-particle":"","family":"Bonaccio","given":"Marialaura","non-dropping-particle":"","parse-names":false,"suffix":""},{"dropping-particle":"","family":"Olivieri","given":"Marco","non-dropping-particle":"","parse-names":false,"suffix":""},{"dropping-particle":"","family":"Persichillo","given":"Mariarosaria","non-dropping-particle":"","parse-names":false,"suffix":""},{"dropping-particle":"","family":"Curtis","given":"Amalia","non-dropping-particle":"De","parse-names":false,"suffix":""},{"dropping-particle":"","family":"Cerletti","given":"Chiara","non-dropping-particle":"","parse-names":false,"suffix":""},{"dropping-particle":"","family":"Donati","given":"Maria Benedetta","non-dropping-particle":"","parse-names":false,"suffix":""},{"dropping-particle":"","family":"Gaetano","given":"Giovanni","non-dropping-particle":"de","parse-names":false,"suffix":""},{"dropping-particle":"","family":"Iacoviello","given":"Licia","non-dropping-particle":"","parse-names":false,"suffix":""}],"container-title":"Addiction","id":"ITEM-1","issue":"4","issued":{"date-parts":[["2019"]]},"page":"636-650","title":"Alcohol consumption and hospitalization burden in an adult Italian population: prospective results from the Moli-sani study","type":"article-journal","volume":"114"},"uris":["http://www.mendeley.com/documents/?uuid=ba0f4bcd-e66f-449d-afc3-c45188f45542"]}],"mendeley":{"formattedCitation":"[5]","plainTextFormattedCitation":"[5]","previouslyFormattedCitation":"[5]"},"properties":{"noteIndex":0},"schema":"https://github.com/citation-style-language/schema/raw/master/csl-citation.json"}</w:instrText>
      </w:r>
      <w:r w:rsidR="00FC6B63" w:rsidRPr="00282C55">
        <w:rPr>
          <w:rFonts w:asciiTheme="minorHAnsi" w:eastAsia="Times New Roman" w:hAnsiTheme="minorHAnsi" w:cstheme="minorHAnsi"/>
          <w:lang w:val="en-US" w:eastAsia="en-GB"/>
        </w:rPr>
        <w:fldChar w:fldCharType="separate"/>
      </w:r>
      <w:r w:rsidR="00F01247" w:rsidRPr="00F01247">
        <w:rPr>
          <w:rFonts w:asciiTheme="minorHAnsi" w:eastAsia="Times New Roman" w:hAnsiTheme="minorHAnsi" w:cstheme="minorHAnsi"/>
          <w:noProof/>
          <w:lang w:val="en-GB" w:eastAsia="en-GB"/>
        </w:rPr>
        <w:t>[5]</w:t>
      </w:r>
      <w:r w:rsidR="00FC6B63" w:rsidRPr="00282C55">
        <w:rPr>
          <w:rFonts w:asciiTheme="minorHAnsi" w:eastAsia="Times New Roman" w:hAnsiTheme="minorHAnsi" w:cstheme="minorHAnsi"/>
          <w:lang w:val="en-US" w:eastAsia="en-GB"/>
        </w:rPr>
        <w:fldChar w:fldCharType="end"/>
      </w:r>
      <w:r w:rsidR="00B20F62" w:rsidRPr="00282C55">
        <w:rPr>
          <w:rFonts w:asciiTheme="minorHAnsi" w:eastAsia="Times New Roman" w:hAnsiTheme="minorHAnsi" w:cstheme="minorHAnsi"/>
          <w:lang w:val="en-GB" w:eastAsia="en-GB"/>
        </w:rPr>
        <w:t xml:space="preserve"> for details).</w:t>
      </w:r>
    </w:p>
    <w:p w14:paraId="527FE415" w14:textId="05F6E71C" w:rsidR="006D5CDD" w:rsidRPr="00282C55" w:rsidRDefault="00B20F62" w:rsidP="00FB5885">
      <w:pPr>
        <w:spacing w:line="480" w:lineRule="auto"/>
        <w:jc w:val="both"/>
        <w:rPr>
          <w:rFonts w:asciiTheme="minorHAnsi" w:eastAsia="Times New Roman" w:hAnsiTheme="minorHAnsi" w:cstheme="minorHAnsi"/>
          <w:lang w:val="en-GB" w:eastAsia="en-GB"/>
        </w:rPr>
      </w:pPr>
      <w:r w:rsidRPr="00282C55">
        <w:rPr>
          <w:rFonts w:asciiTheme="minorHAnsi" w:eastAsia="Times New Roman" w:hAnsiTheme="minorHAnsi" w:cstheme="minorHAnsi"/>
          <w:lang w:val="en-GB" w:eastAsia="en-GB"/>
        </w:rPr>
        <w:t xml:space="preserve">Based on this information, </w:t>
      </w:r>
      <w:r w:rsidRPr="00282C55">
        <w:rPr>
          <w:rFonts w:asciiTheme="minorHAnsi" w:eastAsia="Times New Roman" w:hAnsiTheme="minorHAnsi" w:cstheme="minorHAnsi"/>
          <w:i/>
          <w:iCs/>
          <w:lang w:val="en-GB" w:eastAsia="en-GB"/>
        </w:rPr>
        <w:t>drinking status</w:t>
      </w:r>
      <w:r w:rsidRPr="00282C55">
        <w:rPr>
          <w:rFonts w:asciiTheme="minorHAnsi" w:eastAsia="Times New Roman" w:hAnsiTheme="minorHAnsi" w:cstheme="minorHAnsi"/>
          <w:lang w:val="en-GB" w:eastAsia="en-GB"/>
        </w:rPr>
        <w:t xml:space="preserve"> was instead classified into </w:t>
      </w:r>
      <w:r w:rsidR="009D0459" w:rsidRPr="00282C55">
        <w:rPr>
          <w:rFonts w:asciiTheme="minorHAnsi" w:eastAsia="Times New Roman" w:hAnsiTheme="minorHAnsi" w:cstheme="minorHAnsi"/>
          <w:lang w:val="en-GB" w:eastAsia="en-GB"/>
        </w:rPr>
        <w:t>five</w:t>
      </w:r>
      <w:r w:rsidRPr="00282C55">
        <w:rPr>
          <w:rFonts w:asciiTheme="minorHAnsi" w:eastAsia="Times New Roman" w:hAnsiTheme="minorHAnsi" w:cstheme="minorHAnsi"/>
          <w:lang w:val="en-GB" w:eastAsia="en-GB"/>
        </w:rPr>
        <w:t xml:space="preserve"> categories: lifetime abstainers, former drinkers, current drinkers of 12.1-24</w:t>
      </w:r>
      <w:r w:rsidR="00EB5DAF" w:rsidRPr="00282C55">
        <w:rPr>
          <w:rFonts w:asciiTheme="minorHAnsi" w:eastAsia="Times New Roman" w:hAnsiTheme="minorHAnsi" w:cstheme="minorHAnsi"/>
          <w:lang w:val="en-GB" w:eastAsia="en-GB"/>
        </w:rPr>
        <w:t xml:space="preserve"> (moderate drinkers)</w:t>
      </w:r>
      <w:r w:rsidRPr="00282C55">
        <w:rPr>
          <w:rFonts w:asciiTheme="minorHAnsi" w:eastAsia="Times New Roman" w:hAnsiTheme="minorHAnsi" w:cstheme="minorHAnsi"/>
          <w:lang w:val="en-GB" w:eastAsia="en-GB"/>
        </w:rPr>
        <w:t xml:space="preserve">, 24.1-48 </w:t>
      </w:r>
      <w:r w:rsidR="00EB5DAF" w:rsidRPr="00282C55">
        <w:rPr>
          <w:rFonts w:asciiTheme="minorHAnsi" w:eastAsia="Times New Roman" w:hAnsiTheme="minorHAnsi" w:cstheme="minorHAnsi"/>
          <w:lang w:val="en-GB" w:eastAsia="en-GB"/>
        </w:rPr>
        <w:t xml:space="preserve">(heavy drinkers) </w:t>
      </w:r>
      <w:r w:rsidR="0061245B" w:rsidRPr="00282C55">
        <w:rPr>
          <w:rFonts w:asciiTheme="minorHAnsi" w:eastAsia="Times New Roman" w:hAnsiTheme="minorHAnsi" w:cstheme="minorHAnsi"/>
          <w:lang w:val="en-GB" w:eastAsia="en-GB"/>
        </w:rPr>
        <w:t xml:space="preserve">and &gt;48 g/day </w:t>
      </w:r>
      <w:r w:rsidR="00EB5DAF" w:rsidRPr="00282C55">
        <w:rPr>
          <w:rFonts w:asciiTheme="minorHAnsi" w:eastAsia="Times New Roman" w:hAnsiTheme="minorHAnsi" w:cstheme="minorHAnsi"/>
          <w:lang w:val="en-GB" w:eastAsia="en-GB"/>
        </w:rPr>
        <w:t>(very-heavy drinkers)</w:t>
      </w:r>
      <w:r w:rsidR="00EC0515" w:rsidRPr="00282C55">
        <w:rPr>
          <w:rFonts w:asciiTheme="minorHAnsi" w:eastAsia="Times New Roman" w:hAnsiTheme="minorHAnsi" w:cstheme="minorHAnsi"/>
          <w:lang w:val="en-GB" w:eastAsia="en-GB"/>
        </w:rPr>
        <w:t xml:space="preserve">, as specified elsewhere </w:t>
      </w:r>
      <w:r w:rsidR="00C57D31" w:rsidRPr="00282C55">
        <w:rPr>
          <w:rFonts w:asciiTheme="minorHAnsi" w:eastAsia="Times New Roman" w:hAnsiTheme="minorHAnsi" w:cstheme="minorHAnsi"/>
          <w:lang w:val="en-GB" w:eastAsia="en-GB"/>
        </w:rPr>
        <w:fldChar w:fldCharType="begin" w:fldLock="1"/>
      </w:r>
      <w:r w:rsidR="00F01247">
        <w:rPr>
          <w:rFonts w:asciiTheme="minorHAnsi" w:eastAsia="Times New Roman" w:hAnsiTheme="minorHAnsi" w:cstheme="minorHAnsi"/>
          <w:lang w:val="en-GB" w:eastAsia="en-GB"/>
        </w:rPr>
        <w:instrText>ADDIN CSL_CITATION {"citationItems":[{"id":"ITEM-1","itemData":{"DOI":"10.1111/add.14490","ISSN":"13600443","abstract":"Background and aims Epidemiological evidence on the impact of different\nalcohol drinking patterns on health-care systems or hospitalizations is\nsparse. We investigated how the different average volumes of alcohol\nconsumed relate to all-cause and cause-specific hospitalizations. Design\nProspective cohort study (baseline 2005-10) linked to a registry of\nhospital discharge records to identify hospitalizations at follow-up\n(December 2013). Setting Molise region, Italy. Participants A total of\n20 682 individuals (48% men, age &gt;= 35 years) who participated in the\nMoli-sani Study and were free from cardiovascular disease or cancer at\nbaseline. Measurements The alcohol volume consumed in the year before\nenrolment was classified as: life-time abstainers, former drinkers,\noccasional drinkers and current drinkers who drank 1-12 (referent),\n12.1-24, 24.1-48 and &gt; 48 g/day of alcohol. Cause-specific\nhospitalizations were assigned by Italian Diagnosis Related Groups\nclassification or by ICD-9 code of main admission diagnoses. Incidence\nrate ratios (IRR) of hospitalization were estimated by Poisson\nregression, taking into account the total number of admissions that\noccurred during the follow-up per person. Findings During a median\nfollow-up of 6.3 years, 12 996 multiple hospital admissions occurred. In\nmultivariable analyses, life-time abstainers and former drinkers had\nhigher rates of all-cause {[}IRR = 1.11, 95% confidence interval (CI) =\n1.05-1.17 and IRR = 1.19, 95% CI = 1.02-1.31, respectively] and\nvascular (IRR = 1.14, 95% CI = 1.02-1.27 and IRR = 1.48, 95% CI =\n1.24-1.76, respectively) hospitalizations compared with light alcohol\nconsumers. Alcohol consumption &gt; 48 g/day was associated with a higher\nrate of hospitalization for both alcohol-related diseases (IRR = 1.74,\n95% CI = 1.32-2.29) and cancer (IRR = 1.36, 95% CI = 1.12-1.65). The\nmagnitude of the association between heavier alcohol intake and\nhospitalization tended to be greater in smokers than non-smokers. No\nassociations were observed with hospitalization for trauma or\nneurodegenerative diseases. Conclusions Moderate alcohol consumption\nappears to have a modest but complex impact on global hospitalization\nburden. Heavier drinkers have a higher rate of hospitalization for all\ncauses, including alcohol-related diseases and cancer, a risk that\nappears to be further magnified by concurrent smoking.","author":[{"dropping-particle":"","family":"Costanzo","given":"Simona","non-dropping-particle":"","parse-names":false,"suffix":""},{"dropping-particle":"","family":"Mukamal","given":"Kenneth J.","non-dropping-particle":"","parse-names":false,"suffix":""},{"dropping-particle":"","family":"Castelnuovo","given":"Augusto","non-dropping-particle":"Di","parse-names":false,"suffix":""},{"dropping-particle":"","family":"Bonaccio","given":"Marialaura","non-dropping-particle":"","parse-names":false,"suffix":""},{"dropping-particle":"","family":"Olivieri","given":"Marco","non-dropping-particle":"","parse-names":false,"suffix":""},{"dropping-particle":"","family":"Persichillo","given":"Mariarosaria","non-dropping-particle":"","parse-names":false,"suffix":""},{"dropping-particle":"","family":"Curtis","given":"Amalia","non-dropping-particle":"De","parse-names":false,"suffix":""},{"dropping-particle":"","family":"Cerletti","given":"Chiara","non-dropping-particle":"","parse-names":false,"suffix":""},{"dropping-particle":"","family":"Donati","given":"Maria Benedetta","non-dropping-particle":"","parse-names":false,"suffix":""},{"dropping-particle":"","family":"Gaetano","given":"Giovanni","non-dropping-particle":"de","parse-names":false,"suffix":""},{"dropping-particle":"","family":"Iacoviello","given":"Licia","non-dropping-particle":"","parse-names":false,"suffix":""}],"container-title":"Addiction","id":"ITEM-1","issue":"4","issued":{"date-parts":[["2019"]]},"page":"636-650","title":"Alcohol consumption and hospitalization burden in an adult Italian population: prospective results from the Moli-sani study","type":"article-journal","volume":"114"},"uris":["http://www.mendeley.com/documents/?uuid=ba0f4bcd-e66f-449d-afc3-c45188f45542"]}],"mendeley":{"formattedCitation":"[5]","plainTextFormattedCitation":"[5]","previouslyFormattedCitation":"[5]"},"properties":{"noteIndex":0},"schema":"https://github.com/citation-style-language/schema/raw/master/csl-citation.json"}</w:instrText>
      </w:r>
      <w:r w:rsidR="00C57D31" w:rsidRPr="00282C55">
        <w:rPr>
          <w:rFonts w:asciiTheme="minorHAnsi" w:eastAsia="Times New Roman" w:hAnsiTheme="minorHAnsi" w:cstheme="minorHAnsi"/>
          <w:lang w:val="en-GB" w:eastAsia="en-GB"/>
        </w:rPr>
        <w:fldChar w:fldCharType="separate"/>
      </w:r>
      <w:r w:rsidR="00F01247" w:rsidRPr="00F01247">
        <w:rPr>
          <w:rFonts w:asciiTheme="minorHAnsi" w:eastAsia="Times New Roman" w:hAnsiTheme="minorHAnsi" w:cstheme="minorHAnsi"/>
          <w:noProof/>
          <w:lang w:val="en-GB" w:eastAsia="en-GB"/>
        </w:rPr>
        <w:t>[5]</w:t>
      </w:r>
      <w:r w:rsidR="00C57D31" w:rsidRPr="00282C55">
        <w:rPr>
          <w:rFonts w:asciiTheme="minorHAnsi" w:eastAsia="Times New Roman" w:hAnsiTheme="minorHAnsi" w:cstheme="minorHAnsi"/>
          <w:lang w:val="en-GB" w:eastAsia="en-GB"/>
        </w:rPr>
        <w:fldChar w:fldCharType="end"/>
      </w:r>
      <w:r w:rsidR="00C57D31" w:rsidRPr="00282C55">
        <w:rPr>
          <w:rFonts w:asciiTheme="minorHAnsi" w:eastAsia="Times New Roman" w:hAnsiTheme="minorHAnsi" w:cstheme="minorHAnsi"/>
          <w:lang w:val="en-GB" w:eastAsia="en-GB"/>
        </w:rPr>
        <w:t xml:space="preserve">. </w:t>
      </w:r>
    </w:p>
    <w:p w14:paraId="53DFAF8C" w14:textId="04E49639" w:rsidR="00EC0515" w:rsidRPr="00282C55" w:rsidRDefault="00EC0515" w:rsidP="00FB5885">
      <w:pPr>
        <w:spacing w:line="480" w:lineRule="auto"/>
        <w:jc w:val="both"/>
        <w:rPr>
          <w:rFonts w:asciiTheme="minorHAnsi" w:hAnsiTheme="minorHAnsi" w:cstheme="minorHAnsi"/>
          <w:lang w:val="en-US"/>
        </w:rPr>
      </w:pPr>
      <w:r w:rsidRPr="00282C55">
        <w:rPr>
          <w:rFonts w:asciiTheme="minorHAnsi" w:hAnsiTheme="minorHAnsi" w:cstheme="minorHAnsi"/>
          <w:i/>
          <w:iCs/>
          <w:lang w:val="en-GB"/>
        </w:rPr>
        <w:t>A</w:t>
      </w:r>
      <w:r w:rsidR="00675996" w:rsidRPr="00282C55">
        <w:rPr>
          <w:rFonts w:asciiTheme="minorHAnsi" w:hAnsiTheme="minorHAnsi" w:cstheme="minorHAnsi"/>
          <w:i/>
          <w:iCs/>
          <w:lang w:val="en-GB"/>
        </w:rPr>
        <w:t>dherence to Mediterranean Diet (</w:t>
      </w:r>
      <w:proofErr w:type="spellStart"/>
      <w:r w:rsidR="00675996" w:rsidRPr="00282C55">
        <w:rPr>
          <w:rFonts w:asciiTheme="minorHAnsi" w:hAnsiTheme="minorHAnsi" w:cstheme="minorHAnsi"/>
          <w:i/>
          <w:iCs/>
          <w:lang w:val="en-GB"/>
        </w:rPr>
        <w:t>MeDi</w:t>
      </w:r>
      <w:proofErr w:type="spellEnd"/>
      <w:r w:rsidR="00675996" w:rsidRPr="00282C55">
        <w:rPr>
          <w:rFonts w:asciiTheme="minorHAnsi" w:hAnsiTheme="minorHAnsi" w:cstheme="minorHAnsi"/>
          <w:i/>
          <w:iCs/>
          <w:lang w:val="en-GB"/>
        </w:rPr>
        <w:t>)</w:t>
      </w:r>
      <w:r w:rsidR="00675996" w:rsidRPr="00282C55">
        <w:rPr>
          <w:rFonts w:asciiTheme="minorHAnsi" w:hAnsiTheme="minorHAnsi" w:cstheme="minorHAnsi"/>
          <w:lang w:val="en-GB"/>
        </w:rPr>
        <w:t xml:space="preserve"> </w:t>
      </w:r>
      <w:r w:rsidR="00675996" w:rsidRPr="00282C55">
        <w:rPr>
          <w:rFonts w:asciiTheme="minorHAnsi" w:hAnsiTheme="minorHAnsi" w:cstheme="minorHAnsi"/>
          <w:lang w:val="en-US"/>
        </w:rPr>
        <w:t xml:space="preserve">was determined through the </w:t>
      </w:r>
      <w:r w:rsidRPr="00282C55">
        <w:rPr>
          <w:rFonts w:asciiTheme="minorHAnsi" w:hAnsiTheme="minorHAnsi" w:cstheme="minorHAnsi"/>
          <w:lang w:val="en-US"/>
        </w:rPr>
        <w:t>score</w:t>
      </w:r>
      <w:r w:rsidR="00675996" w:rsidRPr="00282C55">
        <w:rPr>
          <w:rFonts w:asciiTheme="minorHAnsi" w:hAnsiTheme="minorHAnsi" w:cstheme="minorHAnsi"/>
          <w:lang w:val="en-US"/>
        </w:rPr>
        <w:t xml:space="preserve"> developed by </w:t>
      </w:r>
      <w:proofErr w:type="spellStart"/>
      <w:r w:rsidR="00675996" w:rsidRPr="00282C55">
        <w:rPr>
          <w:rFonts w:asciiTheme="minorHAnsi" w:hAnsiTheme="minorHAnsi" w:cstheme="minorHAnsi"/>
          <w:lang w:val="en-US"/>
        </w:rPr>
        <w:t>Trichopoulou</w:t>
      </w:r>
      <w:proofErr w:type="spellEnd"/>
      <w:r w:rsidR="00675996" w:rsidRPr="00282C55">
        <w:rPr>
          <w:rFonts w:asciiTheme="minorHAnsi" w:hAnsiTheme="minorHAnsi" w:cstheme="minorHAnsi"/>
          <w:lang w:val="en-US"/>
        </w:rPr>
        <w:t xml:space="preserve"> et al. </w:t>
      </w:r>
      <w:r w:rsidR="00675996" w:rsidRPr="00282C55">
        <w:rPr>
          <w:rFonts w:asciiTheme="minorHAnsi" w:hAnsiTheme="minorHAnsi" w:cstheme="minorHAnsi"/>
        </w:rPr>
        <w:fldChar w:fldCharType="begin" w:fldLock="1"/>
      </w:r>
      <w:r w:rsidR="00F01247">
        <w:rPr>
          <w:rFonts w:asciiTheme="minorHAnsi" w:hAnsiTheme="minorHAnsi" w:cstheme="minorHAnsi"/>
          <w:lang w:val="en-US"/>
        </w:rPr>
        <w:instrText>ADDIN CSL_CITATION {"citationItems":[{"id":"ITEM-1","itemData":{"DOI":"10.1056/NEJMoa025039","ISSN":"0028-4793","PMID":"12826634","abstract":"BACKGROUND Adherence to a Mediterranean diet may improve longevity, but relevant data are limited. METHODS We conducted a population-based, prospective investigation involving 22,043 adults in Greece who completed an extensive, validated, food-frequency questionnaire at base line. Adherence to the traditional Mediterranean diet was assessed by a 10-point Mediterranean-diet scale that incorporated the salient characteristics of this diet (range of scores, 0 to 9, with higher scores indicating greater adherence). We used proportional-hazards regression to assess the relation between adherence to the Mediterranean diet and total mortality, as well as mortality due to coronary heart disease and mortality due to cancer, with adjustment for age, sex, body-mass index, physical-activity level, and other potential confounders. RESULTS During a median of 44 months of follow-up, there were 275 deaths. A higher degree of adherence to the Mediterranean diet was associated with a reduction in total mortality (adjusted hazard ratio for death associated with a two-point increment in the Mediterranean-diet score, 0.75 [95 percent confidence interval, 0.64 to 0.87]). An inverse association with greater adherence to this diet was evident for both death due to coronary heart disease (adjusted hazard ratio, 0.67 [95 percent confidence interval, 0.47 to 0.94]) and death due to cancer (adjusted hazard ratio, 0.76 [95 percent confidence interval, 0.59 to 0.98]). Associations between individual food groups contributing to the Mediterranean-diet score and total mortality were generally not significant. CONCLUSIONS Greater adherence to the traditional Mediterranean diet is associated with a significant reduction in total mortality.","author":[{"dropping-particle":"","family":"Trichopoulou","given":"Antonia","non-dropping-particle":"","parse-names":false,"suffix":""},{"dropping-particle":"","family":"Costacou","given":"Tina","non-dropping-particle":"","parse-names":false,"suffix":""},{"dropping-particle":"","family":"Bamia","given":"Christina","non-dropping-particle":"","parse-names":false,"suffix":""},{"dropping-particle":"","family":"Trichopoulos","given":"Dimitrios","non-dropping-particle":"","parse-names":false,"suffix":""}],"container-title":"New England Journal of Medicine","id":"ITEM-1","issue":"26","issued":{"date-parts":[["2003","6","26"]]},"page":"2599-2608","title":"Adherence to a Mediterranean Diet and Survival in a Greek Population","type":"article-journal","volume":"348"},"uris":["http://www.mendeley.com/documents/?uuid=ab3a0d5e-ab4e-3a9f-b402-8239d60628bb"]}],"mendeley":{"formattedCitation":"[6]","plainTextFormattedCitation":"[6]","previouslyFormattedCitation":"[6]"},"properties":{"noteIndex":0},"schema":"https://github.com/citation-style-language/schema/raw/master/csl-citation.json"}</w:instrText>
      </w:r>
      <w:r w:rsidR="00675996" w:rsidRPr="00282C55">
        <w:rPr>
          <w:rFonts w:asciiTheme="minorHAnsi" w:hAnsiTheme="minorHAnsi" w:cstheme="minorHAnsi"/>
        </w:rPr>
        <w:fldChar w:fldCharType="separate"/>
      </w:r>
      <w:r w:rsidR="00F01247" w:rsidRPr="00F01247">
        <w:rPr>
          <w:rFonts w:asciiTheme="minorHAnsi" w:hAnsiTheme="minorHAnsi" w:cstheme="minorHAnsi"/>
          <w:noProof/>
          <w:lang w:val="en-US"/>
        </w:rPr>
        <w:t>[6]</w:t>
      </w:r>
      <w:r w:rsidR="00675996" w:rsidRPr="00282C55">
        <w:rPr>
          <w:rFonts w:asciiTheme="minorHAnsi" w:hAnsiTheme="minorHAnsi" w:cstheme="minorHAnsi"/>
        </w:rPr>
        <w:fldChar w:fldCharType="end"/>
      </w:r>
      <w:r w:rsidR="00675996" w:rsidRPr="00282C55">
        <w:rPr>
          <w:rFonts w:asciiTheme="minorHAnsi" w:hAnsiTheme="minorHAnsi" w:cstheme="minorHAnsi"/>
          <w:lang w:val="en-US"/>
        </w:rPr>
        <w:t xml:space="preserve">, assigning 1 point to healthy foods and 0 points to detrimental ones and defining a score ranging from 0 to 9 (the latter reflecting maximal adherence). </w:t>
      </w:r>
    </w:p>
    <w:p w14:paraId="25780AE1" w14:textId="0F3AAEDE" w:rsidR="00675996" w:rsidRPr="00282C55" w:rsidRDefault="00EC0515" w:rsidP="00FB5885">
      <w:pPr>
        <w:spacing w:line="480" w:lineRule="auto"/>
        <w:jc w:val="both"/>
        <w:rPr>
          <w:rFonts w:asciiTheme="minorHAnsi" w:hAnsiTheme="minorHAnsi" w:cstheme="minorHAnsi"/>
          <w:lang w:val="en-US"/>
        </w:rPr>
      </w:pPr>
      <w:r w:rsidRPr="00282C55">
        <w:rPr>
          <w:rFonts w:asciiTheme="minorHAnsi" w:hAnsiTheme="minorHAnsi" w:cstheme="minorHAnsi"/>
          <w:i/>
          <w:iCs/>
          <w:lang w:val="en-GB"/>
        </w:rPr>
        <w:t>Psychological resilience</w:t>
      </w:r>
      <w:r w:rsidRPr="00282C55">
        <w:rPr>
          <w:rFonts w:asciiTheme="minorHAnsi" w:hAnsiTheme="minorHAnsi" w:cstheme="minorHAnsi"/>
          <w:lang w:val="en-GB"/>
        </w:rPr>
        <w:t xml:space="preserve"> was assessed through the Connor-Davidson Resilience Scale (CD-RISC), which</w:t>
      </w:r>
      <w:r w:rsidR="00675996" w:rsidRPr="00282C55">
        <w:rPr>
          <w:rFonts w:asciiTheme="minorHAnsi" w:hAnsiTheme="minorHAnsi" w:cstheme="minorHAnsi"/>
          <w:lang w:val="en-US"/>
        </w:rPr>
        <w:t xml:space="preserve"> is based on 25 items</w:t>
      </w:r>
      <w:r w:rsidRPr="00282C55">
        <w:rPr>
          <w:rFonts w:asciiTheme="minorHAnsi" w:hAnsiTheme="minorHAnsi" w:cstheme="minorHAnsi"/>
          <w:lang w:val="en-US"/>
        </w:rPr>
        <w:t>. This assessed</w:t>
      </w:r>
      <w:r w:rsidR="00675996" w:rsidRPr="00282C55">
        <w:rPr>
          <w:rFonts w:asciiTheme="minorHAnsi" w:hAnsiTheme="minorHAnsi" w:cstheme="minorHAnsi"/>
          <w:lang w:val="en-US"/>
        </w:rPr>
        <w:t xml:space="preserve"> five main subdomains</w:t>
      </w:r>
      <w:r w:rsidRPr="00282C55">
        <w:rPr>
          <w:rFonts w:asciiTheme="minorHAnsi" w:hAnsiTheme="minorHAnsi" w:cstheme="minorHAnsi"/>
          <w:lang w:val="en-US"/>
        </w:rPr>
        <w:t xml:space="preserve"> like </w:t>
      </w:r>
      <w:r w:rsidR="00675996" w:rsidRPr="00282C55">
        <w:rPr>
          <w:rFonts w:asciiTheme="minorHAnsi" w:hAnsiTheme="minorHAnsi" w:cstheme="minorHAnsi"/>
          <w:lang w:val="en-US"/>
        </w:rPr>
        <w:t xml:space="preserve">personal competence, trust/tolerance/strengthening effects of stress, acceptance of changes and secure relationships, </w:t>
      </w:r>
      <w:r w:rsidR="00675996" w:rsidRPr="00282C55">
        <w:rPr>
          <w:rFonts w:asciiTheme="minorHAnsi" w:hAnsiTheme="minorHAnsi" w:cstheme="minorHAnsi"/>
          <w:lang w:val="en-US"/>
        </w:rPr>
        <w:lastRenderedPageBreak/>
        <w:t xml:space="preserve">control and spiritual influences, </w:t>
      </w:r>
      <w:r w:rsidRPr="00282C55">
        <w:rPr>
          <w:rFonts w:asciiTheme="minorHAnsi" w:hAnsiTheme="minorHAnsi" w:cstheme="minorHAnsi"/>
          <w:lang w:val="en-US"/>
        </w:rPr>
        <w:t>rang</w:t>
      </w:r>
      <w:r w:rsidR="00016C5C">
        <w:rPr>
          <w:rFonts w:asciiTheme="minorHAnsi" w:hAnsiTheme="minorHAnsi" w:cstheme="minorHAnsi"/>
          <w:lang w:val="en-US"/>
        </w:rPr>
        <w:t>ing</w:t>
      </w:r>
      <w:r w:rsidR="00675996" w:rsidRPr="00282C55">
        <w:rPr>
          <w:rFonts w:asciiTheme="minorHAnsi" w:hAnsiTheme="minorHAnsi" w:cstheme="minorHAnsi"/>
          <w:lang w:val="en-US"/>
        </w:rPr>
        <w:t xml:space="preserve"> from 0 to 100, with higher score reflecting greater psychological resilience</w:t>
      </w:r>
      <w:r w:rsidRPr="00282C55">
        <w:rPr>
          <w:rFonts w:asciiTheme="minorHAnsi" w:hAnsiTheme="minorHAnsi" w:cstheme="minorHAnsi"/>
          <w:lang w:val="en-US"/>
        </w:rPr>
        <w:t xml:space="preserve"> </w:t>
      </w:r>
      <w:r w:rsidRPr="00282C55">
        <w:rPr>
          <w:rFonts w:asciiTheme="minorHAnsi" w:hAnsiTheme="minorHAnsi" w:cstheme="minorHAnsi"/>
          <w:lang w:val="en-US"/>
        </w:rPr>
        <w:fldChar w:fldCharType="begin" w:fldLock="1"/>
      </w:r>
      <w:r w:rsidR="00F01247">
        <w:rPr>
          <w:rFonts w:asciiTheme="minorHAnsi" w:hAnsiTheme="minorHAnsi" w:cstheme="minorHAnsi"/>
          <w:lang w:val="en-US"/>
        </w:rPr>
        <w:instrText>ADDIN CSL_CITATION {"citationItems":[{"id":"ITEM-1","itemData":{"DOI":"10.1002/da.10113","ISSN":"1091-4269 (Print)","PMID":"12964174","abstract":"Resilience may be viewed as a measure of stress coping ability and, as such, could be an important target of treatment in anxiety, depression, and stress reactions. We describe a new rating scale to assess resilience. The Connor-Davidson Resilience scale (CD-RISC) comprises of 25 items, each rated on a 5-point scale (0-4), with higher scores reflecting greater resilience. The scale was administered to subjects in the following groups: community sample, primary care outpatients, general psychiatric outpatients, clinical trial of generalized anxiety disorder, and two clinical trials of PTSD. The reliability, validity, and factor analytic structure of the scale were evaluated, and reference scores for study samples were calculated. Sensitivity to treatment effects was examined in subjects from the PTSD clinical trials. The scale demonstrated good psychometric properties and factor analysis yielded five factors. A repeated measures ANOVA showed that an increase in CD-RISC score was associated with greater improvement during treatment. Improvement in CD-RISC score was noted in proportion to overall clinical global improvement, with greatest increase noted in subjects with the highest global improvement and deterioration in CD-RISC score in those with minimal or no global improvement. The CD-RISC has sound psychometric properties and distinguishes between those with greater and lesser resilience. The scale demonstrates that resilience is modifiable and can improve with treatment, with greater improvement corresponding to higher levels of global improvement.","author":[{"dropping-particle":"","family":"Connor","given":"Kathryn M","non-dropping-particle":"","parse-names":false,"suffix":""},{"dropping-particle":"","family":"Davidson","given":"Jonathan R T","non-dropping-particle":"","parse-names":false,"suffix":""}],"container-title":"Depression and anxiety","id":"ITEM-1","issue":"2","issued":{"date-parts":[["2003"]]},"language":"eng","page":"76-82","publisher-place":"United States","title":"Development of a new resilience scale: the Connor-Davidson Resilience Scale (CD-RISC).","type":"article-journal","volume":"18"},"uris":["http://www.mendeley.com/documents/?uuid=8009f8e8-48c7-48da-acbd-abc005a80e9d"]}],"mendeley":{"formattedCitation":"[7]","plainTextFormattedCitation":"[7]","previouslyFormattedCitation":"[7]"},"properties":{"noteIndex":0},"schema":"https://github.com/citation-style-language/schema/raw/master/csl-citation.json"}</w:instrText>
      </w:r>
      <w:r w:rsidRPr="00282C55">
        <w:rPr>
          <w:rFonts w:asciiTheme="minorHAnsi" w:hAnsiTheme="minorHAnsi" w:cstheme="minorHAnsi"/>
          <w:lang w:val="en-US"/>
        </w:rPr>
        <w:fldChar w:fldCharType="separate"/>
      </w:r>
      <w:r w:rsidR="000979C1" w:rsidRPr="00282C55">
        <w:rPr>
          <w:rFonts w:asciiTheme="minorHAnsi" w:hAnsiTheme="minorHAnsi" w:cstheme="minorHAnsi"/>
          <w:noProof/>
          <w:lang w:val="en-US"/>
        </w:rPr>
        <w:t>[7]</w:t>
      </w:r>
      <w:r w:rsidRPr="00282C55">
        <w:rPr>
          <w:rFonts w:asciiTheme="minorHAnsi" w:hAnsiTheme="minorHAnsi" w:cstheme="minorHAnsi"/>
          <w:lang w:val="en-US"/>
        </w:rPr>
        <w:fldChar w:fldCharType="end"/>
      </w:r>
      <w:r w:rsidRPr="00282C55">
        <w:rPr>
          <w:rFonts w:asciiTheme="minorHAnsi" w:hAnsiTheme="minorHAnsi" w:cstheme="minorHAnsi"/>
          <w:lang w:val="en-US"/>
        </w:rPr>
        <w:t>.</w:t>
      </w:r>
    </w:p>
    <w:p w14:paraId="74B46FAB" w14:textId="7F6EB7FF" w:rsidR="00E7742F" w:rsidRPr="00282C55" w:rsidRDefault="00E7742F" w:rsidP="00FB5885">
      <w:pPr>
        <w:spacing w:line="480" w:lineRule="auto"/>
        <w:jc w:val="both"/>
        <w:rPr>
          <w:rFonts w:asciiTheme="minorHAnsi" w:eastAsia="Times New Roman" w:hAnsiTheme="minorHAnsi" w:cstheme="minorHAnsi"/>
          <w:lang w:val="en-US" w:eastAsia="en-GB"/>
        </w:rPr>
      </w:pPr>
      <w:proofErr w:type="gramStart"/>
      <w:r w:rsidRPr="00282C55">
        <w:rPr>
          <w:rFonts w:asciiTheme="minorHAnsi" w:eastAsia="Times New Roman" w:hAnsiTheme="minorHAnsi" w:cstheme="minorHAnsi"/>
          <w:i/>
          <w:iCs/>
          <w:lang w:val="en-US" w:eastAsia="en-GB"/>
        </w:rPr>
        <w:t>Antidepressants</w:t>
      </w:r>
      <w:proofErr w:type="gramEnd"/>
      <w:r w:rsidRPr="00282C55">
        <w:rPr>
          <w:rFonts w:asciiTheme="minorHAnsi" w:eastAsia="Times New Roman" w:hAnsiTheme="minorHAnsi" w:cstheme="minorHAnsi"/>
          <w:lang w:val="en-US" w:eastAsia="en-GB"/>
        </w:rPr>
        <w:t xml:space="preserve"> </w:t>
      </w:r>
      <w:r w:rsidRPr="00016C5C">
        <w:rPr>
          <w:rFonts w:asciiTheme="minorHAnsi" w:eastAsia="Times New Roman" w:hAnsiTheme="minorHAnsi" w:cstheme="minorHAnsi"/>
          <w:i/>
          <w:iCs/>
          <w:lang w:val="en-US" w:eastAsia="en-GB"/>
        </w:rPr>
        <w:t>use</w:t>
      </w:r>
      <w:r w:rsidRPr="00282C55">
        <w:rPr>
          <w:rFonts w:asciiTheme="minorHAnsi" w:eastAsia="Times New Roman" w:hAnsiTheme="minorHAnsi" w:cstheme="minorHAnsi"/>
          <w:lang w:val="en-US" w:eastAsia="en-GB"/>
        </w:rPr>
        <w:t xml:space="preserve"> was based on self-report and coded as a binary variable (Yes/No). This was further verified by the recruitment staff by asking the participants to show the drug box in use, and only those subjects which were able to provide such a proof were classified as anti-depressant users.</w:t>
      </w:r>
    </w:p>
    <w:p w14:paraId="3DF09B39" w14:textId="77777777" w:rsidR="00D56426" w:rsidRDefault="00D56426" w:rsidP="00282C55">
      <w:pPr>
        <w:spacing w:line="360" w:lineRule="auto"/>
        <w:jc w:val="center"/>
        <w:rPr>
          <w:rFonts w:asciiTheme="minorHAnsi" w:hAnsiTheme="minorHAnsi" w:cstheme="minorHAnsi"/>
          <w:b/>
          <w:bCs/>
          <w:lang w:val="en-US"/>
        </w:rPr>
      </w:pPr>
    </w:p>
    <w:p w14:paraId="389D5FE2" w14:textId="20C6BECF" w:rsidR="00022C4E" w:rsidRPr="00022C4E" w:rsidRDefault="00022C4E" w:rsidP="00022C4E">
      <w:pPr>
        <w:jc w:val="center"/>
        <w:rPr>
          <w:rFonts w:asciiTheme="minorHAnsi" w:hAnsiTheme="minorHAnsi" w:cstheme="minorHAnsi"/>
          <w:lang w:val="en-GB"/>
        </w:rPr>
      </w:pPr>
      <w:r w:rsidRPr="00022C4E">
        <w:rPr>
          <w:rFonts w:asciiTheme="minorHAnsi" w:hAnsiTheme="minorHAnsi" w:cstheme="minorHAnsi"/>
          <w:b/>
          <w:bCs/>
          <w:lang w:val="en-GB"/>
        </w:rPr>
        <w:t>Table S1.</w:t>
      </w:r>
      <w:r w:rsidRPr="00022C4E">
        <w:rPr>
          <w:rFonts w:asciiTheme="minorHAnsi" w:hAnsiTheme="minorHAnsi" w:cstheme="minorHAnsi"/>
          <w:lang w:val="en-GB"/>
        </w:rPr>
        <w:t xml:space="preserve"> Food parameters used for the dietary inflammatory index </w:t>
      </w:r>
      <w:r w:rsidR="00E07655">
        <w:rPr>
          <w:rFonts w:asciiTheme="minorHAnsi" w:hAnsiTheme="minorHAnsi" w:cstheme="minorHAnsi"/>
          <w:lang w:val="en-GB"/>
        </w:rPr>
        <w:t xml:space="preserve">(DII) </w:t>
      </w:r>
      <w:r w:rsidRPr="00022C4E">
        <w:rPr>
          <w:rFonts w:asciiTheme="minorHAnsi" w:hAnsiTheme="minorHAnsi" w:cstheme="minorHAnsi"/>
          <w:lang w:val="en-GB"/>
        </w:rPr>
        <w:t xml:space="preserve">calculation in the </w:t>
      </w:r>
      <w:proofErr w:type="spellStart"/>
      <w:r w:rsidRPr="00022C4E">
        <w:rPr>
          <w:rFonts w:asciiTheme="minorHAnsi" w:hAnsiTheme="minorHAnsi" w:cstheme="minorHAnsi"/>
          <w:lang w:val="en-GB"/>
        </w:rPr>
        <w:t>Moli-sani</w:t>
      </w:r>
      <w:proofErr w:type="spellEnd"/>
      <w:r w:rsidRPr="00022C4E">
        <w:rPr>
          <w:rFonts w:asciiTheme="minorHAnsi" w:hAnsiTheme="minorHAnsi" w:cstheme="minorHAnsi"/>
          <w:lang w:val="en-GB"/>
        </w:rPr>
        <w:t xml:space="preserve"> study cohort.</w:t>
      </w:r>
    </w:p>
    <w:p w14:paraId="0874377F" w14:textId="77777777" w:rsidR="00022C4E" w:rsidRPr="00022C4E" w:rsidRDefault="00022C4E" w:rsidP="00022C4E">
      <w:pPr>
        <w:jc w:val="center"/>
        <w:rPr>
          <w:rFonts w:asciiTheme="minorHAnsi" w:hAnsiTheme="minorHAnsi" w:cstheme="minorHAnsi"/>
          <w:lang w:val="en-GB"/>
        </w:rPr>
      </w:pPr>
    </w:p>
    <w:tbl>
      <w:tblPr>
        <w:tblStyle w:val="GridTable1Light"/>
        <w:tblW w:w="0" w:type="auto"/>
        <w:tblInd w:w="0" w:type="dxa"/>
        <w:tblLook w:val="04A0" w:firstRow="1" w:lastRow="0" w:firstColumn="1" w:lastColumn="0" w:noHBand="0" w:noVBand="1"/>
      </w:tblPr>
      <w:tblGrid>
        <w:gridCol w:w="4814"/>
        <w:gridCol w:w="4814"/>
      </w:tblGrid>
      <w:tr w:rsidR="00022C4E" w:rsidRPr="00022C4E" w14:paraId="176B410F" w14:textId="77777777" w:rsidTr="00022C4E">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814"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6D81C72B" w14:textId="77777777" w:rsidR="00022C4E" w:rsidRPr="00022C4E" w:rsidRDefault="00022C4E" w:rsidP="00022C4E">
            <w:pPr>
              <w:jc w:val="center"/>
              <w:rPr>
                <w:rFonts w:asciiTheme="minorHAnsi" w:hAnsiTheme="minorHAnsi" w:cstheme="minorHAnsi"/>
                <w:sz w:val="24"/>
                <w:szCs w:val="24"/>
                <w:lang w:val="en-GB"/>
              </w:rPr>
            </w:pPr>
            <w:r w:rsidRPr="00022C4E">
              <w:rPr>
                <w:rFonts w:asciiTheme="minorHAnsi" w:hAnsiTheme="minorHAnsi" w:cstheme="minorHAnsi"/>
                <w:sz w:val="24"/>
                <w:szCs w:val="24"/>
                <w:lang w:val="en-GB"/>
              </w:rPr>
              <w:t>Pro-inflammatory</w:t>
            </w:r>
          </w:p>
        </w:tc>
        <w:tc>
          <w:tcPr>
            <w:tcW w:w="4814"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26C2BA21" w14:textId="77777777" w:rsidR="00022C4E" w:rsidRPr="00022C4E" w:rsidRDefault="00022C4E" w:rsidP="00022C4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GB"/>
              </w:rPr>
            </w:pPr>
            <w:r w:rsidRPr="00022C4E">
              <w:rPr>
                <w:rFonts w:asciiTheme="minorHAnsi" w:hAnsiTheme="minorHAnsi" w:cstheme="minorHAnsi"/>
                <w:sz w:val="24"/>
                <w:szCs w:val="24"/>
                <w:lang w:val="en-GB"/>
              </w:rPr>
              <w:t>Anti-inflammatory</w:t>
            </w:r>
          </w:p>
        </w:tc>
      </w:tr>
      <w:tr w:rsidR="00022C4E" w:rsidRPr="00D45F4F" w14:paraId="21B79F4F" w14:textId="77777777" w:rsidTr="00022C4E">
        <w:tc>
          <w:tcPr>
            <w:cnfStyle w:val="001000000000" w:firstRow="0" w:lastRow="0" w:firstColumn="1" w:lastColumn="0" w:oddVBand="0" w:evenVBand="0" w:oddHBand="0" w:evenHBand="0" w:firstRowFirstColumn="0" w:firstRowLastColumn="0" w:lastRowFirstColumn="0" w:lastRowLastColumn="0"/>
            <w:tcW w:w="481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8AB915A" w14:textId="322FFFF2" w:rsidR="00022C4E" w:rsidRPr="00022C4E" w:rsidRDefault="00022C4E" w:rsidP="00022C4E">
            <w:pPr>
              <w:spacing w:line="276" w:lineRule="auto"/>
              <w:jc w:val="center"/>
              <w:rPr>
                <w:rFonts w:asciiTheme="minorHAnsi" w:hAnsiTheme="minorHAnsi" w:cstheme="minorHAnsi"/>
                <w:color w:val="000000"/>
                <w:sz w:val="24"/>
                <w:szCs w:val="24"/>
                <w:shd w:val="clear" w:color="auto" w:fill="FFFFFF"/>
                <w:lang w:val="en-GB"/>
              </w:rPr>
            </w:pPr>
            <w:r w:rsidRPr="00022C4E">
              <w:rPr>
                <w:rFonts w:asciiTheme="minorHAnsi" w:hAnsiTheme="minorHAnsi" w:cstheme="minorHAnsi"/>
                <w:b w:val="0"/>
                <w:bCs w:val="0"/>
                <w:color w:val="000000"/>
                <w:sz w:val="24"/>
                <w:szCs w:val="24"/>
                <w:shd w:val="clear" w:color="auto" w:fill="FFFFFF"/>
                <w:lang w:val="en-GB"/>
              </w:rPr>
              <w:t>Carbohydrate</w:t>
            </w:r>
          </w:p>
          <w:p w14:paraId="38F3E650" w14:textId="767ABA3B" w:rsidR="00022C4E" w:rsidRPr="00022C4E" w:rsidRDefault="00022C4E" w:rsidP="00022C4E">
            <w:pPr>
              <w:spacing w:line="276" w:lineRule="auto"/>
              <w:jc w:val="center"/>
              <w:rPr>
                <w:rFonts w:asciiTheme="minorHAnsi" w:hAnsiTheme="minorHAnsi" w:cstheme="minorHAnsi"/>
                <w:color w:val="000000"/>
                <w:sz w:val="24"/>
                <w:szCs w:val="24"/>
                <w:shd w:val="clear" w:color="auto" w:fill="FFFFFF"/>
                <w:lang w:val="en-GB"/>
              </w:rPr>
            </w:pPr>
            <w:r w:rsidRPr="00022C4E">
              <w:rPr>
                <w:rFonts w:asciiTheme="minorHAnsi" w:hAnsiTheme="minorHAnsi" w:cstheme="minorHAnsi"/>
                <w:b w:val="0"/>
                <w:bCs w:val="0"/>
                <w:color w:val="000000"/>
                <w:sz w:val="24"/>
                <w:szCs w:val="24"/>
                <w:shd w:val="clear" w:color="auto" w:fill="FFFFFF"/>
                <w:lang w:val="en-GB"/>
              </w:rPr>
              <w:t>Cholesterol</w:t>
            </w:r>
          </w:p>
          <w:p w14:paraId="7FD762E0" w14:textId="5D476909" w:rsidR="00022C4E" w:rsidRPr="00022C4E" w:rsidRDefault="00022C4E" w:rsidP="00022C4E">
            <w:pPr>
              <w:spacing w:line="276" w:lineRule="auto"/>
              <w:jc w:val="center"/>
              <w:rPr>
                <w:rFonts w:asciiTheme="minorHAnsi" w:hAnsiTheme="minorHAnsi" w:cstheme="minorHAnsi"/>
                <w:color w:val="000000"/>
                <w:sz w:val="24"/>
                <w:szCs w:val="24"/>
                <w:shd w:val="clear" w:color="auto" w:fill="FFFFFF"/>
                <w:lang w:val="en-GB"/>
              </w:rPr>
            </w:pPr>
            <w:r w:rsidRPr="00022C4E">
              <w:rPr>
                <w:rFonts w:asciiTheme="minorHAnsi" w:hAnsiTheme="minorHAnsi" w:cstheme="minorHAnsi"/>
                <w:b w:val="0"/>
                <w:bCs w:val="0"/>
                <w:color w:val="000000"/>
                <w:sz w:val="24"/>
                <w:szCs w:val="24"/>
                <w:shd w:val="clear" w:color="auto" w:fill="FFFFFF"/>
                <w:lang w:val="en-GB"/>
              </w:rPr>
              <w:t>Energy</w:t>
            </w:r>
          </w:p>
          <w:p w14:paraId="04F92716" w14:textId="17956500" w:rsidR="00022C4E" w:rsidRPr="00022C4E" w:rsidRDefault="00022C4E" w:rsidP="00022C4E">
            <w:pPr>
              <w:spacing w:line="276" w:lineRule="auto"/>
              <w:jc w:val="center"/>
              <w:rPr>
                <w:rFonts w:asciiTheme="minorHAnsi" w:hAnsiTheme="minorHAnsi" w:cstheme="minorHAnsi"/>
                <w:color w:val="000000"/>
                <w:sz w:val="24"/>
                <w:szCs w:val="24"/>
                <w:shd w:val="clear" w:color="auto" w:fill="FFFFFF"/>
                <w:lang w:val="en-GB"/>
              </w:rPr>
            </w:pPr>
            <w:r w:rsidRPr="00022C4E">
              <w:rPr>
                <w:rFonts w:asciiTheme="minorHAnsi" w:hAnsiTheme="minorHAnsi" w:cstheme="minorHAnsi"/>
                <w:b w:val="0"/>
                <w:bCs w:val="0"/>
                <w:color w:val="000000"/>
                <w:sz w:val="24"/>
                <w:szCs w:val="24"/>
                <w:shd w:val="clear" w:color="auto" w:fill="FFFFFF"/>
                <w:lang w:val="en-GB"/>
              </w:rPr>
              <w:t>Iron</w:t>
            </w:r>
          </w:p>
          <w:p w14:paraId="655D2645" w14:textId="59506599" w:rsidR="00022C4E" w:rsidRPr="00022C4E" w:rsidRDefault="00022C4E" w:rsidP="00022C4E">
            <w:pPr>
              <w:spacing w:line="276" w:lineRule="auto"/>
              <w:jc w:val="center"/>
              <w:rPr>
                <w:rFonts w:asciiTheme="minorHAnsi" w:hAnsiTheme="minorHAnsi" w:cstheme="minorHAnsi"/>
                <w:color w:val="000000"/>
                <w:sz w:val="24"/>
                <w:szCs w:val="24"/>
                <w:shd w:val="clear" w:color="auto" w:fill="FFFFFF"/>
                <w:lang w:val="en-GB"/>
              </w:rPr>
            </w:pPr>
            <w:r w:rsidRPr="00022C4E">
              <w:rPr>
                <w:rFonts w:asciiTheme="minorHAnsi" w:hAnsiTheme="minorHAnsi" w:cstheme="minorHAnsi"/>
                <w:b w:val="0"/>
                <w:bCs w:val="0"/>
                <w:color w:val="000000"/>
                <w:sz w:val="24"/>
                <w:szCs w:val="24"/>
                <w:shd w:val="clear" w:color="auto" w:fill="FFFFFF"/>
                <w:lang w:val="en-GB"/>
              </w:rPr>
              <w:t>Protein</w:t>
            </w:r>
          </w:p>
          <w:p w14:paraId="41921682" w14:textId="7C568C0D" w:rsidR="00022C4E" w:rsidRPr="00022C4E" w:rsidRDefault="00022C4E" w:rsidP="00022C4E">
            <w:pPr>
              <w:spacing w:line="276" w:lineRule="auto"/>
              <w:jc w:val="center"/>
              <w:rPr>
                <w:rFonts w:asciiTheme="minorHAnsi" w:hAnsiTheme="minorHAnsi" w:cstheme="minorHAnsi"/>
                <w:color w:val="000000"/>
                <w:sz w:val="24"/>
                <w:szCs w:val="24"/>
                <w:shd w:val="clear" w:color="auto" w:fill="FFFFFF"/>
                <w:lang w:val="en-GB"/>
              </w:rPr>
            </w:pPr>
            <w:r w:rsidRPr="00022C4E">
              <w:rPr>
                <w:rFonts w:asciiTheme="minorHAnsi" w:hAnsiTheme="minorHAnsi" w:cstheme="minorHAnsi"/>
                <w:b w:val="0"/>
                <w:bCs w:val="0"/>
                <w:color w:val="000000"/>
                <w:sz w:val="24"/>
                <w:szCs w:val="24"/>
                <w:shd w:val="clear" w:color="auto" w:fill="FFFFFF"/>
                <w:lang w:val="en-GB"/>
              </w:rPr>
              <w:t>Saturated fat</w:t>
            </w:r>
          </w:p>
          <w:p w14:paraId="1C765338" w14:textId="1F47B706" w:rsidR="00022C4E" w:rsidRPr="00022C4E" w:rsidRDefault="00022C4E" w:rsidP="00022C4E">
            <w:pPr>
              <w:spacing w:line="276" w:lineRule="auto"/>
              <w:jc w:val="center"/>
              <w:rPr>
                <w:rFonts w:asciiTheme="minorHAnsi" w:hAnsiTheme="minorHAnsi" w:cstheme="minorHAnsi"/>
                <w:b w:val="0"/>
                <w:bCs w:val="0"/>
                <w:color w:val="000000"/>
                <w:sz w:val="24"/>
                <w:szCs w:val="24"/>
                <w:shd w:val="clear" w:color="auto" w:fill="FFFFFF"/>
                <w:lang w:val="en-GB"/>
              </w:rPr>
            </w:pPr>
            <w:r w:rsidRPr="00022C4E">
              <w:rPr>
                <w:rFonts w:asciiTheme="minorHAnsi" w:hAnsiTheme="minorHAnsi" w:cstheme="minorHAnsi"/>
                <w:b w:val="0"/>
                <w:bCs w:val="0"/>
                <w:color w:val="000000"/>
                <w:sz w:val="24"/>
                <w:szCs w:val="24"/>
                <w:shd w:val="clear" w:color="auto" w:fill="FFFFFF"/>
                <w:lang w:val="en-GB"/>
              </w:rPr>
              <w:t>Total fat</w:t>
            </w:r>
          </w:p>
        </w:tc>
        <w:tc>
          <w:tcPr>
            <w:tcW w:w="481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2634498" w14:textId="1D453507" w:rsidR="00022C4E" w:rsidRPr="00022C4E" w:rsidRDefault="00022C4E" w:rsidP="00022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lang w:val="en-GB"/>
              </w:rPr>
            </w:pPr>
            <w:r w:rsidRPr="00022C4E">
              <w:rPr>
                <w:rFonts w:asciiTheme="minorHAnsi" w:hAnsiTheme="minorHAnsi" w:cstheme="minorHAnsi"/>
                <w:color w:val="000000"/>
                <w:sz w:val="24"/>
                <w:szCs w:val="24"/>
                <w:shd w:val="clear" w:color="auto" w:fill="FFFFFF"/>
                <w:lang w:val="en-GB"/>
              </w:rPr>
              <w:t>Alcohol</w:t>
            </w:r>
          </w:p>
          <w:p w14:paraId="354B2601" w14:textId="77777777" w:rsidR="00022C4E" w:rsidRPr="00022C4E" w:rsidRDefault="00022C4E" w:rsidP="00022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lang w:val="en-GB"/>
              </w:rPr>
            </w:pPr>
            <w:r w:rsidRPr="00022C4E">
              <w:rPr>
                <w:rFonts w:asciiTheme="minorHAnsi" w:hAnsiTheme="minorHAnsi" w:cstheme="minorHAnsi"/>
                <w:color w:val="000000"/>
                <w:sz w:val="24"/>
                <w:szCs w:val="24"/>
                <w:shd w:val="clear" w:color="auto" w:fill="FFFFFF"/>
                <w:lang w:val="en-GB"/>
              </w:rPr>
              <w:t>Anthocyanidins</w:t>
            </w:r>
          </w:p>
          <w:p w14:paraId="1EFDC358" w14:textId="03100AD7" w:rsidR="00022C4E" w:rsidRPr="00022C4E" w:rsidRDefault="00022C4E" w:rsidP="00022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lang w:val="en-GB"/>
              </w:rPr>
            </w:pPr>
            <w:r w:rsidRPr="00022C4E">
              <w:rPr>
                <w:rFonts w:asciiTheme="minorHAnsi" w:hAnsiTheme="minorHAnsi" w:cstheme="minorHAnsi"/>
                <w:color w:val="000000"/>
                <w:sz w:val="24"/>
                <w:szCs w:val="24"/>
                <w:shd w:val="clear" w:color="auto" w:fill="FFFFFF"/>
                <w:lang w:val="en-GB"/>
              </w:rPr>
              <w:t>Beta-carotene</w:t>
            </w:r>
          </w:p>
          <w:p w14:paraId="083BBC52" w14:textId="7D0EB83D" w:rsidR="00022C4E" w:rsidRPr="00022C4E" w:rsidRDefault="00022C4E" w:rsidP="00022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lang w:val="en-GB"/>
              </w:rPr>
            </w:pPr>
            <w:proofErr w:type="spellStart"/>
            <w:r w:rsidRPr="00022C4E">
              <w:rPr>
                <w:rFonts w:asciiTheme="minorHAnsi" w:hAnsiTheme="minorHAnsi" w:cstheme="minorHAnsi"/>
                <w:color w:val="000000"/>
                <w:sz w:val="24"/>
                <w:szCs w:val="24"/>
                <w:shd w:val="clear" w:color="auto" w:fill="FFFFFF"/>
                <w:lang w:val="en-GB"/>
              </w:rPr>
              <w:t>Fib</w:t>
            </w:r>
            <w:r w:rsidR="00207E8D">
              <w:rPr>
                <w:rFonts w:asciiTheme="minorHAnsi" w:hAnsiTheme="minorHAnsi" w:cstheme="minorHAnsi"/>
                <w:color w:val="000000"/>
                <w:sz w:val="24"/>
                <w:szCs w:val="24"/>
                <w:shd w:val="clear" w:color="auto" w:fill="FFFFFF"/>
                <w:lang w:val="en-GB"/>
              </w:rPr>
              <w:t>er</w:t>
            </w:r>
            <w:proofErr w:type="spellEnd"/>
          </w:p>
          <w:p w14:paraId="76B455DA" w14:textId="57E93A7A" w:rsidR="00022C4E" w:rsidRPr="00022C4E" w:rsidRDefault="00022C4E" w:rsidP="00022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lang w:val="en-GB"/>
              </w:rPr>
            </w:pPr>
            <w:r w:rsidRPr="00022C4E">
              <w:rPr>
                <w:rFonts w:asciiTheme="minorHAnsi" w:hAnsiTheme="minorHAnsi" w:cstheme="minorHAnsi"/>
                <w:color w:val="000000"/>
                <w:sz w:val="24"/>
                <w:szCs w:val="24"/>
                <w:shd w:val="clear" w:color="auto" w:fill="FFFFFF"/>
                <w:lang w:val="en-GB"/>
              </w:rPr>
              <w:t>Flavan-3-ol</w:t>
            </w:r>
          </w:p>
          <w:p w14:paraId="7F4E71A5" w14:textId="29754A44" w:rsidR="00022C4E" w:rsidRPr="00022C4E" w:rsidRDefault="00022C4E" w:rsidP="00022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lang w:val="en-GB"/>
              </w:rPr>
            </w:pPr>
            <w:r w:rsidRPr="00022C4E">
              <w:rPr>
                <w:rFonts w:asciiTheme="minorHAnsi" w:hAnsiTheme="minorHAnsi" w:cstheme="minorHAnsi"/>
                <w:color w:val="000000"/>
                <w:sz w:val="24"/>
                <w:szCs w:val="24"/>
                <w:shd w:val="clear" w:color="auto" w:fill="FFFFFF"/>
                <w:lang w:val="en-GB"/>
              </w:rPr>
              <w:t>Flavones</w:t>
            </w:r>
          </w:p>
          <w:p w14:paraId="7F6AC50B" w14:textId="77777777" w:rsidR="00022C4E" w:rsidRPr="00022C4E" w:rsidRDefault="00022C4E" w:rsidP="00022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lang w:val="en-GB"/>
              </w:rPr>
            </w:pPr>
            <w:proofErr w:type="spellStart"/>
            <w:r w:rsidRPr="00022C4E">
              <w:rPr>
                <w:rFonts w:asciiTheme="minorHAnsi" w:hAnsiTheme="minorHAnsi" w:cstheme="minorHAnsi"/>
                <w:color w:val="000000"/>
                <w:sz w:val="24"/>
                <w:szCs w:val="24"/>
                <w:shd w:val="clear" w:color="auto" w:fill="FFFFFF"/>
                <w:lang w:val="en-GB"/>
              </w:rPr>
              <w:t>Flavonols</w:t>
            </w:r>
            <w:proofErr w:type="spellEnd"/>
          </w:p>
          <w:p w14:paraId="3E162BCF" w14:textId="13AED46B" w:rsidR="00022C4E" w:rsidRPr="00022C4E" w:rsidRDefault="00022C4E" w:rsidP="00022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lang w:val="en-GB"/>
              </w:rPr>
            </w:pPr>
            <w:proofErr w:type="spellStart"/>
            <w:r w:rsidRPr="00022C4E">
              <w:rPr>
                <w:rFonts w:asciiTheme="minorHAnsi" w:hAnsiTheme="minorHAnsi" w:cstheme="minorHAnsi"/>
                <w:color w:val="000000"/>
                <w:sz w:val="24"/>
                <w:szCs w:val="24"/>
                <w:shd w:val="clear" w:color="auto" w:fill="FFFFFF"/>
                <w:lang w:val="en-GB"/>
              </w:rPr>
              <w:t>Flavonones</w:t>
            </w:r>
            <w:proofErr w:type="spellEnd"/>
          </w:p>
          <w:p w14:paraId="739B84EE" w14:textId="77777777" w:rsidR="00022C4E" w:rsidRPr="00022C4E" w:rsidRDefault="00022C4E" w:rsidP="00022C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lang w:val="en-GB"/>
              </w:rPr>
            </w:pPr>
            <w:r w:rsidRPr="00022C4E">
              <w:rPr>
                <w:rFonts w:asciiTheme="minorHAnsi" w:hAnsiTheme="minorHAnsi" w:cstheme="minorHAnsi"/>
                <w:color w:val="000000"/>
                <w:sz w:val="24"/>
                <w:szCs w:val="24"/>
                <w:shd w:val="clear" w:color="auto" w:fill="FFFFFF"/>
                <w:lang w:val="en-GB"/>
              </w:rPr>
              <w:t>Folic acid</w:t>
            </w:r>
          </w:p>
          <w:p w14:paraId="30478B68" w14:textId="77777777" w:rsidR="00022C4E" w:rsidRPr="00022C4E" w:rsidRDefault="00022C4E" w:rsidP="00207E8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GB"/>
              </w:rPr>
            </w:pPr>
            <w:r w:rsidRPr="00022C4E">
              <w:rPr>
                <w:rFonts w:asciiTheme="minorHAnsi" w:hAnsiTheme="minorHAnsi" w:cstheme="minorHAnsi"/>
                <w:color w:val="000000"/>
                <w:sz w:val="24"/>
                <w:szCs w:val="24"/>
                <w:shd w:val="clear" w:color="auto" w:fill="FFFFFF"/>
                <w:lang w:val="en-GB"/>
              </w:rPr>
              <w:t>Isoflavones</w:t>
            </w:r>
          </w:p>
          <w:p w14:paraId="43BBF2D1" w14:textId="3517CBD0" w:rsidR="00022C4E" w:rsidRPr="00022C4E" w:rsidRDefault="00022C4E" w:rsidP="00207E8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lang w:val="en-GB"/>
              </w:rPr>
            </w:pPr>
            <w:r w:rsidRPr="00022C4E">
              <w:rPr>
                <w:rFonts w:asciiTheme="minorHAnsi" w:hAnsiTheme="minorHAnsi" w:cstheme="minorHAnsi"/>
                <w:color w:val="000000"/>
                <w:sz w:val="24"/>
                <w:szCs w:val="24"/>
                <w:shd w:val="clear" w:color="auto" w:fill="FFFFFF"/>
                <w:lang w:val="en-GB"/>
              </w:rPr>
              <w:t>Mono-unsaturated fat</w:t>
            </w:r>
          </w:p>
          <w:p w14:paraId="1C5F1432" w14:textId="6CF2B437" w:rsidR="00022C4E" w:rsidRPr="00022C4E" w:rsidRDefault="00022C4E" w:rsidP="00207E8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lang w:val="en-GB"/>
              </w:rPr>
            </w:pPr>
            <w:r w:rsidRPr="00022C4E">
              <w:rPr>
                <w:rFonts w:asciiTheme="minorHAnsi" w:hAnsiTheme="minorHAnsi" w:cstheme="minorHAnsi"/>
                <w:color w:val="000000"/>
                <w:sz w:val="24"/>
                <w:szCs w:val="24"/>
                <w:shd w:val="clear" w:color="auto" w:fill="FFFFFF"/>
                <w:lang w:val="en-GB"/>
              </w:rPr>
              <w:t>n-3 fatty acids</w:t>
            </w:r>
          </w:p>
          <w:p w14:paraId="06967498" w14:textId="35F89106" w:rsidR="00022C4E" w:rsidRPr="00022C4E" w:rsidRDefault="00022C4E" w:rsidP="00207E8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lang w:val="en-GB"/>
              </w:rPr>
            </w:pPr>
            <w:r w:rsidRPr="00022C4E">
              <w:rPr>
                <w:rFonts w:asciiTheme="minorHAnsi" w:hAnsiTheme="minorHAnsi" w:cstheme="minorHAnsi"/>
                <w:color w:val="000000"/>
                <w:sz w:val="24"/>
                <w:szCs w:val="24"/>
                <w:shd w:val="clear" w:color="auto" w:fill="FFFFFF"/>
                <w:lang w:val="en-GB"/>
              </w:rPr>
              <w:t>n-6 fatty acids</w:t>
            </w:r>
          </w:p>
          <w:p w14:paraId="5503A80F" w14:textId="1BE07484" w:rsidR="00022C4E" w:rsidRPr="00022C4E" w:rsidRDefault="00022C4E" w:rsidP="00207E8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lang w:val="en-GB"/>
              </w:rPr>
            </w:pPr>
            <w:r w:rsidRPr="00022C4E">
              <w:rPr>
                <w:rFonts w:asciiTheme="minorHAnsi" w:hAnsiTheme="minorHAnsi" w:cstheme="minorHAnsi"/>
                <w:color w:val="000000"/>
                <w:sz w:val="24"/>
                <w:szCs w:val="24"/>
                <w:shd w:val="clear" w:color="auto" w:fill="FFFFFF"/>
                <w:lang w:val="en-GB"/>
              </w:rPr>
              <w:t>Niacin</w:t>
            </w:r>
          </w:p>
          <w:p w14:paraId="0853342D" w14:textId="13D4F9AD" w:rsidR="00022C4E" w:rsidRPr="00022C4E" w:rsidRDefault="00573F5A" w:rsidP="00207E8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lang w:val="en-GB"/>
              </w:rPr>
            </w:pPr>
            <w:r>
              <w:rPr>
                <w:rFonts w:asciiTheme="minorHAnsi" w:hAnsiTheme="minorHAnsi" w:cstheme="minorHAnsi"/>
                <w:color w:val="000000"/>
                <w:sz w:val="24"/>
                <w:szCs w:val="24"/>
                <w:shd w:val="clear" w:color="auto" w:fill="FFFFFF"/>
                <w:lang w:val="en-GB"/>
              </w:rPr>
              <w:t>Garlic/</w:t>
            </w:r>
            <w:r w:rsidR="00022C4E" w:rsidRPr="00022C4E">
              <w:rPr>
                <w:rFonts w:asciiTheme="minorHAnsi" w:hAnsiTheme="minorHAnsi" w:cstheme="minorHAnsi"/>
                <w:color w:val="000000"/>
                <w:sz w:val="24"/>
                <w:szCs w:val="24"/>
                <w:shd w:val="clear" w:color="auto" w:fill="FFFFFF"/>
                <w:lang w:val="en-GB"/>
              </w:rPr>
              <w:t>Onion</w:t>
            </w:r>
          </w:p>
          <w:p w14:paraId="7B0544F6" w14:textId="6CC333DD" w:rsidR="00022C4E" w:rsidRPr="00022C4E" w:rsidRDefault="00022C4E" w:rsidP="008D01A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lang w:val="en-GB"/>
              </w:rPr>
            </w:pPr>
            <w:r w:rsidRPr="00022C4E">
              <w:rPr>
                <w:rFonts w:asciiTheme="minorHAnsi" w:hAnsiTheme="minorHAnsi" w:cstheme="minorHAnsi"/>
                <w:color w:val="000000"/>
                <w:sz w:val="24"/>
                <w:szCs w:val="24"/>
                <w:shd w:val="clear" w:color="auto" w:fill="FFFFFF"/>
                <w:lang w:val="en-GB"/>
              </w:rPr>
              <w:t>Poly-unsaturated fat</w:t>
            </w:r>
          </w:p>
          <w:p w14:paraId="14338E6D" w14:textId="17A998FA" w:rsidR="00022C4E" w:rsidRPr="00573F5A" w:rsidRDefault="00022C4E" w:rsidP="008D01A2">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rPr>
            </w:pPr>
            <w:r w:rsidRPr="00573F5A">
              <w:rPr>
                <w:rFonts w:asciiTheme="minorHAnsi" w:hAnsiTheme="minorHAnsi" w:cstheme="minorHAnsi"/>
                <w:color w:val="000000"/>
                <w:sz w:val="24"/>
                <w:szCs w:val="24"/>
                <w:shd w:val="clear" w:color="auto" w:fill="FFFFFF"/>
              </w:rPr>
              <w:t>Riboflavin</w:t>
            </w:r>
          </w:p>
          <w:p w14:paraId="18EBA538" w14:textId="605E73AE" w:rsidR="00022C4E" w:rsidRPr="00573F5A" w:rsidRDefault="00022C4E" w:rsidP="009F5F8A">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rPr>
            </w:pPr>
            <w:r w:rsidRPr="00573F5A">
              <w:rPr>
                <w:rFonts w:asciiTheme="minorHAnsi" w:hAnsiTheme="minorHAnsi" w:cstheme="minorHAnsi"/>
                <w:color w:val="000000"/>
                <w:sz w:val="24"/>
                <w:szCs w:val="24"/>
                <w:shd w:val="clear" w:color="auto" w:fill="FFFFFF"/>
              </w:rPr>
              <w:t>Selenium</w:t>
            </w:r>
          </w:p>
          <w:p w14:paraId="232E22F9" w14:textId="2288B148" w:rsidR="00022C4E" w:rsidRPr="00573F5A" w:rsidRDefault="00022C4E" w:rsidP="009F5F8A">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rPr>
            </w:pPr>
            <w:r w:rsidRPr="00573F5A">
              <w:rPr>
                <w:rFonts w:asciiTheme="minorHAnsi" w:hAnsiTheme="minorHAnsi" w:cstheme="minorHAnsi"/>
                <w:color w:val="000000"/>
                <w:sz w:val="24"/>
                <w:szCs w:val="24"/>
                <w:shd w:val="clear" w:color="auto" w:fill="FFFFFF"/>
              </w:rPr>
              <w:t>Tea</w:t>
            </w:r>
          </w:p>
          <w:p w14:paraId="3C0064D4" w14:textId="7105CD2D" w:rsidR="00022C4E" w:rsidRPr="00573F5A" w:rsidRDefault="00022C4E" w:rsidP="001D48B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rPr>
            </w:pPr>
            <w:r w:rsidRPr="00573F5A">
              <w:rPr>
                <w:rFonts w:asciiTheme="minorHAnsi" w:hAnsiTheme="minorHAnsi" w:cstheme="minorHAnsi"/>
                <w:color w:val="000000"/>
                <w:sz w:val="24"/>
                <w:szCs w:val="24"/>
                <w:shd w:val="clear" w:color="auto" w:fill="FFFFFF"/>
              </w:rPr>
              <w:t>Thiamine</w:t>
            </w:r>
          </w:p>
          <w:p w14:paraId="7628DF98" w14:textId="5864390C" w:rsidR="00022C4E" w:rsidRPr="00D45F4F" w:rsidRDefault="00022C4E" w:rsidP="001D48B4">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rPr>
            </w:pPr>
            <w:r w:rsidRPr="00D45F4F">
              <w:rPr>
                <w:rFonts w:asciiTheme="minorHAnsi" w:hAnsiTheme="minorHAnsi" w:cstheme="minorHAnsi"/>
                <w:color w:val="000000"/>
                <w:sz w:val="24"/>
                <w:szCs w:val="24"/>
                <w:shd w:val="clear" w:color="auto" w:fill="FFFFFF"/>
              </w:rPr>
              <w:t xml:space="preserve">Vitamin </w:t>
            </w:r>
            <w:r w:rsidR="00D45F4F" w:rsidRPr="00D45F4F">
              <w:rPr>
                <w:rFonts w:asciiTheme="minorHAnsi" w:hAnsiTheme="minorHAnsi" w:cstheme="minorHAnsi"/>
                <w:color w:val="000000"/>
                <w:sz w:val="24"/>
                <w:szCs w:val="24"/>
                <w:shd w:val="clear" w:color="auto" w:fill="FFFFFF"/>
              </w:rPr>
              <w:t>A</w:t>
            </w:r>
          </w:p>
          <w:p w14:paraId="1916CE78" w14:textId="0B5CDC56" w:rsidR="00022C4E" w:rsidRPr="00D45F4F" w:rsidRDefault="00022C4E" w:rsidP="00D45F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rPr>
            </w:pPr>
            <w:r w:rsidRPr="00D45F4F">
              <w:rPr>
                <w:rFonts w:asciiTheme="minorHAnsi" w:hAnsiTheme="minorHAnsi" w:cstheme="minorHAnsi"/>
                <w:color w:val="000000"/>
                <w:sz w:val="24"/>
                <w:szCs w:val="24"/>
                <w:shd w:val="clear" w:color="auto" w:fill="FFFFFF"/>
              </w:rPr>
              <w:t xml:space="preserve">Vitamin </w:t>
            </w:r>
            <w:r w:rsidR="00D45F4F" w:rsidRPr="00D45F4F">
              <w:rPr>
                <w:rFonts w:asciiTheme="minorHAnsi" w:hAnsiTheme="minorHAnsi" w:cstheme="minorHAnsi"/>
                <w:color w:val="000000"/>
                <w:sz w:val="24"/>
                <w:szCs w:val="24"/>
                <w:shd w:val="clear" w:color="auto" w:fill="FFFFFF"/>
              </w:rPr>
              <w:t>C</w:t>
            </w:r>
          </w:p>
          <w:p w14:paraId="1AFB9C00" w14:textId="5E4BDBAB" w:rsidR="00022C4E" w:rsidRPr="00D45F4F" w:rsidRDefault="00022C4E" w:rsidP="00D45F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rPr>
            </w:pPr>
            <w:r w:rsidRPr="00D45F4F">
              <w:rPr>
                <w:rFonts w:asciiTheme="minorHAnsi" w:hAnsiTheme="minorHAnsi" w:cstheme="minorHAnsi"/>
                <w:color w:val="000000"/>
                <w:sz w:val="24"/>
                <w:szCs w:val="24"/>
                <w:shd w:val="clear" w:color="auto" w:fill="FFFFFF"/>
              </w:rPr>
              <w:t xml:space="preserve">Vitamin </w:t>
            </w:r>
            <w:r w:rsidR="00D45F4F" w:rsidRPr="00D45F4F">
              <w:rPr>
                <w:rFonts w:asciiTheme="minorHAnsi" w:hAnsiTheme="minorHAnsi" w:cstheme="minorHAnsi"/>
                <w:color w:val="000000"/>
                <w:sz w:val="24"/>
                <w:szCs w:val="24"/>
                <w:shd w:val="clear" w:color="auto" w:fill="FFFFFF"/>
              </w:rPr>
              <w:t>D</w:t>
            </w:r>
          </w:p>
          <w:p w14:paraId="419C6DA3" w14:textId="4AA3687F" w:rsidR="00022C4E" w:rsidRPr="00573F5A" w:rsidRDefault="00022C4E" w:rsidP="00D45F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rPr>
            </w:pPr>
            <w:r w:rsidRPr="00573F5A">
              <w:rPr>
                <w:rFonts w:asciiTheme="minorHAnsi" w:hAnsiTheme="minorHAnsi" w:cstheme="minorHAnsi"/>
                <w:color w:val="000000"/>
                <w:sz w:val="24"/>
                <w:szCs w:val="24"/>
                <w:shd w:val="clear" w:color="auto" w:fill="FFFFFF"/>
              </w:rPr>
              <w:t xml:space="preserve">Vitamin </w:t>
            </w:r>
            <w:r w:rsidR="00D45F4F" w:rsidRPr="00573F5A">
              <w:rPr>
                <w:rFonts w:asciiTheme="minorHAnsi" w:hAnsiTheme="minorHAnsi" w:cstheme="minorHAnsi"/>
                <w:color w:val="000000"/>
                <w:sz w:val="24"/>
                <w:szCs w:val="24"/>
                <w:shd w:val="clear" w:color="auto" w:fill="FFFFFF"/>
              </w:rPr>
              <w:t>E</w:t>
            </w:r>
          </w:p>
          <w:p w14:paraId="2926E48D" w14:textId="6BCFEAA7" w:rsidR="00022C4E" w:rsidRPr="00573F5A" w:rsidRDefault="00022C4E" w:rsidP="00D45F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szCs w:val="24"/>
                <w:shd w:val="clear" w:color="auto" w:fill="FFFFFF"/>
              </w:rPr>
            </w:pPr>
            <w:r w:rsidRPr="00573F5A">
              <w:rPr>
                <w:rFonts w:asciiTheme="minorHAnsi" w:hAnsiTheme="minorHAnsi" w:cstheme="minorHAnsi"/>
                <w:color w:val="000000"/>
                <w:sz w:val="24"/>
                <w:szCs w:val="24"/>
                <w:shd w:val="clear" w:color="auto" w:fill="FFFFFF"/>
              </w:rPr>
              <w:t>Vitamin</w:t>
            </w:r>
            <w:r w:rsidR="00D45F4F" w:rsidRPr="00573F5A">
              <w:rPr>
                <w:rFonts w:asciiTheme="minorHAnsi" w:hAnsiTheme="minorHAnsi" w:cstheme="minorHAnsi"/>
                <w:color w:val="000000"/>
                <w:sz w:val="24"/>
                <w:szCs w:val="24"/>
                <w:shd w:val="clear" w:color="auto" w:fill="FFFFFF"/>
              </w:rPr>
              <w:t xml:space="preserve"> B6</w:t>
            </w:r>
          </w:p>
          <w:p w14:paraId="541AC2FF" w14:textId="20F2F752" w:rsidR="00022C4E" w:rsidRPr="00022C4E" w:rsidRDefault="00022C4E" w:rsidP="00D45F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lang w:val="en-GB"/>
              </w:rPr>
            </w:pPr>
            <w:r w:rsidRPr="00022C4E">
              <w:rPr>
                <w:rFonts w:asciiTheme="minorHAnsi" w:hAnsiTheme="minorHAnsi" w:cstheme="minorHAnsi"/>
                <w:color w:val="000000"/>
                <w:sz w:val="24"/>
                <w:szCs w:val="24"/>
                <w:shd w:val="clear" w:color="auto" w:fill="FFFFFF"/>
                <w:lang w:val="en-GB"/>
              </w:rPr>
              <w:t>Zinc</w:t>
            </w:r>
          </w:p>
        </w:tc>
      </w:tr>
    </w:tbl>
    <w:p w14:paraId="43313A16" w14:textId="77777777" w:rsidR="00EC6C55" w:rsidRDefault="00EC6C55" w:rsidP="00EC6C55">
      <w:pPr>
        <w:spacing w:line="360" w:lineRule="auto"/>
        <w:jc w:val="center"/>
        <w:rPr>
          <w:rFonts w:asciiTheme="minorHAnsi" w:hAnsiTheme="minorHAnsi" w:cstheme="minorHAnsi"/>
          <w:lang w:val="en-US"/>
        </w:rPr>
      </w:pPr>
      <w:r w:rsidRPr="00282C55">
        <w:rPr>
          <w:rFonts w:asciiTheme="minorHAnsi" w:hAnsiTheme="minorHAnsi" w:cstheme="minorHAnsi"/>
          <w:b/>
          <w:bCs/>
          <w:lang w:val="en-US"/>
        </w:rPr>
        <w:lastRenderedPageBreak/>
        <w:t>Figure S1.</w:t>
      </w:r>
      <w:r w:rsidRPr="00282C55">
        <w:rPr>
          <w:rFonts w:asciiTheme="minorHAnsi" w:hAnsiTheme="minorHAnsi" w:cstheme="minorHAnsi"/>
          <w:lang w:val="en-US"/>
        </w:rPr>
        <w:t xml:space="preserve"> </w:t>
      </w:r>
      <w:proofErr w:type="spellStart"/>
      <w:r w:rsidRPr="00282C55">
        <w:rPr>
          <w:rFonts w:asciiTheme="minorHAnsi" w:hAnsiTheme="minorHAnsi" w:cstheme="minorHAnsi"/>
          <w:lang w:val="en-US"/>
        </w:rPr>
        <w:t>Polychoric</w:t>
      </w:r>
      <w:proofErr w:type="spellEnd"/>
      <w:r w:rsidRPr="00282C55">
        <w:rPr>
          <w:rFonts w:asciiTheme="minorHAnsi" w:hAnsiTheme="minorHAnsi" w:cstheme="minorHAnsi"/>
          <w:lang w:val="en-US"/>
        </w:rPr>
        <w:t xml:space="preserve"> correlation matrix of depressive symptoms assessed.</w:t>
      </w:r>
    </w:p>
    <w:p w14:paraId="528E4505" w14:textId="77777777" w:rsidR="00EC6C55" w:rsidRPr="00282C55" w:rsidRDefault="00EC6C55" w:rsidP="00EC6C55">
      <w:pPr>
        <w:spacing w:line="360" w:lineRule="auto"/>
        <w:jc w:val="center"/>
        <w:rPr>
          <w:rFonts w:asciiTheme="minorHAnsi" w:hAnsiTheme="minorHAnsi" w:cstheme="minorHAnsi"/>
          <w:lang w:val="en-US"/>
        </w:rPr>
      </w:pPr>
    </w:p>
    <w:p w14:paraId="36FAA14A" w14:textId="77777777" w:rsidR="00EC6C55" w:rsidRPr="00282C55" w:rsidRDefault="00EC6C55" w:rsidP="00EC6C55">
      <w:pPr>
        <w:spacing w:line="360" w:lineRule="auto"/>
        <w:jc w:val="center"/>
        <w:rPr>
          <w:rFonts w:asciiTheme="minorHAnsi" w:hAnsiTheme="minorHAnsi" w:cstheme="minorHAnsi"/>
          <w:lang w:val="en-US"/>
        </w:rPr>
      </w:pPr>
      <w:r w:rsidRPr="00282C55">
        <w:rPr>
          <w:rFonts w:asciiTheme="minorHAnsi" w:hAnsiTheme="minorHAnsi" w:cstheme="minorHAnsi"/>
          <w:noProof/>
          <w:lang w:val="en-US"/>
        </w:rPr>
        <w:drawing>
          <wp:inline distT="0" distB="0" distL="0" distR="0" wp14:anchorId="2A9AA78A" wp14:editId="0A1A10BC">
            <wp:extent cx="5551714" cy="350337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a:stretch/>
                  </pic:blipFill>
                  <pic:spPr bwMode="auto">
                    <a:xfrm>
                      <a:off x="0" y="0"/>
                      <a:ext cx="5551714" cy="3503375"/>
                    </a:xfrm>
                    <a:prstGeom prst="rect">
                      <a:avLst/>
                    </a:prstGeom>
                    <a:noFill/>
                    <a:ln>
                      <a:noFill/>
                    </a:ln>
                    <a:extLst>
                      <a:ext uri="{53640926-AAD7-44D8-BBD7-CCE9431645EC}">
                        <a14:shadowObscured xmlns:a14="http://schemas.microsoft.com/office/drawing/2010/main"/>
                      </a:ext>
                    </a:extLst>
                  </pic:spPr>
                </pic:pic>
              </a:graphicData>
            </a:graphic>
          </wp:inline>
        </w:drawing>
      </w:r>
    </w:p>
    <w:p w14:paraId="480A70DE" w14:textId="77777777" w:rsidR="00EC6C55" w:rsidRDefault="00EC6C55" w:rsidP="00EC6C55">
      <w:pPr>
        <w:spacing w:line="360" w:lineRule="auto"/>
        <w:jc w:val="both"/>
        <w:rPr>
          <w:rFonts w:asciiTheme="minorHAnsi" w:hAnsiTheme="minorHAnsi" w:cstheme="minorHAnsi"/>
          <w:lang w:val="en-US"/>
        </w:rPr>
      </w:pPr>
    </w:p>
    <w:p w14:paraId="5398DE72" w14:textId="77777777" w:rsidR="00EC6C55" w:rsidRPr="00282C55" w:rsidRDefault="00EC6C55" w:rsidP="00EC6C55">
      <w:pPr>
        <w:spacing w:line="360" w:lineRule="auto"/>
        <w:jc w:val="both"/>
        <w:rPr>
          <w:rFonts w:asciiTheme="minorHAnsi" w:hAnsiTheme="minorHAnsi" w:cstheme="minorHAnsi"/>
          <w:lang w:val="en-US"/>
        </w:rPr>
      </w:pPr>
      <w:r w:rsidRPr="00282C55">
        <w:rPr>
          <w:rFonts w:asciiTheme="minorHAnsi" w:hAnsiTheme="minorHAnsi" w:cstheme="minorHAnsi"/>
          <w:lang w:val="en-US"/>
        </w:rPr>
        <w:t xml:space="preserve">Legend: item 1 = anhedonia; item 2 = low mood; item 3 = altered sleeping; item 4 = tiredness, low energy; item 5 = altered appetite/eating; item 7 = impaired concentration; item 8 = altered movements/speaking; item 9 = suicidal ideation. Note: feeling of failure </w:t>
      </w:r>
      <w:r>
        <w:rPr>
          <w:rFonts w:asciiTheme="minorHAnsi" w:hAnsiTheme="minorHAnsi" w:cstheme="minorHAnsi"/>
          <w:lang w:val="en-US"/>
        </w:rPr>
        <w:t xml:space="preserve">(item 6) </w:t>
      </w:r>
      <w:r w:rsidRPr="00282C55">
        <w:rPr>
          <w:rFonts w:asciiTheme="minorHAnsi" w:hAnsiTheme="minorHAnsi" w:cstheme="minorHAnsi"/>
          <w:lang w:val="en-US"/>
        </w:rPr>
        <w:t>was not assessed and hence not included in the analysis.</w:t>
      </w:r>
    </w:p>
    <w:p w14:paraId="1C67580B" w14:textId="77777777" w:rsidR="00022C4E" w:rsidRPr="00EC6C55" w:rsidRDefault="00022C4E" w:rsidP="00022C4E">
      <w:pPr>
        <w:rPr>
          <w:rFonts w:asciiTheme="minorHAnsi" w:hAnsiTheme="minorHAnsi" w:cstheme="minorBidi"/>
          <w:sz w:val="22"/>
          <w:szCs w:val="22"/>
          <w:lang w:val="en-US" w:eastAsia="en-US"/>
        </w:rPr>
      </w:pPr>
    </w:p>
    <w:p w14:paraId="43A95644" w14:textId="77777777" w:rsidR="00022C4E" w:rsidRDefault="00022C4E" w:rsidP="00022C4E">
      <w:pPr>
        <w:rPr>
          <w:lang w:val="en-GB"/>
        </w:rPr>
      </w:pPr>
    </w:p>
    <w:p w14:paraId="6ECAFA9B" w14:textId="77777777" w:rsidR="00022C4E" w:rsidRPr="00282C55" w:rsidRDefault="00022C4E" w:rsidP="00282C55">
      <w:pPr>
        <w:spacing w:line="360" w:lineRule="auto"/>
        <w:jc w:val="both"/>
        <w:rPr>
          <w:rFonts w:asciiTheme="minorHAnsi" w:hAnsiTheme="minorHAnsi" w:cstheme="minorHAnsi"/>
          <w:b/>
          <w:bCs/>
          <w:lang w:val="en-US"/>
        </w:rPr>
      </w:pPr>
    </w:p>
    <w:p w14:paraId="0632F2EF" w14:textId="2500A73C" w:rsidR="005E234E" w:rsidRDefault="005E234E" w:rsidP="00282C55">
      <w:pPr>
        <w:spacing w:line="360" w:lineRule="auto"/>
        <w:jc w:val="both"/>
        <w:rPr>
          <w:rFonts w:asciiTheme="minorHAnsi" w:hAnsiTheme="minorHAnsi" w:cstheme="minorHAnsi"/>
          <w:b/>
          <w:bCs/>
          <w:lang w:val="en-US"/>
        </w:rPr>
      </w:pPr>
    </w:p>
    <w:p w14:paraId="251C5F59" w14:textId="4C8295CC" w:rsidR="00EC6C55" w:rsidRDefault="00EC6C55" w:rsidP="00282C55">
      <w:pPr>
        <w:spacing w:line="360" w:lineRule="auto"/>
        <w:jc w:val="both"/>
        <w:rPr>
          <w:rFonts w:asciiTheme="minorHAnsi" w:hAnsiTheme="minorHAnsi" w:cstheme="minorHAnsi"/>
          <w:b/>
          <w:bCs/>
          <w:lang w:val="en-US"/>
        </w:rPr>
      </w:pPr>
    </w:p>
    <w:p w14:paraId="48B9A35A" w14:textId="14BC9149" w:rsidR="00EC6C55" w:rsidRDefault="00EC6C55" w:rsidP="00282C55">
      <w:pPr>
        <w:spacing w:line="360" w:lineRule="auto"/>
        <w:jc w:val="both"/>
        <w:rPr>
          <w:rFonts w:asciiTheme="minorHAnsi" w:hAnsiTheme="minorHAnsi" w:cstheme="minorHAnsi"/>
          <w:b/>
          <w:bCs/>
          <w:lang w:val="en-US"/>
        </w:rPr>
      </w:pPr>
    </w:p>
    <w:p w14:paraId="211E4BFA" w14:textId="77777777" w:rsidR="00EC6C55" w:rsidRDefault="00EC6C55" w:rsidP="00282C55">
      <w:pPr>
        <w:spacing w:line="360" w:lineRule="auto"/>
        <w:jc w:val="both"/>
        <w:rPr>
          <w:rFonts w:asciiTheme="minorHAnsi" w:hAnsiTheme="minorHAnsi" w:cstheme="minorHAnsi"/>
          <w:b/>
          <w:bCs/>
          <w:lang w:val="en-US"/>
        </w:rPr>
      </w:pPr>
    </w:p>
    <w:p w14:paraId="5385DD54" w14:textId="5188C02C" w:rsidR="00022C4E" w:rsidRDefault="00022C4E" w:rsidP="00282C55">
      <w:pPr>
        <w:spacing w:line="360" w:lineRule="auto"/>
        <w:jc w:val="both"/>
        <w:rPr>
          <w:rFonts w:asciiTheme="minorHAnsi" w:hAnsiTheme="minorHAnsi" w:cstheme="minorHAnsi"/>
          <w:b/>
          <w:bCs/>
          <w:lang w:val="en-US"/>
        </w:rPr>
      </w:pPr>
    </w:p>
    <w:p w14:paraId="06413DF7" w14:textId="0FF2E860" w:rsidR="00022C4E" w:rsidRDefault="00022C4E" w:rsidP="00282C55">
      <w:pPr>
        <w:spacing w:line="360" w:lineRule="auto"/>
        <w:jc w:val="both"/>
        <w:rPr>
          <w:rFonts w:asciiTheme="minorHAnsi" w:hAnsiTheme="minorHAnsi" w:cstheme="minorHAnsi"/>
          <w:b/>
          <w:bCs/>
          <w:lang w:val="en-US"/>
        </w:rPr>
      </w:pPr>
    </w:p>
    <w:p w14:paraId="74C974D4" w14:textId="6F93CD91" w:rsidR="00022C4E" w:rsidRDefault="00022C4E" w:rsidP="00282C55">
      <w:pPr>
        <w:spacing w:line="360" w:lineRule="auto"/>
        <w:jc w:val="both"/>
        <w:rPr>
          <w:rFonts w:asciiTheme="minorHAnsi" w:hAnsiTheme="minorHAnsi" w:cstheme="minorHAnsi"/>
          <w:b/>
          <w:bCs/>
          <w:lang w:val="en-US"/>
        </w:rPr>
      </w:pPr>
    </w:p>
    <w:p w14:paraId="14422AE4" w14:textId="49742001" w:rsidR="00022C4E" w:rsidRDefault="00022C4E" w:rsidP="00282C55">
      <w:pPr>
        <w:spacing w:line="360" w:lineRule="auto"/>
        <w:jc w:val="both"/>
        <w:rPr>
          <w:rFonts w:asciiTheme="minorHAnsi" w:hAnsiTheme="minorHAnsi" w:cstheme="minorHAnsi"/>
          <w:b/>
          <w:bCs/>
          <w:lang w:val="en-US"/>
        </w:rPr>
      </w:pPr>
    </w:p>
    <w:p w14:paraId="06FCA287" w14:textId="24F3D88E" w:rsidR="00022C4E" w:rsidRDefault="00022C4E" w:rsidP="00282C55">
      <w:pPr>
        <w:spacing w:line="360" w:lineRule="auto"/>
        <w:jc w:val="both"/>
        <w:rPr>
          <w:rFonts w:asciiTheme="minorHAnsi" w:hAnsiTheme="minorHAnsi" w:cstheme="minorHAnsi"/>
          <w:b/>
          <w:bCs/>
          <w:lang w:val="en-US"/>
        </w:rPr>
      </w:pPr>
    </w:p>
    <w:p w14:paraId="39C78C50" w14:textId="375EB2E7" w:rsidR="00022C4E" w:rsidRDefault="00022C4E" w:rsidP="00282C55">
      <w:pPr>
        <w:spacing w:line="360" w:lineRule="auto"/>
        <w:jc w:val="both"/>
        <w:rPr>
          <w:rFonts w:asciiTheme="minorHAnsi" w:hAnsiTheme="minorHAnsi" w:cstheme="minorHAnsi"/>
          <w:b/>
          <w:bCs/>
          <w:lang w:val="en-US"/>
        </w:rPr>
      </w:pPr>
    </w:p>
    <w:p w14:paraId="5AECF6E0" w14:textId="77777777" w:rsidR="00B15D6E" w:rsidRDefault="00B15D6E" w:rsidP="00282C55">
      <w:pPr>
        <w:spacing w:line="360" w:lineRule="auto"/>
        <w:jc w:val="center"/>
        <w:rPr>
          <w:rFonts w:asciiTheme="minorHAnsi" w:hAnsiTheme="minorHAnsi" w:cstheme="minorHAnsi"/>
          <w:b/>
          <w:bCs/>
          <w:lang w:val="en-US"/>
        </w:rPr>
        <w:sectPr w:rsidR="00B15D6E" w:rsidSect="004760C1">
          <w:pgSz w:w="11906" w:h="16838"/>
          <w:pgMar w:top="1417" w:right="1134" w:bottom="1134" w:left="1134" w:header="708" w:footer="708" w:gutter="0"/>
          <w:cols w:space="708"/>
          <w:docGrid w:linePitch="360"/>
        </w:sectPr>
      </w:pPr>
    </w:p>
    <w:p w14:paraId="66FB4618" w14:textId="4C89BB8D" w:rsidR="0046126D" w:rsidRPr="00282C55" w:rsidRDefault="0046126D" w:rsidP="00282C55">
      <w:pPr>
        <w:spacing w:line="360" w:lineRule="auto"/>
        <w:jc w:val="center"/>
        <w:rPr>
          <w:rFonts w:asciiTheme="minorHAnsi" w:hAnsiTheme="minorHAnsi" w:cstheme="minorHAnsi"/>
          <w:b/>
          <w:bCs/>
          <w:lang w:val="en-US"/>
        </w:rPr>
      </w:pPr>
      <w:r w:rsidRPr="00282C55">
        <w:rPr>
          <w:rFonts w:asciiTheme="minorHAnsi" w:hAnsiTheme="minorHAnsi" w:cstheme="minorHAnsi"/>
          <w:b/>
          <w:bCs/>
          <w:lang w:val="en-US"/>
        </w:rPr>
        <w:lastRenderedPageBreak/>
        <w:t>Supplementary Results</w:t>
      </w:r>
    </w:p>
    <w:p w14:paraId="2EB46110" w14:textId="5FD17D82" w:rsidR="00B53CB9" w:rsidRDefault="00B53CB9" w:rsidP="00282C55">
      <w:pPr>
        <w:spacing w:line="360" w:lineRule="auto"/>
        <w:jc w:val="center"/>
        <w:rPr>
          <w:rFonts w:asciiTheme="minorHAnsi" w:hAnsiTheme="minorHAnsi" w:cstheme="minorHAnsi"/>
          <w:b/>
          <w:bCs/>
          <w:lang w:val="en-US"/>
        </w:rPr>
      </w:pPr>
    </w:p>
    <w:p w14:paraId="07E4E0DA" w14:textId="77777777" w:rsidR="00DA5E34" w:rsidRPr="00940744" w:rsidRDefault="00DA5E34" w:rsidP="00DA5E34">
      <w:pPr>
        <w:spacing w:line="276" w:lineRule="auto"/>
        <w:jc w:val="center"/>
        <w:rPr>
          <w:rFonts w:asciiTheme="minorHAnsi" w:hAnsiTheme="minorHAnsi" w:cstheme="minorHAnsi"/>
          <w:lang w:val="en-US"/>
        </w:rPr>
      </w:pPr>
      <w:r w:rsidRPr="00940744">
        <w:rPr>
          <w:rFonts w:asciiTheme="minorHAnsi" w:hAnsiTheme="minorHAnsi" w:cstheme="minorHAnsi"/>
          <w:b/>
          <w:bCs/>
          <w:lang w:val="en-US"/>
        </w:rPr>
        <w:t xml:space="preserve">Table </w:t>
      </w:r>
      <w:r>
        <w:rPr>
          <w:rFonts w:asciiTheme="minorHAnsi" w:hAnsiTheme="minorHAnsi" w:cstheme="minorHAnsi"/>
          <w:b/>
          <w:bCs/>
          <w:lang w:val="en-US"/>
        </w:rPr>
        <w:t>S2</w:t>
      </w:r>
      <w:r w:rsidRPr="00940744">
        <w:rPr>
          <w:rFonts w:asciiTheme="minorHAnsi" w:hAnsiTheme="minorHAnsi" w:cstheme="minorHAnsi"/>
          <w:b/>
          <w:bCs/>
          <w:lang w:val="en-US"/>
        </w:rPr>
        <w:t>.</w:t>
      </w:r>
      <w:r w:rsidRPr="00940744">
        <w:rPr>
          <w:rFonts w:asciiTheme="minorHAnsi" w:hAnsiTheme="minorHAnsi" w:cstheme="minorHAnsi"/>
          <w:lang w:val="en-US"/>
        </w:rPr>
        <w:t xml:space="preserve"> </w:t>
      </w:r>
      <w:r>
        <w:rPr>
          <w:rFonts w:asciiTheme="minorHAnsi" w:hAnsiTheme="minorHAnsi" w:cstheme="minorHAnsi"/>
          <w:lang w:val="en-US"/>
        </w:rPr>
        <w:t>Stratified a</w:t>
      </w:r>
      <w:r w:rsidRPr="00940744">
        <w:rPr>
          <w:rFonts w:asciiTheme="minorHAnsi" w:hAnsiTheme="minorHAnsi" w:cstheme="minorHAnsi"/>
          <w:lang w:val="en-US"/>
        </w:rPr>
        <w:t>ssociations between dietary inflammatory index (DII) and depressive symptoms</w:t>
      </w:r>
      <w:r>
        <w:rPr>
          <w:rFonts w:asciiTheme="minorHAnsi" w:hAnsiTheme="minorHAnsi" w:cstheme="minorHAnsi"/>
          <w:lang w:val="en-US"/>
        </w:rPr>
        <w:t>.</w:t>
      </w:r>
    </w:p>
    <w:p w14:paraId="7292D333" w14:textId="77777777" w:rsidR="00DA5E34" w:rsidRDefault="00DA5E34" w:rsidP="00DA5E34">
      <w:pPr>
        <w:spacing w:line="360" w:lineRule="auto"/>
        <w:jc w:val="both"/>
        <w:rPr>
          <w:rFonts w:asciiTheme="minorHAnsi" w:hAnsiTheme="minorHAnsi" w:cstheme="minorHAnsi"/>
          <w:lang w:val="en-US"/>
        </w:rPr>
      </w:pPr>
    </w:p>
    <w:p w14:paraId="05BD3ABA" w14:textId="77777777" w:rsidR="00DA5E34" w:rsidRPr="00D37161" w:rsidRDefault="00DA5E34" w:rsidP="00DA5E34">
      <w:pPr>
        <w:spacing w:line="360" w:lineRule="auto"/>
        <w:jc w:val="both"/>
        <w:rPr>
          <w:rFonts w:asciiTheme="minorHAnsi" w:hAnsiTheme="minorHAnsi" w:cstheme="minorHAnsi"/>
          <w:b/>
          <w:bCs/>
          <w:lang w:val="en-US"/>
        </w:rPr>
      </w:pPr>
      <w:r w:rsidRPr="00D37161">
        <w:rPr>
          <w:rFonts w:asciiTheme="minorHAnsi" w:hAnsiTheme="minorHAnsi" w:cstheme="minorHAnsi"/>
          <w:b/>
          <w:bCs/>
          <w:lang w:val="en-US"/>
        </w:rPr>
        <w:t>a)</w:t>
      </w:r>
    </w:p>
    <w:tbl>
      <w:tblPr>
        <w:tblW w:w="14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7119"/>
        <w:gridCol w:w="3071"/>
        <w:gridCol w:w="1685"/>
        <w:gridCol w:w="1780"/>
      </w:tblGrid>
      <w:tr w:rsidR="00DA5E34" w:rsidRPr="004C1F8C" w14:paraId="065D6062" w14:textId="77777777" w:rsidTr="006D54DB">
        <w:trPr>
          <w:trHeight w:val="395"/>
          <w:jc w:val="center"/>
        </w:trPr>
        <w:tc>
          <w:tcPr>
            <w:tcW w:w="1127" w:type="dxa"/>
            <w:tcBorders>
              <w:top w:val="single" w:sz="4" w:space="0" w:color="auto"/>
              <w:left w:val="single" w:sz="4" w:space="0" w:color="auto"/>
              <w:bottom w:val="single" w:sz="4" w:space="0" w:color="auto"/>
              <w:right w:val="single" w:sz="4" w:space="0" w:color="auto"/>
            </w:tcBorders>
            <w:noWrap/>
            <w:vAlign w:val="center"/>
            <w:hideMark/>
          </w:tcPr>
          <w:p w14:paraId="478293F6" w14:textId="77777777" w:rsidR="00DA5E34" w:rsidRDefault="00DA5E34" w:rsidP="006D54DB">
            <w:pPr>
              <w:spacing w:line="276" w:lineRule="auto"/>
              <w:jc w:val="center"/>
              <w:rPr>
                <w:rFonts w:asciiTheme="minorHAnsi" w:eastAsia="Times New Roman" w:hAnsiTheme="minorHAnsi" w:cstheme="minorHAnsi"/>
                <w:lang w:val="en-US" w:eastAsia="en-GB"/>
              </w:rPr>
            </w:pPr>
            <w:r>
              <w:rPr>
                <w:rFonts w:asciiTheme="minorHAnsi" w:eastAsia="Times New Roman" w:hAnsiTheme="minorHAnsi" w:cstheme="minorHAnsi"/>
                <w:lang w:val="en-US" w:eastAsia="en-GB"/>
              </w:rPr>
              <w:t>Gender</w:t>
            </w:r>
          </w:p>
          <w:p w14:paraId="77732C84" w14:textId="77777777" w:rsidR="00DA5E34" w:rsidRPr="00940744" w:rsidRDefault="00DA5E34" w:rsidP="006D54DB">
            <w:pPr>
              <w:spacing w:line="276" w:lineRule="auto"/>
              <w:jc w:val="center"/>
              <w:rPr>
                <w:rFonts w:asciiTheme="minorHAnsi" w:eastAsia="Times New Roman" w:hAnsiTheme="minorHAnsi" w:cstheme="minorHAnsi"/>
                <w:lang w:val="en-US" w:eastAsia="en-GB"/>
              </w:rPr>
            </w:pPr>
            <w:r>
              <w:rPr>
                <w:rFonts w:asciiTheme="minorHAnsi" w:eastAsia="Times New Roman" w:hAnsiTheme="minorHAnsi" w:cstheme="minorHAnsi"/>
                <w:lang w:val="en-US" w:eastAsia="en-GB"/>
              </w:rPr>
              <w:t>(N)</w:t>
            </w:r>
          </w:p>
        </w:tc>
        <w:tc>
          <w:tcPr>
            <w:tcW w:w="7119" w:type="dxa"/>
            <w:tcBorders>
              <w:top w:val="single" w:sz="4" w:space="0" w:color="auto"/>
              <w:left w:val="single" w:sz="4" w:space="0" w:color="auto"/>
              <w:bottom w:val="single" w:sz="4" w:space="0" w:color="auto"/>
              <w:right w:val="single" w:sz="4" w:space="0" w:color="auto"/>
            </w:tcBorders>
            <w:vAlign w:val="center"/>
          </w:tcPr>
          <w:p w14:paraId="187FB03A" w14:textId="77777777" w:rsidR="00DA5E34" w:rsidRPr="00940744" w:rsidRDefault="00DA5E34" w:rsidP="006D54DB">
            <w:pPr>
              <w:spacing w:line="276" w:lineRule="auto"/>
              <w:jc w:val="center"/>
              <w:rPr>
                <w:rFonts w:asciiTheme="minorHAnsi" w:eastAsia="Times New Roman" w:hAnsiTheme="minorHAnsi" w:cstheme="minorHAnsi"/>
                <w:lang w:eastAsia="en-GB"/>
              </w:rPr>
            </w:pPr>
            <w:r w:rsidRPr="00940744">
              <w:rPr>
                <w:rFonts w:asciiTheme="minorHAnsi" w:eastAsia="Times New Roman" w:hAnsiTheme="minorHAnsi" w:cstheme="minorHAnsi"/>
                <w:lang w:eastAsia="en-GB"/>
              </w:rPr>
              <w:t>Covariates</w:t>
            </w:r>
          </w:p>
        </w:tc>
        <w:tc>
          <w:tcPr>
            <w:tcW w:w="3071" w:type="dxa"/>
            <w:tcBorders>
              <w:top w:val="single" w:sz="4" w:space="0" w:color="auto"/>
              <w:left w:val="single" w:sz="4" w:space="0" w:color="auto"/>
              <w:bottom w:val="single" w:sz="4" w:space="0" w:color="auto"/>
              <w:right w:val="single" w:sz="4" w:space="0" w:color="auto"/>
            </w:tcBorders>
            <w:vAlign w:val="center"/>
          </w:tcPr>
          <w:p w14:paraId="759866AD" w14:textId="77777777" w:rsidR="00DA5E34" w:rsidRDefault="00DA5E34" w:rsidP="006D54DB">
            <w:pPr>
              <w:spacing w:line="276" w:lineRule="auto"/>
              <w:jc w:val="center"/>
              <w:rPr>
                <w:rFonts w:asciiTheme="minorHAnsi" w:hAnsiTheme="minorHAnsi" w:cstheme="minorHAnsi"/>
                <w:lang w:val="en-US"/>
              </w:rPr>
            </w:pPr>
            <w:r w:rsidRPr="009045FB">
              <w:rPr>
                <w:rFonts w:asciiTheme="minorHAnsi" w:eastAsia="Times New Roman" w:hAnsiTheme="minorHAnsi" w:cstheme="minorHAnsi"/>
                <w:lang w:val="en-US" w:eastAsia="en-GB"/>
              </w:rPr>
              <w:t xml:space="preserve">Overall symptoms </w:t>
            </w:r>
            <w:r w:rsidRPr="00940744">
              <w:rPr>
                <w:rFonts w:asciiTheme="minorHAnsi" w:hAnsiTheme="minorHAnsi" w:cstheme="minorHAnsi"/>
                <w:lang w:val="en-US"/>
              </w:rPr>
              <w:t>(PHQ9-6)</w:t>
            </w:r>
          </w:p>
          <w:p w14:paraId="72A7F13B" w14:textId="77777777" w:rsidR="00DA5E34" w:rsidRPr="009045FB" w:rsidRDefault="00DA5E34" w:rsidP="006D54DB">
            <w:pPr>
              <w:spacing w:line="276" w:lineRule="auto"/>
              <w:jc w:val="center"/>
              <w:rPr>
                <w:rFonts w:asciiTheme="minorHAnsi" w:eastAsia="Times New Roman" w:hAnsiTheme="minorHAnsi" w:cstheme="minorHAnsi"/>
                <w:lang w:val="en-US" w:eastAsia="en-GB"/>
              </w:rPr>
            </w:pPr>
            <w:r w:rsidRPr="00940744">
              <w:rPr>
                <w:rFonts w:asciiTheme="minorHAnsi" w:eastAsia="Times New Roman" w:hAnsiTheme="minorHAnsi" w:cstheme="minorHAnsi"/>
                <w:lang w:eastAsia="en-GB"/>
              </w:rPr>
              <w:t>β</w:t>
            </w:r>
            <w:r w:rsidRPr="009045FB">
              <w:rPr>
                <w:rFonts w:asciiTheme="minorHAnsi" w:eastAsia="Times New Roman" w:hAnsiTheme="minorHAnsi" w:cstheme="minorHAnsi"/>
                <w:lang w:val="en-US" w:eastAsia="en-GB"/>
              </w:rPr>
              <w:t xml:space="preserve"> (SE), </w:t>
            </w:r>
          </w:p>
          <w:p w14:paraId="2FDE6456" w14:textId="77777777" w:rsidR="00DA5E34" w:rsidRPr="009045FB" w:rsidRDefault="00DA5E34" w:rsidP="006D54DB">
            <w:pPr>
              <w:spacing w:line="276" w:lineRule="auto"/>
              <w:jc w:val="center"/>
              <w:rPr>
                <w:rFonts w:asciiTheme="minorHAnsi" w:eastAsia="Times New Roman" w:hAnsiTheme="minorHAnsi" w:cstheme="minorHAnsi"/>
                <w:lang w:val="en-US" w:eastAsia="en-GB"/>
              </w:rPr>
            </w:pPr>
            <w:r w:rsidRPr="009045FB">
              <w:rPr>
                <w:rFonts w:asciiTheme="minorHAnsi" w:eastAsia="Times New Roman" w:hAnsiTheme="minorHAnsi" w:cstheme="minorHAnsi"/>
                <w:lang w:val="en-US" w:eastAsia="en-GB"/>
              </w:rPr>
              <w:t>p-value</w:t>
            </w:r>
          </w:p>
        </w:tc>
        <w:tc>
          <w:tcPr>
            <w:tcW w:w="1685" w:type="dxa"/>
            <w:tcBorders>
              <w:top w:val="single" w:sz="4" w:space="0" w:color="auto"/>
              <w:left w:val="single" w:sz="4" w:space="0" w:color="auto"/>
              <w:bottom w:val="single" w:sz="4" w:space="0" w:color="auto"/>
              <w:right w:val="single" w:sz="4" w:space="0" w:color="auto"/>
            </w:tcBorders>
            <w:vAlign w:val="center"/>
          </w:tcPr>
          <w:p w14:paraId="01BC137C" w14:textId="77777777" w:rsidR="00DA5E34" w:rsidRPr="00D2290E" w:rsidRDefault="00DA5E34" w:rsidP="006D54DB">
            <w:pPr>
              <w:spacing w:line="276" w:lineRule="auto"/>
              <w:jc w:val="center"/>
              <w:rPr>
                <w:rFonts w:asciiTheme="minorHAnsi" w:eastAsia="Times New Roman" w:hAnsiTheme="minorHAnsi" w:cstheme="minorHAnsi"/>
                <w:lang w:val="en-US" w:eastAsia="en-GB"/>
              </w:rPr>
            </w:pPr>
            <w:r w:rsidRPr="00D2290E">
              <w:rPr>
                <w:rFonts w:asciiTheme="minorHAnsi" w:eastAsia="Times New Roman" w:hAnsiTheme="minorHAnsi" w:cstheme="minorHAnsi"/>
                <w:lang w:val="en-US" w:eastAsia="en-GB"/>
              </w:rPr>
              <w:t>Somatic factor</w:t>
            </w:r>
          </w:p>
          <w:p w14:paraId="2744202A" w14:textId="77777777" w:rsidR="00DA5E34" w:rsidRPr="009045FB" w:rsidRDefault="00DA5E34" w:rsidP="006D54DB">
            <w:pPr>
              <w:spacing w:line="276" w:lineRule="auto"/>
              <w:jc w:val="center"/>
              <w:rPr>
                <w:rFonts w:asciiTheme="minorHAnsi" w:eastAsia="Times New Roman" w:hAnsiTheme="minorHAnsi" w:cstheme="minorHAnsi"/>
                <w:lang w:val="en-US" w:eastAsia="en-GB"/>
              </w:rPr>
            </w:pPr>
            <w:r w:rsidRPr="00940744">
              <w:rPr>
                <w:rFonts w:asciiTheme="minorHAnsi" w:eastAsia="Times New Roman" w:hAnsiTheme="minorHAnsi" w:cstheme="minorHAnsi"/>
                <w:lang w:eastAsia="en-GB"/>
              </w:rPr>
              <w:t>β</w:t>
            </w:r>
            <w:r w:rsidRPr="009045FB">
              <w:rPr>
                <w:rFonts w:asciiTheme="minorHAnsi" w:eastAsia="Times New Roman" w:hAnsiTheme="minorHAnsi" w:cstheme="minorHAnsi"/>
                <w:lang w:val="en-US" w:eastAsia="en-GB"/>
              </w:rPr>
              <w:t xml:space="preserve"> (SE), </w:t>
            </w:r>
          </w:p>
          <w:p w14:paraId="7B92B3DD" w14:textId="77777777" w:rsidR="00DA5E34" w:rsidRPr="009045FB" w:rsidRDefault="00DA5E34" w:rsidP="006D54DB">
            <w:pPr>
              <w:spacing w:line="276" w:lineRule="auto"/>
              <w:jc w:val="center"/>
              <w:rPr>
                <w:rFonts w:asciiTheme="minorHAnsi" w:eastAsia="Times New Roman" w:hAnsiTheme="minorHAnsi" w:cstheme="minorHAnsi"/>
                <w:lang w:val="en-US" w:eastAsia="en-GB"/>
              </w:rPr>
            </w:pPr>
            <w:r w:rsidRPr="009045FB">
              <w:rPr>
                <w:rFonts w:asciiTheme="minorHAnsi" w:eastAsia="Times New Roman" w:hAnsiTheme="minorHAnsi" w:cstheme="minorHAnsi"/>
                <w:lang w:val="en-US" w:eastAsia="en-GB"/>
              </w:rPr>
              <w:t>p-value</w:t>
            </w:r>
          </w:p>
        </w:tc>
        <w:tc>
          <w:tcPr>
            <w:tcW w:w="1780" w:type="dxa"/>
            <w:tcBorders>
              <w:top w:val="single" w:sz="4" w:space="0" w:color="auto"/>
              <w:left w:val="single" w:sz="4" w:space="0" w:color="auto"/>
              <w:bottom w:val="single" w:sz="4" w:space="0" w:color="auto"/>
              <w:right w:val="single" w:sz="4" w:space="0" w:color="auto"/>
            </w:tcBorders>
            <w:vAlign w:val="center"/>
          </w:tcPr>
          <w:p w14:paraId="460B1680" w14:textId="77777777" w:rsidR="00DA5E34" w:rsidRPr="00D2290E" w:rsidRDefault="00DA5E34" w:rsidP="006D54DB">
            <w:pPr>
              <w:spacing w:line="276" w:lineRule="auto"/>
              <w:jc w:val="center"/>
              <w:rPr>
                <w:rFonts w:asciiTheme="minorHAnsi" w:eastAsia="Times New Roman" w:hAnsiTheme="minorHAnsi" w:cstheme="minorHAnsi"/>
                <w:lang w:val="en-US" w:eastAsia="en-GB"/>
              </w:rPr>
            </w:pPr>
            <w:r w:rsidRPr="00D2290E">
              <w:rPr>
                <w:rFonts w:asciiTheme="minorHAnsi" w:eastAsia="Times New Roman" w:hAnsiTheme="minorHAnsi" w:cstheme="minorHAnsi"/>
                <w:lang w:val="en-US" w:eastAsia="en-GB"/>
              </w:rPr>
              <w:t>Cognitive factor</w:t>
            </w:r>
          </w:p>
          <w:p w14:paraId="326B1806" w14:textId="77777777" w:rsidR="00DA5E34" w:rsidRPr="009045FB" w:rsidRDefault="00DA5E34" w:rsidP="006D54DB">
            <w:pPr>
              <w:spacing w:line="276" w:lineRule="auto"/>
              <w:jc w:val="center"/>
              <w:rPr>
                <w:rFonts w:asciiTheme="minorHAnsi" w:eastAsia="Times New Roman" w:hAnsiTheme="minorHAnsi" w:cstheme="minorHAnsi"/>
                <w:lang w:val="en-US" w:eastAsia="en-GB"/>
              </w:rPr>
            </w:pPr>
            <w:r w:rsidRPr="00940744">
              <w:rPr>
                <w:rFonts w:asciiTheme="minorHAnsi" w:eastAsia="Times New Roman" w:hAnsiTheme="minorHAnsi" w:cstheme="minorHAnsi"/>
                <w:lang w:eastAsia="en-GB"/>
              </w:rPr>
              <w:t>β</w:t>
            </w:r>
            <w:r w:rsidRPr="009045FB">
              <w:rPr>
                <w:rFonts w:asciiTheme="minorHAnsi" w:eastAsia="Times New Roman" w:hAnsiTheme="minorHAnsi" w:cstheme="minorHAnsi"/>
                <w:lang w:val="en-US" w:eastAsia="en-GB"/>
              </w:rPr>
              <w:t xml:space="preserve"> (SE), </w:t>
            </w:r>
          </w:p>
          <w:p w14:paraId="51856AC1" w14:textId="77777777" w:rsidR="00DA5E34" w:rsidRPr="009045FB" w:rsidRDefault="00DA5E34" w:rsidP="006D54DB">
            <w:pPr>
              <w:spacing w:line="276" w:lineRule="auto"/>
              <w:jc w:val="center"/>
              <w:rPr>
                <w:rFonts w:asciiTheme="minorHAnsi" w:eastAsia="Times New Roman" w:hAnsiTheme="minorHAnsi" w:cstheme="minorHAnsi"/>
                <w:lang w:val="en-US" w:eastAsia="en-GB"/>
              </w:rPr>
            </w:pPr>
            <w:r w:rsidRPr="009045FB">
              <w:rPr>
                <w:rFonts w:asciiTheme="minorHAnsi" w:eastAsia="Times New Roman" w:hAnsiTheme="minorHAnsi" w:cstheme="minorHAnsi"/>
                <w:lang w:val="en-US" w:eastAsia="en-GB"/>
              </w:rPr>
              <w:t>p-value</w:t>
            </w:r>
          </w:p>
        </w:tc>
      </w:tr>
      <w:tr w:rsidR="00DA5E34" w:rsidRPr="00940744" w14:paraId="1475C1EB" w14:textId="77777777" w:rsidTr="006D54DB">
        <w:trPr>
          <w:trHeight w:val="288"/>
          <w:jc w:val="center"/>
        </w:trPr>
        <w:tc>
          <w:tcPr>
            <w:tcW w:w="1127" w:type="dxa"/>
            <w:vMerge w:val="restart"/>
            <w:tcBorders>
              <w:top w:val="single" w:sz="4" w:space="0" w:color="auto"/>
              <w:left w:val="single" w:sz="4" w:space="0" w:color="auto"/>
              <w:right w:val="single" w:sz="4" w:space="0" w:color="auto"/>
            </w:tcBorders>
            <w:noWrap/>
            <w:vAlign w:val="center"/>
            <w:hideMark/>
          </w:tcPr>
          <w:p w14:paraId="47474327" w14:textId="77777777" w:rsidR="00DA5E34" w:rsidRPr="00D45F4F" w:rsidRDefault="00DA5E34" w:rsidP="006D54DB">
            <w:pPr>
              <w:spacing w:line="276" w:lineRule="auto"/>
              <w:jc w:val="center"/>
              <w:rPr>
                <w:rFonts w:asciiTheme="minorHAnsi" w:eastAsia="Times New Roman" w:hAnsiTheme="minorHAnsi" w:cstheme="minorHAnsi"/>
                <w:lang w:eastAsia="en-GB"/>
              </w:rPr>
            </w:pPr>
            <w:r w:rsidRPr="00D45F4F">
              <w:rPr>
                <w:rFonts w:asciiTheme="minorHAnsi" w:eastAsia="Times New Roman" w:hAnsiTheme="minorHAnsi" w:cstheme="minorHAnsi"/>
                <w:lang w:eastAsia="en-GB"/>
              </w:rPr>
              <w:t>Men</w:t>
            </w:r>
          </w:p>
          <w:p w14:paraId="13E807D0" w14:textId="77777777" w:rsidR="00DA5E34" w:rsidRPr="00D45F4F" w:rsidRDefault="00DA5E34" w:rsidP="006D54DB">
            <w:pPr>
              <w:spacing w:line="276" w:lineRule="auto"/>
              <w:jc w:val="center"/>
              <w:rPr>
                <w:rFonts w:asciiTheme="minorHAnsi" w:eastAsia="Times New Roman" w:hAnsiTheme="minorHAnsi" w:cstheme="minorHAnsi"/>
                <w:lang w:eastAsia="en-GB"/>
              </w:rPr>
            </w:pPr>
            <w:r w:rsidRPr="00D45F4F">
              <w:rPr>
                <w:rFonts w:asciiTheme="minorHAnsi" w:eastAsia="Times New Roman" w:hAnsiTheme="minorHAnsi" w:cstheme="minorHAnsi"/>
                <w:lang w:eastAsia="en-GB"/>
              </w:rPr>
              <w:t>(6,556)</w:t>
            </w:r>
          </w:p>
        </w:tc>
        <w:tc>
          <w:tcPr>
            <w:tcW w:w="7119" w:type="dxa"/>
            <w:tcBorders>
              <w:top w:val="single" w:sz="4" w:space="0" w:color="auto"/>
              <w:left w:val="single" w:sz="4" w:space="0" w:color="auto"/>
              <w:bottom w:val="single" w:sz="4" w:space="0" w:color="auto"/>
              <w:right w:val="single" w:sz="4" w:space="0" w:color="auto"/>
            </w:tcBorders>
            <w:vAlign w:val="center"/>
          </w:tcPr>
          <w:p w14:paraId="47806578" w14:textId="77777777" w:rsidR="00DA5E34" w:rsidRPr="00D45F4F" w:rsidRDefault="00DA5E34" w:rsidP="006D54DB">
            <w:pPr>
              <w:spacing w:line="276" w:lineRule="auto"/>
              <w:jc w:val="center"/>
              <w:rPr>
                <w:rFonts w:asciiTheme="minorHAnsi" w:eastAsia="Times New Roman" w:hAnsiTheme="minorHAnsi" w:cstheme="minorHAnsi"/>
                <w:lang w:eastAsia="en-GB"/>
              </w:rPr>
            </w:pPr>
            <w:r w:rsidRPr="00D45F4F">
              <w:rPr>
                <w:rFonts w:asciiTheme="minorHAnsi" w:eastAsia="Times New Roman" w:hAnsiTheme="minorHAnsi" w:cstheme="minorHAnsi"/>
                <w:lang w:eastAsia="en-GB"/>
              </w:rPr>
              <w:t>Age</w:t>
            </w:r>
          </w:p>
        </w:tc>
        <w:tc>
          <w:tcPr>
            <w:tcW w:w="3071" w:type="dxa"/>
            <w:tcBorders>
              <w:top w:val="single" w:sz="4" w:space="0" w:color="auto"/>
              <w:left w:val="single" w:sz="4" w:space="0" w:color="auto"/>
              <w:bottom w:val="single" w:sz="4" w:space="0" w:color="auto"/>
              <w:right w:val="single" w:sz="4" w:space="0" w:color="auto"/>
            </w:tcBorders>
            <w:vAlign w:val="center"/>
          </w:tcPr>
          <w:p w14:paraId="23C17B32" w14:textId="77777777" w:rsidR="00DA5E34" w:rsidRPr="00940744" w:rsidRDefault="00DA5E34" w:rsidP="006D54DB">
            <w:pPr>
              <w:spacing w:line="276" w:lineRule="auto"/>
              <w:jc w:val="center"/>
              <w:rPr>
                <w:rFonts w:asciiTheme="minorHAnsi" w:eastAsia="Times New Roman" w:hAnsiTheme="minorHAnsi" w:cstheme="minorHAnsi"/>
                <w:b/>
                <w:bCs/>
                <w:lang w:eastAsia="en-GB"/>
              </w:rPr>
            </w:pPr>
            <w:r w:rsidRPr="00940744">
              <w:rPr>
                <w:rFonts w:asciiTheme="minorHAnsi" w:eastAsia="Times New Roman" w:hAnsiTheme="minorHAnsi" w:cstheme="minorHAnsi"/>
                <w:b/>
                <w:bCs/>
                <w:lang w:eastAsia="en-GB"/>
              </w:rPr>
              <w:t>0.0</w:t>
            </w:r>
            <w:r>
              <w:rPr>
                <w:rFonts w:asciiTheme="minorHAnsi" w:eastAsia="Times New Roman" w:hAnsiTheme="minorHAnsi" w:cstheme="minorHAnsi"/>
                <w:b/>
                <w:bCs/>
                <w:lang w:eastAsia="en-GB"/>
              </w:rPr>
              <w:t>32</w:t>
            </w:r>
            <w:r w:rsidRPr="00940744">
              <w:rPr>
                <w:rFonts w:asciiTheme="minorHAnsi" w:eastAsia="Times New Roman" w:hAnsiTheme="minorHAnsi" w:cstheme="minorHAnsi"/>
                <w:b/>
                <w:bCs/>
                <w:lang w:eastAsia="en-GB"/>
              </w:rPr>
              <w:t xml:space="preserve"> (0.00</w:t>
            </w:r>
            <w:r>
              <w:rPr>
                <w:rFonts w:asciiTheme="minorHAnsi" w:eastAsia="Times New Roman" w:hAnsiTheme="minorHAnsi" w:cstheme="minorHAnsi"/>
                <w:b/>
                <w:bCs/>
                <w:lang w:eastAsia="en-GB"/>
              </w:rPr>
              <w:t>6</w:t>
            </w:r>
            <w:r w:rsidRPr="00940744">
              <w:rPr>
                <w:rFonts w:asciiTheme="minorHAnsi" w:eastAsia="Times New Roman" w:hAnsiTheme="minorHAnsi" w:cstheme="minorHAnsi"/>
                <w:b/>
                <w:bCs/>
                <w:lang w:eastAsia="en-GB"/>
              </w:rPr>
              <w:t xml:space="preserve">), </w:t>
            </w:r>
          </w:p>
          <w:p w14:paraId="509FF565" w14:textId="77777777" w:rsidR="00DA5E34" w:rsidRPr="00940744"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9.6</w:t>
            </w:r>
            <w:r w:rsidRPr="00940744">
              <w:rPr>
                <w:rFonts w:asciiTheme="minorHAnsi" w:eastAsia="Times New Roman" w:hAnsiTheme="minorHAnsi" w:cstheme="minorHAnsi"/>
                <w:b/>
                <w:bCs/>
                <w:lang w:eastAsia="en-GB"/>
              </w:rPr>
              <w:t xml:space="preserve"> </w:t>
            </w:r>
            <w:r w:rsidRPr="00940744">
              <w:rPr>
                <w:rFonts w:asciiTheme="minorHAnsi" w:eastAsia="Times New Roman" w:hAnsiTheme="minorHAnsi" w:cstheme="minorHAnsi"/>
                <w:b/>
                <w:bCs/>
                <w:color w:val="000000"/>
                <w:lang w:eastAsia="en-GB"/>
              </w:rPr>
              <w:t>× 10</w:t>
            </w:r>
            <w:r w:rsidRPr="00940744">
              <w:rPr>
                <w:rFonts w:asciiTheme="minorHAnsi" w:eastAsia="Times New Roman" w:hAnsiTheme="minorHAnsi" w:cstheme="minorHAnsi"/>
                <w:b/>
                <w:bCs/>
                <w:color w:val="000000"/>
                <w:vertAlign w:val="superscript"/>
                <w:lang w:eastAsia="en-GB"/>
              </w:rPr>
              <w:t>-</w:t>
            </w:r>
            <w:r>
              <w:rPr>
                <w:rFonts w:asciiTheme="minorHAnsi" w:eastAsia="Times New Roman" w:hAnsiTheme="minorHAnsi" w:cstheme="minorHAnsi"/>
                <w:b/>
                <w:bCs/>
                <w:color w:val="000000"/>
                <w:vertAlign w:val="superscript"/>
                <w:lang w:eastAsia="en-GB"/>
              </w:rPr>
              <w:t>7</w:t>
            </w:r>
          </w:p>
        </w:tc>
        <w:tc>
          <w:tcPr>
            <w:tcW w:w="1685" w:type="dxa"/>
            <w:tcBorders>
              <w:top w:val="single" w:sz="4" w:space="0" w:color="auto"/>
              <w:left w:val="single" w:sz="4" w:space="0" w:color="auto"/>
              <w:bottom w:val="single" w:sz="4" w:space="0" w:color="auto"/>
              <w:right w:val="single" w:sz="4" w:space="0" w:color="auto"/>
            </w:tcBorders>
            <w:vAlign w:val="center"/>
          </w:tcPr>
          <w:p w14:paraId="2396016E" w14:textId="77777777" w:rsidR="00DA5E34" w:rsidRPr="00940744" w:rsidRDefault="00DA5E34" w:rsidP="006D54DB">
            <w:pPr>
              <w:spacing w:line="276" w:lineRule="auto"/>
              <w:jc w:val="center"/>
              <w:rPr>
                <w:rFonts w:asciiTheme="minorHAnsi" w:eastAsia="Times New Roman" w:hAnsiTheme="minorHAnsi" w:cstheme="minorHAnsi"/>
                <w:b/>
                <w:bCs/>
                <w:lang w:eastAsia="en-GB"/>
              </w:rPr>
            </w:pPr>
            <w:r w:rsidRPr="00940744">
              <w:rPr>
                <w:rFonts w:asciiTheme="minorHAnsi" w:eastAsia="Times New Roman" w:hAnsiTheme="minorHAnsi" w:cstheme="minorHAnsi"/>
                <w:b/>
                <w:bCs/>
                <w:lang w:eastAsia="en-GB"/>
              </w:rPr>
              <w:t>0.01</w:t>
            </w:r>
            <w:r>
              <w:rPr>
                <w:rFonts w:asciiTheme="minorHAnsi" w:eastAsia="Times New Roman" w:hAnsiTheme="minorHAnsi" w:cstheme="minorHAnsi"/>
                <w:b/>
                <w:bCs/>
                <w:lang w:eastAsia="en-GB"/>
              </w:rPr>
              <w:t>6</w:t>
            </w:r>
            <w:r w:rsidRPr="00940744">
              <w:rPr>
                <w:rFonts w:asciiTheme="minorHAnsi" w:eastAsia="Times New Roman" w:hAnsiTheme="minorHAnsi" w:cstheme="minorHAnsi"/>
                <w:b/>
                <w:bCs/>
                <w:lang w:eastAsia="en-GB"/>
              </w:rPr>
              <w:t xml:space="preserve"> (0.00</w:t>
            </w:r>
            <w:r>
              <w:rPr>
                <w:rFonts w:asciiTheme="minorHAnsi" w:eastAsia="Times New Roman" w:hAnsiTheme="minorHAnsi" w:cstheme="minorHAnsi"/>
                <w:b/>
                <w:bCs/>
                <w:lang w:eastAsia="en-GB"/>
              </w:rPr>
              <w:t>5</w:t>
            </w:r>
            <w:r w:rsidRPr="00940744">
              <w:rPr>
                <w:rFonts w:asciiTheme="minorHAnsi" w:eastAsia="Times New Roman" w:hAnsiTheme="minorHAnsi" w:cstheme="minorHAnsi"/>
                <w:b/>
                <w:bCs/>
                <w:lang w:eastAsia="en-GB"/>
              </w:rPr>
              <w:t xml:space="preserve">), </w:t>
            </w:r>
          </w:p>
          <w:p w14:paraId="4CC1955A" w14:textId="77777777" w:rsidR="00DA5E34" w:rsidRPr="00940744"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9.4</w:t>
            </w:r>
            <w:r w:rsidRPr="00940744">
              <w:rPr>
                <w:rFonts w:asciiTheme="minorHAnsi" w:eastAsia="Times New Roman" w:hAnsiTheme="minorHAnsi" w:cstheme="minorHAnsi"/>
                <w:b/>
                <w:bCs/>
                <w:lang w:eastAsia="en-GB"/>
              </w:rPr>
              <w:t xml:space="preserve"> </w:t>
            </w:r>
            <w:r w:rsidRPr="00940744">
              <w:rPr>
                <w:rFonts w:asciiTheme="minorHAnsi" w:eastAsia="Times New Roman" w:hAnsiTheme="minorHAnsi" w:cstheme="minorHAnsi"/>
                <w:b/>
                <w:bCs/>
                <w:color w:val="000000"/>
                <w:lang w:eastAsia="en-GB"/>
              </w:rPr>
              <w:t>× 10</w:t>
            </w:r>
            <w:r w:rsidRPr="00940744">
              <w:rPr>
                <w:rFonts w:asciiTheme="minorHAnsi" w:eastAsia="Times New Roman" w:hAnsiTheme="minorHAnsi" w:cstheme="minorHAnsi"/>
                <w:b/>
                <w:bCs/>
                <w:color w:val="000000"/>
                <w:vertAlign w:val="superscript"/>
                <w:lang w:eastAsia="en-GB"/>
              </w:rPr>
              <w:t>-4</w:t>
            </w:r>
          </w:p>
        </w:tc>
        <w:tc>
          <w:tcPr>
            <w:tcW w:w="1780" w:type="dxa"/>
            <w:tcBorders>
              <w:top w:val="single" w:sz="4" w:space="0" w:color="auto"/>
              <w:left w:val="single" w:sz="4" w:space="0" w:color="auto"/>
              <w:bottom w:val="single" w:sz="4" w:space="0" w:color="auto"/>
              <w:right w:val="single" w:sz="4" w:space="0" w:color="auto"/>
            </w:tcBorders>
            <w:vAlign w:val="center"/>
          </w:tcPr>
          <w:p w14:paraId="398B86F8" w14:textId="77777777" w:rsidR="00DA5E34" w:rsidRPr="00AA001B" w:rsidRDefault="00DA5E34" w:rsidP="006D54DB">
            <w:pPr>
              <w:spacing w:line="276" w:lineRule="auto"/>
              <w:jc w:val="center"/>
              <w:rPr>
                <w:rFonts w:asciiTheme="minorHAnsi" w:eastAsia="Times New Roman" w:hAnsiTheme="minorHAnsi" w:cstheme="minorHAnsi"/>
                <w:lang w:eastAsia="en-GB"/>
              </w:rPr>
            </w:pPr>
            <w:r w:rsidRPr="00AA001B">
              <w:rPr>
                <w:rFonts w:asciiTheme="minorHAnsi" w:eastAsia="Times New Roman" w:hAnsiTheme="minorHAnsi" w:cstheme="minorHAnsi"/>
                <w:lang w:eastAsia="en-GB"/>
              </w:rPr>
              <w:t xml:space="preserve">0.002 (0.005), </w:t>
            </w:r>
          </w:p>
          <w:p w14:paraId="38C5B9CD" w14:textId="77777777" w:rsidR="00DA5E34" w:rsidRPr="00AA001B" w:rsidRDefault="00DA5E34" w:rsidP="006D54DB">
            <w:pPr>
              <w:spacing w:line="276" w:lineRule="auto"/>
              <w:jc w:val="center"/>
              <w:rPr>
                <w:rFonts w:asciiTheme="minorHAnsi" w:eastAsia="Times New Roman" w:hAnsiTheme="minorHAnsi" w:cstheme="minorHAnsi"/>
                <w:lang w:eastAsia="en-GB"/>
              </w:rPr>
            </w:pPr>
            <w:r w:rsidRPr="00AA001B">
              <w:rPr>
                <w:rFonts w:asciiTheme="minorHAnsi" w:eastAsia="Times New Roman" w:hAnsiTheme="minorHAnsi" w:cstheme="minorHAnsi"/>
                <w:lang w:eastAsia="en-GB"/>
              </w:rPr>
              <w:t>0.70</w:t>
            </w:r>
          </w:p>
        </w:tc>
      </w:tr>
      <w:tr w:rsidR="00DA5E34" w:rsidRPr="00940744" w14:paraId="672F44EA" w14:textId="77777777" w:rsidTr="006D54DB">
        <w:trPr>
          <w:trHeight w:val="288"/>
          <w:jc w:val="center"/>
        </w:trPr>
        <w:tc>
          <w:tcPr>
            <w:tcW w:w="1127" w:type="dxa"/>
            <w:vMerge/>
            <w:tcBorders>
              <w:left w:val="single" w:sz="4" w:space="0" w:color="auto"/>
              <w:bottom w:val="single" w:sz="4" w:space="0" w:color="auto"/>
              <w:right w:val="single" w:sz="4" w:space="0" w:color="auto"/>
            </w:tcBorders>
            <w:noWrap/>
            <w:vAlign w:val="center"/>
            <w:hideMark/>
          </w:tcPr>
          <w:p w14:paraId="049D230D" w14:textId="77777777" w:rsidR="00DA5E34" w:rsidRPr="00D45F4F" w:rsidRDefault="00DA5E34" w:rsidP="006D54DB">
            <w:pPr>
              <w:spacing w:line="276" w:lineRule="auto"/>
              <w:jc w:val="center"/>
              <w:rPr>
                <w:rFonts w:asciiTheme="minorHAnsi" w:eastAsia="Times New Roman" w:hAnsiTheme="minorHAnsi" w:cstheme="minorHAnsi"/>
                <w:lang w:eastAsia="en-GB"/>
              </w:rPr>
            </w:pPr>
          </w:p>
        </w:tc>
        <w:tc>
          <w:tcPr>
            <w:tcW w:w="7119" w:type="dxa"/>
            <w:tcBorders>
              <w:top w:val="single" w:sz="4" w:space="0" w:color="auto"/>
              <w:left w:val="single" w:sz="4" w:space="0" w:color="auto"/>
              <w:bottom w:val="single" w:sz="4" w:space="0" w:color="auto"/>
              <w:right w:val="single" w:sz="4" w:space="0" w:color="auto"/>
            </w:tcBorders>
            <w:vAlign w:val="center"/>
          </w:tcPr>
          <w:p w14:paraId="1B565290" w14:textId="77777777" w:rsidR="00DA5E34" w:rsidRPr="00D45F4F" w:rsidRDefault="00DA5E34" w:rsidP="006D54DB">
            <w:pPr>
              <w:spacing w:line="276" w:lineRule="auto"/>
              <w:jc w:val="center"/>
              <w:rPr>
                <w:rFonts w:asciiTheme="minorHAnsi" w:eastAsia="Times New Roman" w:hAnsiTheme="minorHAnsi" w:cstheme="minorHAnsi"/>
                <w:lang w:val="en-US" w:eastAsia="en-GB"/>
              </w:rPr>
            </w:pPr>
            <w:r w:rsidRPr="00D45F4F">
              <w:rPr>
                <w:rFonts w:asciiTheme="minorHAnsi" w:eastAsia="Times New Roman" w:hAnsiTheme="minorHAnsi" w:cstheme="minorHAnsi"/>
                <w:lang w:val="en-US" w:eastAsia="en-GB"/>
              </w:rPr>
              <w:t xml:space="preserve"> Age + education + PA + smoking + drinking + diabetes + cancer + CVD</w:t>
            </w:r>
          </w:p>
        </w:tc>
        <w:tc>
          <w:tcPr>
            <w:tcW w:w="3071" w:type="dxa"/>
            <w:tcBorders>
              <w:top w:val="single" w:sz="4" w:space="0" w:color="auto"/>
              <w:left w:val="single" w:sz="4" w:space="0" w:color="auto"/>
              <w:bottom w:val="single" w:sz="4" w:space="0" w:color="auto"/>
              <w:right w:val="single" w:sz="4" w:space="0" w:color="auto"/>
            </w:tcBorders>
            <w:vAlign w:val="center"/>
          </w:tcPr>
          <w:p w14:paraId="59AA1190" w14:textId="77777777" w:rsidR="00DA5E34" w:rsidRPr="00940744" w:rsidRDefault="00DA5E34" w:rsidP="006D54DB">
            <w:pPr>
              <w:spacing w:line="276" w:lineRule="auto"/>
              <w:jc w:val="center"/>
              <w:rPr>
                <w:rFonts w:asciiTheme="minorHAnsi" w:eastAsia="Times New Roman" w:hAnsiTheme="minorHAnsi" w:cstheme="minorHAnsi"/>
                <w:b/>
                <w:bCs/>
                <w:lang w:eastAsia="en-GB"/>
              </w:rPr>
            </w:pPr>
            <w:r w:rsidRPr="00940744">
              <w:rPr>
                <w:rFonts w:asciiTheme="minorHAnsi" w:eastAsia="Times New Roman" w:hAnsiTheme="minorHAnsi" w:cstheme="minorHAnsi"/>
                <w:b/>
                <w:bCs/>
                <w:lang w:eastAsia="en-GB"/>
              </w:rPr>
              <w:t>0.0</w:t>
            </w:r>
            <w:r>
              <w:rPr>
                <w:rFonts w:asciiTheme="minorHAnsi" w:eastAsia="Times New Roman" w:hAnsiTheme="minorHAnsi" w:cstheme="minorHAnsi"/>
                <w:b/>
                <w:bCs/>
                <w:lang w:eastAsia="en-GB"/>
              </w:rPr>
              <w:t>2</w:t>
            </w:r>
            <w:r w:rsidRPr="00940744">
              <w:rPr>
                <w:rFonts w:asciiTheme="minorHAnsi" w:eastAsia="Times New Roman" w:hAnsiTheme="minorHAnsi" w:cstheme="minorHAnsi"/>
                <w:b/>
                <w:bCs/>
                <w:lang w:eastAsia="en-GB"/>
              </w:rPr>
              <w:t>8 (0.00</w:t>
            </w:r>
            <w:r>
              <w:rPr>
                <w:rFonts w:asciiTheme="minorHAnsi" w:eastAsia="Times New Roman" w:hAnsiTheme="minorHAnsi" w:cstheme="minorHAnsi"/>
                <w:b/>
                <w:bCs/>
                <w:lang w:eastAsia="en-GB"/>
              </w:rPr>
              <w:t>7</w:t>
            </w:r>
            <w:r w:rsidRPr="00940744">
              <w:rPr>
                <w:rFonts w:asciiTheme="minorHAnsi" w:eastAsia="Times New Roman" w:hAnsiTheme="minorHAnsi" w:cstheme="minorHAnsi"/>
                <w:b/>
                <w:bCs/>
                <w:lang w:eastAsia="en-GB"/>
              </w:rPr>
              <w:t xml:space="preserve">), </w:t>
            </w:r>
          </w:p>
          <w:p w14:paraId="6C70A471" w14:textId="77777777" w:rsidR="00DA5E34" w:rsidRPr="00940744"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3.4</w:t>
            </w:r>
            <w:r w:rsidRPr="00940744">
              <w:rPr>
                <w:rFonts w:asciiTheme="minorHAnsi" w:eastAsia="Times New Roman" w:hAnsiTheme="minorHAnsi" w:cstheme="minorHAnsi"/>
                <w:b/>
                <w:bCs/>
                <w:lang w:eastAsia="en-GB"/>
              </w:rPr>
              <w:t xml:space="preserve"> </w:t>
            </w:r>
            <w:r w:rsidRPr="00940744">
              <w:rPr>
                <w:rFonts w:asciiTheme="minorHAnsi" w:eastAsia="Times New Roman" w:hAnsiTheme="minorHAnsi" w:cstheme="minorHAnsi"/>
                <w:b/>
                <w:bCs/>
                <w:color w:val="000000"/>
                <w:lang w:eastAsia="en-GB"/>
              </w:rPr>
              <w:t>× 10</w:t>
            </w:r>
            <w:r w:rsidRPr="00940744">
              <w:rPr>
                <w:rFonts w:asciiTheme="minorHAnsi" w:eastAsia="Times New Roman" w:hAnsiTheme="minorHAnsi" w:cstheme="minorHAnsi"/>
                <w:b/>
                <w:bCs/>
                <w:color w:val="000000"/>
                <w:vertAlign w:val="superscript"/>
                <w:lang w:eastAsia="en-GB"/>
              </w:rPr>
              <w:t>-</w:t>
            </w:r>
            <w:r>
              <w:rPr>
                <w:rFonts w:asciiTheme="minorHAnsi" w:eastAsia="Times New Roman" w:hAnsiTheme="minorHAnsi" w:cstheme="minorHAnsi"/>
                <w:b/>
                <w:bCs/>
                <w:color w:val="000000"/>
                <w:vertAlign w:val="superscript"/>
                <w:lang w:eastAsia="en-GB"/>
              </w:rPr>
              <w:t>5</w:t>
            </w:r>
          </w:p>
        </w:tc>
        <w:tc>
          <w:tcPr>
            <w:tcW w:w="1685" w:type="dxa"/>
            <w:tcBorders>
              <w:top w:val="single" w:sz="4" w:space="0" w:color="auto"/>
              <w:left w:val="single" w:sz="4" w:space="0" w:color="auto"/>
              <w:bottom w:val="single" w:sz="4" w:space="0" w:color="auto"/>
              <w:right w:val="single" w:sz="4" w:space="0" w:color="auto"/>
            </w:tcBorders>
            <w:vAlign w:val="center"/>
          </w:tcPr>
          <w:p w14:paraId="386168CE" w14:textId="77777777" w:rsidR="00DA5E34" w:rsidRPr="00940744" w:rsidRDefault="00DA5E34" w:rsidP="006D54DB">
            <w:pPr>
              <w:spacing w:line="276" w:lineRule="auto"/>
              <w:jc w:val="center"/>
              <w:rPr>
                <w:rFonts w:asciiTheme="minorHAnsi" w:eastAsia="Times New Roman" w:hAnsiTheme="minorHAnsi" w:cstheme="minorHAnsi"/>
                <w:b/>
                <w:bCs/>
                <w:lang w:eastAsia="en-GB"/>
              </w:rPr>
            </w:pPr>
            <w:r w:rsidRPr="00940744">
              <w:rPr>
                <w:rFonts w:asciiTheme="minorHAnsi" w:eastAsia="Times New Roman" w:hAnsiTheme="minorHAnsi" w:cstheme="minorHAnsi"/>
                <w:b/>
                <w:bCs/>
                <w:lang w:eastAsia="en-GB"/>
              </w:rPr>
              <w:t>0.01</w:t>
            </w:r>
            <w:r>
              <w:rPr>
                <w:rFonts w:asciiTheme="minorHAnsi" w:eastAsia="Times New Roman" w:hAnsiTheme="minorHAnsi" w:cstheme="minorHAnsi"/>
                <w:b/>
                <w:bCs/>
                <w:lang w:eastAsia="en-GB"/>
              </w:rPr>
              <w:t>3</w:t>
            </w:r>
            <w:r w:rsidRPr="00940744">
              <w:rPr>
                <w:rFonts w:asciiTheme="minorHAnsi" w:eastAsia="Times New Roman" w:hAnsiTheme="minorHAnsi" w:cstheme="minorHAnsi"/>
                <w:b/>
                <w:bCs/>
                <w:lang w:eastAsia="en-GB"/>
              </w:rPr>
              <w:t xml:space="preserve"> (0.00</w:t>
            </w:r>
            <w:r>
              <w:rPr>
                <w:rFonts w:asciiTheme="minorHAnsi" w:eastAsia="Times New Roman" w:hAnsiTheme="minorHAnsi" w:cstheme="minorHAnsi"/>
                <w:b/>
                <w:bCs/>
                <w:lang w:eastAsia="en-GB"/>
              </w:rPr>
              <w:t>5</w:t>
            </w:r>
            <w:r w:rsidRPr="00940744">
              <w:rPr>
                <w:rFonts w:asciiTheme="minorHAnsi" w:eastAsia="Times New Roman" w:hAnsiTheme="minorHAnsi" w:cstheme="minorHAnsi"/>
                <w:b/>
                <w:bCs/>
                <w:lang w:eastAsia="en-GB"/>
              </w:rPr>
              <w:t xml:space="preserve">), </w:t>
            </w:r>
          </w:p>
          <w:p w14:paraId="0BFE7417" w14:textId="77777777" w:rsidR="00DA5E34" w:rsidRPr="00940744"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0.009</w:t>
            </w:r>
          </w:p>
        </w:tc>
        <w:tc>
          <w:tcPr>
            <w:tcW w:w="1780" w:type="dxa"/>
            <w:tcBorders>
              <w:top w:val="single" w:sz="4" w:space="0" w:color="auto"/>
              <w:left w:val="single" w:sz="4" w:space="0" w:color="auto"/>
              <w:bottom w:val="single" w:sz="4" w:space="0" w:color="auto"/>
              <w:right w:val="single" w:sz="4" w:space="0" w:color="auto"/>
            </w:tcBorders>
            <w:vAlign w:val="center"/>
          </w:tcPr>
          <w:p w14:paraId="3BB8543F" w14:textId="77777777" w:rsidR="00DA5E34" w:rsidRPr="00AA001B" w:rsidRDefault="00DA5E34" w:rsidP="006D54DB">
            <w:pPr>
              <w:spacing w:line="276" w:lineRule="auto"/>
              <w:jc w:val="center"/>
              <w:rPr>
                <w:rFonts w:asciiTheme="minorHAnsi" w:eastAsia="Times New Roman" w:hAnsiTheme="minorHAnsi" w:cstheme="minorHAnsi"/>
                <w:lang w:eastAsia="en-GB"/>
              </w:rPr>
            </w:pPr>
            <w:r w:rsidRPr="00AA001B">
              <w:rPr>
                <w:rFonts w:asciiTheme="minorHAnsi" w:eastAsia="Times New Roman" w:hAnsiTheme="minorHAnsi" w:cstheme="minorHAnsi"/>
                <w:lang w:eastAsia="en-GB"/>
              </w:rPr>
              <w:t xml:space="preserve">0.003 (0.005), </w:t>
            </w:r>
          </w:p>
          <w:p w14:paraId="2984D013" w14:textId="77777777" w:rsidR="00DA5E34" w:rsidRPr="00940744" w:rsidRDefault="00DA5E34" w:rsidP="006D54DB">
            <w:pPr>
              <w:spacing w:line="276" w:lineRule="auto"/>
              <w:jc w:val="center"/>
              <w:rPr>
                <w:rFonts w:asciiTheme="minorHAnsi" w:eastAsia="Times New Roman" w:hAnsiTheme="minorHAnsi" w:cstheme="minorHAnsi"/>
                <w:b/>
                <w:bCs/>
                <w:lang w:eastAsia="en-GB"/>
              </w:rPr>
            </w:pPr>
            <w:r w:rsidRPr="00AA001B">
              <w:rPr>
                <w:rFonts w:asciiTheme="minorHAnsi" w:eastAsia="Times New Roman" w:hAnsiTheme="minorHAnsi" w:cstheme="minorHAnsi"/>
                <w:lang w:eastAsia="en-GB"/>
              </w:rPr>
              <w:t>0.59</w:t>
            </w:r>
          </w:p>
        </w:tc>
      </w:tr>
      <w:tr w:rsidR="00DA5E34" w:rsidRPr="00940744" w14:paraId="6F0119F1" w14:textId="77777777" w:rsidTr="006D54DB">
        <w:trPr>
          <w:trHeight w:val="288"/>
          <w:jc w:val="center"/>
        </w:trPr>
        <w:tc>
          <w:tcPr>
            <w:tcW w:w="1127" w:type="dxa"/>
            <w:vMerge w:val="restart"/>
            <w:tcBorders>
              <w:top w:val="single" w:sz="4" w:space="0" w:color="auto"/>
              <w:left w:val="single" w:sz="4" w:space="0" w:color="auto"/>
              <w:right w:val="single" w:sz="4" w:space="0" w:color="auto"/>
            </w:tcBorders>
            <w:noWrap/>
            <w:vAlign w:val="center"/>
            <w:hideMark/>
          </w:tcPr>
          <w:p w14:paraId="1B73A0F3" w14:textId="77777777" w:rsidR="00DA5E34" w:rsidRPr="00D45F4F" w:rsidRDefault="00DA5E34" w:rsidP="006D54DB">
            <w:pPr>
              <w:spacing w:line="276" w:lineRule="auto"/>
              <w:jc w:val="center"/>
              <w:rPr>
                <w:rFonts w:asciiTheme="minorHAnsi" w:eastAsia="Times New Roman" w:hAnsiTheme="minorHAnsi" w:cstheme="minorHAnsi"/>
                <w:lang w:eastAsia="en-GB"/>
              </w:rPr>
            </w:pPr>
            <w:r w:rsidRPr="00D45F4F">
              <w:rPr>
                <w:rFonts w:asciiTheme="minorHAnsi" w:eastAsia="Times New Roman" w:hAnsiTheme="minorHAnsi" w:cstheme="minorHAnsi"/>
                <w:lang w:eastAsia="en-GB"/>
              </w:rPr>
              <w:t>Women</w:t>
            </w:r>
          </w:p>
          <w:p w14:paraId="3DF238E2" w14:textId="77777777" w:rsidR="00DA5E34" w:rsidRPr="00D45F4F" w:rsidRDefault="00DA5E34" w:rsidP="006D54DB">
            <w:pPr>
              <w:spacing w:line="276" w:lineRule="auto"/>
              <w:jc w:val="center"/>
              <w:rPr>
                <w:rFonts w:asciiTheme="minorHAnsi" w:eastAsia="Times New Roman" w:hAnsiTheme="minorHAnsi" w:cstheme="minorHAnsi"/>
                <w:lang w:eastAsia="en-GB"/>
              </w:rPr>
            </w:pPr>
            <w:r w:rsidRPr="00D45F4F">
              <w:rPr>
                <w:rFonts w:asciiTheme="minorHAnsi" w:eastAsia="Times New Roman" w:hAnsiTheme="minorHAnsi" w:cstheme="minorHAnsi"/>
                <w:lang w:eastAsia="en-GB"/>
              </w:rPr>
              <w:t>(6,745)</w:t>
            </w:r>
          </w:p>
        </w:tc>
        <w:tc>
          <w:tcPr>
            <w:tcW w:w="7119" w:type="dxa"/>
            <w:tcBorders>
              <w:top w:val="single" w:sz="4" w:space="0" w:color="auto"/>
              <w:left w:val="single" w:sz="4" w:space="0" w:color="auto"/>
              <w:bottom w:val="single" w:sz="4" w:space="0" w:color="auto"/>
              <w:right w:val="single" w:sz="4" w:space="0" w:color="auto"/>
            </w:tcBorders>
            <w:vAlign w:val="center"/>
          </w:tcPr>
          <w:p w14:paraId="107D0F32" w14:textId="77777777" w:rsidR="00DA5E34" w:rsidRPr="00D45F4F" w:rsidRDefault="00DA5E34" w:rsidP="006D54DB">
            <w:pPr>
              <w:spacing w:line="276" w:lineRule="auto"/>
              <w:jc w:val="center"/>
              <w:rPr>
                <w:rFonts w:asciiTheme="minorHAnsi" w:eastAsia="Times New Roman" w:hAnsiTheme="minorHAnsi" w:cstheme="minorHAnsi"/>
                <w:lang w:eastAsia="en-GB"/>
              </w:rPr>
            </w:pPr>
            <w:r w:rsidRPr="00D45F4F">
              <w:rPr>
                <w:rFonts w:asciiTheme="minorHAnsi" w:eastAsia="Times New Roman" w:hAnsiTheme="minorHAnsi" w:cstheme="minorHAnsi"/>
                <w:lang w:eastAsia="en-GB"/>
              </w:rPr>
              <w:t>Age</w:t>
            </w:r>
          </w:p>
        </w:tc>
        <w:tc>
          <w:tcPr>
            <w:tcW w:w="3071" w:type="dxa"/>
            <w:tcBorders>
              <w:top w:val="single" w:sz="4" w:space="0" w:color="auto"/>
              <w:left w:val="single" w:sz="4" w:space="0" w:color="auto"/>
              <w:bottom w:val="single" w:sz="4" w:space="0" w:color="auto"/>
              <w:right w:val="single" w:sz="4" w:space="0" w:color="auto"/>
            </w:tcBorders>
            <w:vAlign w:val="center"/>
          </w:tcPr>
          <w:p w14:paraId="28BCA385" w14:textId="77777777" w:rsidR="00DA5E34" w:rsidRPr="00940744" w:rsidRDefault="00DA5E34" w:rsidP="006D54DB">
            <w:pPr>
              <w:spacing w:line="276" w:lineRule="auto"/>
              <w:jc w:val="center"/>
              <w:rPr>
                <w:rFonts w:asciiTheme="minorHAnsi" w:eastAsia="Times New Roman" w:hAnsiTheme="minorHAnsi" w:cstheme="minorHAnsi"/>
                <w:b/>
                <w:bCs/>
                <w:lang w:eastAsia="en-GB"/>
              </w:rPr>
            </w:pPr>
            <w:r w:rsidRPr="00940744">
              <w:rPr>
                <w:rFonts w:asciiTheme="minorHAnsi" w:eastAsia="Times New Roman" w:hAnsiTheme="minorHAnsi" w:cstheme="minorHAnsi"/>
                <w:b/>
                <w:bCs/>
                <w:lang w:eastAsia="en-GB"/>
              </w:rPr>
              <w:t>0.0</w:t>
            </w:r>
            <w:r>
              <w:rPr>
                <w:rFonts w:asciiTheme="minorHAnsi" w:eastAsia="Times New Roman" w:hAnsiTheme="minorHAnsi" w:cstheme="minorHAnsi"/>
                <w:b/>
                <w:bCs/>
                <w:lang w:eastAsia="en-GB"/>
              </w:rPr>
              <w:t xml:space="preserve">52 </w:t>
            </w:r>
            <w:r w:rsidRPr="00940744">
              <w:rPr>
                <w:rFonts w:asciiTheme="minorHAnsi" w:eastAsia="Times New Roman" w:hAnsiTheme="minorHAnsi" w:cstheme="minorHAnsi"/>
                <w:b/>
                <w:bCs/>
                <w:lang w:eastAsia="en-GB"/>
              </w:rPr>
              <w:t>(0.00</w:t>
            </w:r>
            <w:r>
              <w:rPr>
                <w:rFonts w:asciiTheme="minorHAnsi" w:eastAsia="Times New Roman" w:hAnsiTheme="minorHAnsi" w:cstheme="minorHAnsi"/>
                <w:b/>
                <w:bCs/>
                <w:lang w:eastAsia="en-GB"/>
              </w:rPr>
              <w:t>7</w:t>
            </w:r>
            <w:r w:rsidRPr="00940744">
              <w:rPr>
                <w:rFonts w:asciiTheme="minorHAnsi" w:eastAsia="Times New Roman" w:hAnsiTheme="minorHAnsi" w:cstheme="minorHAnsi"/>
                <w:b/>
                <w:bCs/>
                <w:lang w:eastAsia="en-GB"/>
              </w:rPr>
              <w:t xml:space="preserve">), </w:t>
            </w:r>
          </w:p>
          <w:p w14:paraId="67D9DB30" w14:textId="77777777" w:rsidR="00DA5E34" w:rsidRPr="00940744" w:rsidRDefault="00DA5E34" w:rsidP="006D54DB">
            <w:pPr>
              <w:spacing w:line="276" w:lineRule="auto"/>
              <w:jc w:val="center"/>
              <w:rPr>
                <w:rFonts w:asciiTheme="minorHAnsi" w:eastAsia="Times New Roman" w:hAnsiTheme="minorHAnsi" w:cstheme="minorHAnsi"/>
                <w:b/>
                <w:bCs/>
                <w:lang w:eastAsia="en-GB"/>
              </w:rPr>
            </w:pPr>
            <w:r w:rsidRPr="00940744">
              <w:rPr>
                <w:rFonts w:asciiTheme="minorHAnsi" w:eastAsia="Times New Roman" w:hAnsiTheme="minorHAnsi" w:cstheme="minorHAnsi"/>
                <w:b/>
                <w:bCs/>
                <w:lang w:eastAsia="en-GB"/>
              </w:rPr>
              <w:t>1.</w:t>
            </w:r>
            <w:r>
              <w:rPr>
                <w:rFonts w:asciiTheme="minorHAnsi" w:eastAsia="Times New Roman" w:hAnsiTheme="minorHAnsi" w:cstheme="minorHAnsi"/>
                <w:b/>
                <w:bCs/>
                <w:lang w:eastAsia="en-GB"/>
              </w:rPr>
              <w:t>4</w:t>
            </w:r>
            <w:r w:rsidRPr="00940744">
              <w:rPr>
                <w:rFonts w:asciiTheme="minorHAnsi" w:eastAsia="Times New Roman" w:hAnsiTheme="minorHAnsi" w:cstheme="minorHAnsi"/>
                <w:b/>
                <w:bCs/>
                <w:lang w:eastAsia="en-GB"/>
              </w:rPr>
              <w:t xml:space="preserve"> </w:t>
            </w:r>
            <w:r w:rsidRPr="00940744">
              <w:rPr>
                <w:rFonts w:asciiTheme="minorHAnsi" w:eastAsia="Times New Roman" w:hAnsiTheme="minorHAnsi" w:cstheme="minorHAnsi"/>
                <w:b/>
                <w:bCs/>
                <w:color w:val="000000"/>
                <w:lang w:eastAsia="en-GB"/>
              </w:rPr>
              <w:t>× 10</w:t>
            </w:r>
            <w:r w:rsidRPr="00940744">
              <w:rPr>
                <w:rFonts w:asciiTheme="minorHAnsi" w:eastAsia="Times New Roman" w:hAnsiTheme="minorHAnsi" w:cstheme="minorHAnsi"/>
                <w:b/>
                <w:bCs/>
                <w:color w:val="000000"/>
                <w:vertAlign w:val="superscript"/>
                <w:lang w:eastAsia="en-GB"/>
              </w:rPr>
              <w:t>-</w:t>
            </w:r>
            <w:r>
              <w:rPr>
                <w:rFonts w:asciiTheme="minorHAnsi" w:eastAsia="Times New Roman" w:hAnsiTheme="minorHAnsi" w:cstheme="minorHAnsi"/>
                <w:b/>
                <w:bCs/>
                <w:color w:val="000000"/>
                <w:vertAlign w:val="superscript"/>
                <w:lang w:eastAsia="en-GB"/>
              </w:rPr>
              <w:t>12</w:t>
            </w:r>
          </w:p>
        </w:tc>
        <w:tc>
          <w:tcPr>
            <w:tcW w:w="1685" w:type="dxa"/>
            <w:tcBorders>
              <w:top w:val="single" w:sz="4" w:space="0" w:color="auto"/>
              <w:left w:val="single" w:sz="4" w:space="0" w:color="auto"/>
              <w:bottom w:val="single" w:sz="4" w:space="0" w:color="auto"/>
              <w:right w:val="single" w:sz="4" w:space="0" w:color="auto"/>
            </w:tcBorders>
            <w:vAlign w:val="center"/>
          </w:tcPr>
          <w:p w14:paraId="2BBAB148" w14:textId="77777777" w:rsidR="00DA5E34" w:rsidRPr="00940744" w:rsidRDefault="00DA5E34" w:rsidP="006D54DB">
            <w:pPr>
              <w:spacing w:line="276" w:lineRule="auto"/>
              <w:jc w:val="center"/>
              <w:rPr>
                <w:rFonts w:asciiTheme="minorHAnsi" w:eastAsia="Times New Roman" w:hAnsiTheme="minorHAnsi" w:cstheme="minorHAnsi"/>
                <w:b/>
                <w:bCs/>
                <w:lang w:eastAsia="en-GB"/>
              </w:rPr>
            </w:pPr>
            <w:r w:rsidRPr="00940744">
              <w:rPr>
                <w:rFonts w:asciiTheme="minorHAnsi" w:eastAsia="Times New Roman" w:hAnsiTheme="minorHAnsi" w:cstheme="minorHAnsi"/>
                <w:b/>
                <w:bCs/>
                <w:lang w:eastAsia="en-GB"/>
              </w:rPr>
              <w:t>0.01</w:t>
            </w:r>
            <w:r>
              <w:rPr>
                <w:rFonts w:asciiTheme="minorHAnsi" w:eastAsia="Times New Roman" w:hAnsiTheme="minorHAnsi" w:cstheme="minorHAnsi"/>
                <w:b/>
                <w:bCs/>
                <w:lang w:eastAsia="en-GB"/>
              </w:rPr>
              <w:t>0</w:t>
            </w:r>
            <w:r w:rsidRPr="00940744">
              <w:rPr>
                <w:rFonts w:asciiTheme="minorHAnsi" w:eastAsia="Times New Roman" w:hAnsiTheme="minorHAnsi" w:cstheme="minorHAnsi"/>
                <w:b/>
                <w:bCs/>
                <w:lang w:eastAsia="en-GB"/>
              </w:rPr>
              <w:t xml:space="preserve"> (0.00</w:t>
            </w:r>
            <w:r>
              <w:rPr>
                <w:rFonts w:asciiTheme="minorHAnsi" w:eastAsia="Times New Roman" w:hAnsiTheme="minorHAnsi" w:cstheme="minorHAnsi"/>
                <w:b/>
                <w:bCs/>
                <w:lang w:eastAsia="en-GB"/>
              </w:rPr>
              <w:t>5</w:t>
            </w:r>
            <w:r w:rsidRPr="00940744">
              <w:rPr>
                <w:rFonts w:asciiTheme="minorHAnsi" w:eastAsia="Times New Roman" w:hAnsiTheme="minorHAnsi" w:cstheme="minorHAnsi"/>
                <w:b/>
                <w:bCs/>
                <w:lang w:eastAsia="en-GB"/>
              </w:rPr>
              <w:t xml:space="preserve">), </w:t>
            </w:r>
          </w:p>
          <w:p w14:paraId="342FDFC3" w14:textId="77777777" w:rsidR="00DA5E34" w:rsidRPr="00940744"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&lt;</w:t>
            </w:r>
            <w:r w:rsidRPr="00940744">
              <w:rPr>
                <w:rFonts w:asciiTheme="minorHAnsi" w:eastAsia="Times New Roman" w:hAnsiTheme="minorHAnsi" w:cstheme="minorHAnsi"/>
                <w:b/>
                <w:bCs/>
                <w:lang w:eastAsia="en-GB"/>
              </w:rPr>
              <w:t>0.0</w:t>
            </w:r>
            <w:r>
              <w:rPr>
                <w:rFonts w:asciiTheme="minorHAnsi" w:eastAsia="Times New Roman" w:hAnsiTheme="minorHAnsi" w:cstheme="minorHAnsi"/>
                <w:b/>
                <w:bCs/>
                <w:lang w:eastAsia="en-GB"/>
              </w:rPr>
              <w:t>5</w:t>
            </w:r>
          </w:p>
        </w:tc>
        <w:tc>
          <w:tcPr>
            <w:tcW w:w="1780" w:type="dxa"/>
            <w:tcBorders>
              <w:top w:val="single" w:sz="4" w:space="0" w:color="auto"/>
              <w:left w:val="single" w:sz="4" w:space="0" w:color="auto"/>
              <w:bottom w:val="single" w:sz="4" w:space="0" w:color="auto"/>
              <w:right w:val="single" w:sz="4" w:space="0" w:color="auto"/>
            </w:tcBorders>
            <w:vAlign w:val="center"/>
          </w:tcPr>
          <w:p w14:paraId="2BA8160E" w14:textId="77777777" w:rsidR="00DA5E34" w:rsidRPr="00AA001B" w:rsidRDefault="00DA5E34" w:rsidP="006D54DB">
            <w:pPr>
              <w:spacing w:line="276" w:lineRule="auto"/>
              <w:jc w:val="center"/>
              <w:rPr>
                <w:rFonts w:asciiTheme="minorHAnsi" w:eastAsia="Times New Roman" w:hAnsiTheme="minorHAnsi" w:cstheme="minorHAnsi"/>
                <w:b/>
                <w:bCs/>
                <w:lang w:eastAsia="en-GB"/>
              </w:rPr>
            </w:pPr>
            <w:r w:rsidRPr="00AA001B">
              <w:rPr>
                <w:rFonts w:asciiTheme="minorHAnsi" w:eastAsia="Times New Roman" w:hAnsiTheme="minorHAnsi" w:cstheme="minorHAnsi"/>
                <w:b/>
                <w:bCs/>
                <w:lang w:eastAsia="en-GB"/>
              </w:rPr>
              <w:t xml:space="preserve">0.017 (0.005), </w:t>
            </w:r>
          </w:p>
          <w:p w14:paraId="6A62E53C" w14:textId="77777777" w:rsidR="00DA5E34" w:rsidRPr="00AE20B2"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0.001</w:t>
            </w:r>
          </w:p>
        </w:tc>
      </w:tr>
      <w:tr w:rsidR="00DA5E34" w:rsidRPr="00940744" w14:paraId="37ACECE6" w14:textId="77777777" w:rsidTr="006D54DB">
        <w:trPr>
          <w:trHeight w:val="288"/>
          <w:jc w:val="center"/>
        </w:trPr>
        <w:tc>
          <w:tcPr>
            <w:tcW w:w="1127" w:type="dxa"/>
            <w:vMerge/>
            <w:tcBorders>
              <w:left w:val="single" w:sz="4" w:space="0" w:color="auto"/>
              <w:bottom w:val="single" w:sz="4" w:space="0" w:color="auto"/>
              <w:right w:val="single" w:sz="4" w:space="0" w:color="auto"/>
            </w:tcBorders>
            <w:noWrap/>
            <w:vAlign w:val="center"/>
            <w:hideMark/>
          </w:tcPr>
          <w:p w14:paraId="184D2904" w14:textId="77777777" w:rsidR="00DA5E34" w:rsidRPr="00D45F4F" w:rsidRDefault="00DA5E34" w:rsidP="006D54DB">
            <w:pPr>
              <w:spacing w:line="276" w:lineRule="auto"/>
              <w:jc w:val="center"/>
              <w:rPr>
                <w:rFonts w:asciiTheme="minorHAnsi" w:eastAsia="Times New Roman" w:hAnsiTheme="minorHAnsi" w:cstheme="minorHAnsi"/>
                <w:lang w:eastAsia="en-GB"/>
              </w:rPr>
            </w:pPr>
          </w:p>
        </w:tc>
        <w:tc>
          <w:tcPr>
            <w:tcW w:w="7119" w:type="dxa"/>
            <w:tcBorders>
              <w:top w:val="single" w:sz="4" w:space="0" w:color="auto"/>
              <w:left w:val="single" w:sz="4" w:space="0" w:color="auto"/>
              <w:bottom w:val="single" w:sz="4" w:space="0" w:color="auto"/>
              <w:right w:val="single" w:sz="4" w:space="0" w:color="auto"/>
            </w:tcBorders>
            <w:vAlign w:val="center"/>
          </w:tcPr>
          <w:p w14:paraId="632B38AC" w14:textId="77777777" w:rsidR="00DA5E34" w:rsidRPr="00D45F4F" w:rsidRDefault="00DA5E34" w:rsidP="006D54DB">
            <w:pPr>
              <w:spacing w:line="276" w:lineRule="auto"/>
              <w:jc w:val="center"/>
              <w:rPr>
                <w:rFonts w:asciiTheme="minorHAnsi" w:eastAsia="Times New Roman" w:hAnsiTheme="minorHAnsi" w:cstheme="minorHAnsi"/>
                <w:lang w:val="en-US" w:eastAsia="en-GB"/>
              </w:rPr>
            </w:pPr>
            <w:r w:rsidRPr="00D45F4F">
              <w:rPr>
                <w:rFonts w:asciiTheme="minorHAnsi" w:eastAsia="Times New Roman" w:hAnsiTheme="minorHAnsi" w:cstheme="minorHAnsi"/>
                <w:lang w:val="en-US" w:eastAsia="en-GB"/>
              </w:rPr>
              <w:t xml:space="preserve"> Age + education + PA + smoking + drinking + diabetes + cancer + CVD</w:t>
            </w:r>
          </w:p>
        </w:tc>
        <w:tc>
          <w:tcPr>
            <w:tcW w:w="3071" w:type="dxa"/>
            <w:tcBorders>
              <w:top w:val="single" w:sz="4" w:space="0" w:color="auto"/>
              <w:left w:val="single" w:sz="4" w:space="0" w:color="auto"/>
              <w:bottom w:val="single" w:sz="4" w:space="0" w:color="auto"/>
              <w:right w:val="single" w:sz="4" w:space="0" w:color="auto"/>
            </w:tcBorders>
            <w:vAlign w:val="center"/>
          </w:tcPr>
          <w:p w14:paraId="0C29FD7F" w14:textId="77777777" w:rsidR="00DA5E34" w:rsidRPr="00940744" w:rsidRDefault="00DA5E34" w:rsidP="006D54DB">
            <w:pPr>
              <w:spacing w:line="276" w:lineRule="auto"/>
              <w:jc w:val="center"/>
              <w:rPr>
                <w:rFonts w:asciiTheme="minorHAnsi" w:eastAsia="Times New Roman" w:hAnsiTheme="minorHAnsi" w:cstheme="minorHAnsi"/>
                <w:b/>
                <w:bCs/>
                <w:lang w:eastAsia="en-GB"/>
              </w:rPr>
            </w:pPr>
            <w:r w:rsidRPr="00940744">
              <w:rPr>
                <w:rFonts w:asciiTheme="minorHAnsi" w:eastAsia="Times New Roman" w:hAnsiTheme="minorHAnsi" w:cstheme="minorHAnsi"/>
                <w:b/>
                <w:bCs/>
                <w:lang w:eastAsia="en-GB"/>
              </w:rPr>
              <w:t>0.0</w:t>
            </w:r>
            <w:r>
              <w:rPr>
                <w:rFonts w:asciiTheme="minorHAnsi" w:eastAsia="Times New Roman" w:hAnsiTheme="minorHAnsi" w:cstheme="minorHAnsi"/>
                <w:b/>
                <w:bCs/>
                <w:lang w:eastAsia="en-GB"/>
              </w:rPr>
              <w:t>47</w:t>
            </w:r>
            <w:r w:rsidRPr="00940744">
              <w:rPr>
                <w:rFonts w:asciiTheme="minorHAnsi" w:eastAsia="Times New Roman" w:hAnsiTheme="minorHAnsi" w:cstheme="minorHAnsi"/>
                <w:b/>
                <w:bCs/>
                <w:lang w:eastAsia="en-GB"/>
              </w:rPr>
              <w:t xml:space="preserve"> (0.00</w:t>
            </w:r>
            <w:r>
              <w:rPr>
                <w:rFonts w:asciiTheme="minorHAnsi" w:eastAsia="Times New Roman" w:hAnsiTheme="minorHAnsi" w:cstheme="minorHAnsi"/>
                <w:b/>
                <w:bCs/>
                <w:lang w:eastAsia="en-GB"/>
              </w:rPr>
              <w:t>7</w:t>
            </w:r>
            <w:r w:rsidRPr="00940744">
              <w:rPr>
                <w:rFonts w:asciiTheme="minorHAnsi" w:eastAsia="Times New Roman" w:hAnsiTheme="minorHAnsi" w:cstheme="minorHAnsi"/>
                <w:b/>
                <w:bCs/>
                <w:lang w:eastAsia="en-GB"/>
              </w:rPr>
              <w:t xml:space="preserve">), </w:t>
            </w:r>
          </w:p>
          <w:p w14:paraId="41EEB0E7" w14:textId="77777777" w:rsidR="00DA5E34" w:rsidRPr="00940744"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2.3</w:t>
            </w:r>
            <w:r w:rsidRPr="00940744">
              <w:rPr>
                <w:rFonts w:asciiTheme="minorHAnsi" w:eastAsia="Times New Roman" w:hAnsiTheme="minorHAnsi" w:cstheme="minorHAnsi"/>
                <w:b/>
                <w:bCs/>
                <w:lang w:eastAsia="en-GB"/>
              </w:rPr>
              <w:t xml:space="preserve"> </w:t>
            </w:r>
            <w:r w:rsidRPr="00940744">
              <w:rPr>
                <w:rFonts w:asciiTheme="minorHAnsi" w:eastAsia="Times New Roman" w:hAnsiTheme="minorHAnsi" w:cstheme="minorHAnsi"/>
                <w:b/>
                <w:bCs/>
                <w:color w:val="000000"/>
                <w:lang w:eastAsia="en-GB"/>
              </w:rPr>
              <w:t>× 10</w:t>
            </w:r>
            <w:r w:rsidRPr="00940744">
              <w:rPr>
                <w:rFonts w:asciiTheme="minorHAnsi" w:eastAsia="Times New Roman" w:hAnsiTheme="minorHAnsi" w:cstheme="minorHAnsi"/>
                <w:b/>
                <w:bCs/>
                <w:color w:val="000000"/>
                <w:vertAlign w:val="superscript"/>
                <w:lang w:eastAsia="en-GB"/>
              </w:rPr>
              <w:t>-</w:t>
            </w:r>
            <w:r>
              <w:rPr>
                <w:rFonts w:asciiTheme="minorHAnsi" w:eastAsia="Times New Roman" w:hAnsiTheme="minorHAnsi" w:cstheme="minorHAnsi"/>
                <w:b/>
                <w:bCs/>
                <w:color w:val="000000"/>
                <w:vertAlign w:val="superscript"/>
                <w:lang w:eastAsia="en-GB"/>
              </w:rPr>
              <w:t>10</w:t>
            </w:r>
            <w:r w:rsidRPr="00940744">
              <w:rPr>
                <w:rFonts w:asciiTheme="minorHAnsi" w:eastAsia="Times New Roman" w:hAnsiTheme="minorHAnsi" w:cstheme="minorHAnsi"/>
                <w:b/>
                <w:bCs/>
                <w:lang w:eastAsia="en-GB"/>
              </w:rPr>
              <w:t xml:space="preserve">  </w:t>
            </w:r>
          </w:p>
        </w:tc>
        <w:tc>
          <w:tcPr>
            <w:tcW w:w="1685" w:type="dxa"/>
            <w:tcBorders>
              <w:top w:val="single" w:sz="4" w:space="0" w:color="auto"/>
              <w:left w:val="single" w:sz="4" w:space="0" w:color="auto"/>
              <w:bottom w:val="single" w:sz="4" w:space="0" w:color="auto"/>
              <w:right w:val="single" w:sz="4" w:space="0" w:color="auto"/>
            </w:tcBorders>
            <w:vAlign w:val="center"/>
          </w:tcPr>
          <w:p w14:paraId="7D05577F" w14:textId="77777777" w:rsidR="00DA5E34" w:rsidRPr="00940744" w:rsidRDefault="00DA5E34" w:rsidP="006D54DB">
            <w:pPr>
              <w:spacing w:line="276" w:lineRule="auto"/>
              <w:jc w:val="center"/>
              <w:rPr>
                <w:rFonts w:asciiTheme="minorHAnsi" w:eastAsia="Times New Roman" w:hAnsiTheme="minorHAnsi" w:cstheme="minorHAnsi"/>
                <w:b/>
                <w:bCs/>
                <w:lang w:eastAsia="en-GB"/>
              </w:rPr>
            </w:pPr>
            <w:r w:rsidRPr="00940744">
              <w:rPr>
                <w:rFonts w:asciiTheme="minorHAnsi" w:eastAsia="Times New Roman" w:hAnsiTheme="minorHAnsi" w:cstheme="minorHAnsi"/>
                <w:b/>
                <w:bCs/>
                <w:lang w:eastAsia="en-GB"/>
              </w:rPr>
              <w:t>0.01</w:t>
            </w:r>
            <w:r>
              <w:rPr>
                <w:rFonts w:asciiTheme="minorHAnsi" w:eastAsia="Times New Roman" w:hAnsiTheme="minorHAnsi" w:cstheme="minorHAnsi"/>
                <w:b/>
                <w:bCs/>
                <w:lang w:eastAsia="en-GB"/>
              </w:rPr>
              <w:t>1</w:t>
            </w:r>
            <w:r w:rsidRPr="00940744">
              <w:rPr>
                <w:rFonts w:asciiTheme="minorHAnsi" w:eastAsia="Times New Roman" w:hAnsiTheme="minorHAnsi" w:cstheme="minorHAnsi"/>
                <w:b/>
                <w:bCs/>
                <w:lang w:eastAsia="en-GB"/>
              </w:rPr>
              <w:t xml:space="preserve"> (0.0</w:t>
            </w:r>
            <w:r>
              <w:rPr>
                <w:rFonts w:asciiTheme="minorHAnsi" w:eastAsia="Times New Roman" w:hAnsiTheme="minorHAnsi" w:cstheme="minorHAnsi"/>
                <w:b/>
                <w:bCs/>
                <w:lang w:eastAsia="en-GB"/>
              </w:rPr>
              <w:t>05</w:t>
            </w:r>
            <w:r w:rsidRPr="00940744">
              <w:rPr>
                <w:rFonts w:asciiTheme="minorHAnsi" w:eastAsia="Times New Roman" w:hAnsiTheme="minorHAnsi" w:cstheme="minorHAnsi"/>
                <w:b/>
                <w:bCs/>
                <w:lang w:eastAsia="en-GB"/>
              </w:rPr>
              <w:t xml:space="preserve">), </w:t>
            </w:r>
          </w:p>
          <w:p w14:paraId="50FA8B36" w14:textId="77777777" w:rsidR="00DA5E34" w:rsidRPr="00940744" w:rsidRDefault="00DA5E34" w:rsidP="006D54DB">
            <w:pPr>
              <w:spacing w:line="276" w:lineRule="auto"/>
              <w:jc w:val="center"/>
              <w:rPr>
                <w:rFonts w:asciiTheme="minorHAnsi" w:eastAsia="Times New Roman" w:hAnsiTheme="minorHAnsi" w:cstheme="minorHAnsi"/>
                <w:b/>
                <w:bCs/>
                <w:lang w:eastAsia="en-GB"/>
              </w:rPr>
            </w:pPr>
            <w:r w:rsidRPr="00940744">
              <w:rPr>
                <w:rFonts w:asciiTheme="minorHAnsi" w:eastAsia="Times New Roman" w:hAnsiTheme="minorHAnsi" w:cstheme="minorHAnsi"/>
                <w:b/>
                <w:bCs/>
                <w:lang w:eastAsia="en-GB"/>
              </w:rPr>
              <w:t>0.0</w:t>
            </w:r>
            <w:r>
              <w:rPr>
                <w:rFonts w:asciiTheme="minorHAnsi" w:eastAsia="Times New Roman" w:hAnsiTheme="minorHAnsi" w:cstheme="minorHAnsi"/>
                <w:b/>
                <w:bCs/>
                <w:lang w:eastAsia="en-GB"/>
              </w:rPr>
              <w:t>4</w:t>
            </w:r>
          </w:p>
        </w:tc>
        <w:tc>
          <w:tcPr>
            <w:tcW w:w="1780" w:type="dxa"/>
            <w:tcBorders>
              <w:top w:val="single" w:sz="4" w:space="0" w:color="auto"/>
              <w:left w:val="single" w:sz="4" w:space="0" w:color="auto"/>
              <w:bottom w:val="single" w:sz="4" w:space="0" w:color="auto"/>
              <w:right w:val="single" w:sz="4" w:space="0" w:color="auto"/>
            </w:tcBorders>
            <w:vAlign w:val="center"/>
          </w:tcPr>
          <w:p w14:paraId="36BB7BFF" w14:textId="77777777" w:rsidR="00DA5E34" w:rsidRPr="00AA001B" w:rsidRDefault="00DA5E34" w:rsidP="006D54DB">
            <w:pPr>
              <w:spacing w:line="276" w:lineRule="auto"/>
              <w:jc w:val="center"/>
              <w:rPr>
                <w:rFonts w:asciiTheme="minorHAnsi" w:eastAsia="Times New Roman" w:hAnsiTheme="minorHAnsi" w:cstheme="minorHAnsi"/>
                <w:b/>
                <w:bCs/>
                <w:lang w:eastAsia="en-GB"/>
              </w:rPr>
            </w:pPr>
            <w:r w:rsidRPr="00AA001B">
              <w:rPr>
                <w:rFonts w:asciiTheme="minorHAnsi" w:eastAsia="Times New Roman" w:hAnsiTheme="minorHAnsi" w:cstheme="minorHAnsi"/>
                <w:b/>
                <w:bCs/>
                <w:lang w:eastAsia="en-GB"/>
              </w:rPr>
              <w:t xml:space="preserve">0.014 (0.005), </w:t>
            </w:r>
          </w:p>
          <w:p w14:paraId="5190B642" w14:textId="77777777" w:rsidR="00DA5E34" w:rsidRPr="00AA001B"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0.009</w:t>
            </w:r>
          </w:p>
        </w:tc>
      </w:tr>
    </w:tbl>
    <w:p w14:paraId="0009151E" w14:textId="77777777" w:rsidR="00DA5E34" w:rsidRDefault="00DA5E34" w:rsidP="00DA5E34">
      <w:pPr>
        <w:spacing w:line="360" w:lineRule="auto"/>
        <w:jc w:val="both"/>
        <w:rPr>
          <w:rFonts w:asciiTheme="minorHAnsi" w:hAnsiTheme="minorHAnsi" w:cstheme="minorHAnsi"/>
          <w:lang w:val="en-US"/>
        </w:rPr>
      </w:pPr>
    </w:p>
    <w:p w14:paraId="6D5BD6B5" w14:textId="77777777" w:rsidR="00DA5E34" w:rsidRDefault="00DA5E34" w:rsidP="00DA5E34">
      <w:pPr>
        <w:spacing w:line="360" w:lineRule="auto"/>
        <w:jc w:val="both"/>
        <w:rPr>
          <w:rFonts w:asciiTheme="minorHAnsi" w:hAnsiTheme="minorHAnsi" w:cstheme="minorHAnsi"/>
          <w:lang w:val="en-US"/>
        </w:rPr>
      </w:pPr>
    </w:p>
    <w:p w14:paraId="61833CEA" w14:textId="77777777" w:rsidR="00DA5E34" w:rsidRPr="00D37161" w:rsidRDefault="00DA5E34" w:rsidP="00DA5E34">
      <w:pPr>
        <w:spacing w:line="360" w:lineRule="auto"/>
        <w:jc w:val="both"/>
        <w:rPr>
          <w:rFonts w:asciiTheme="minorHAnsi" w:hAnsiTheme="minorHAnsi" w:cstheme="minorHAnsi"/>
          <w:b/>
          <w:bCs/>
          <w:lang w:val="en-US"/>
        </w:rPr>
      </w:pPr>
      <w:r>
        <w:rPr>
          <w:rFonts w:asciiTheme="minorHAnsi" w:hAnsiTheme="minorHAnsi" w:cstheme="minorHAnsi"/>
          <w:b/>
          <w:bCs/>
          <w:lang w:val="en-US"/>
        </w:rPr>
        <w:t>b</w:t>
      </w:r>
      <w:r w:rsidRPr="00D37161">
        <w:rPr>
          <w:rFonts w:asciiTheme="minorHAnsi" w:hAnsiTheme="minorHAnsi" w:cstheme="minorHAnsi"/>
          <w:b/>
          <w:bCs/>
          <w:lang w:val="en-US"/>
        </w:rPr>
        <w:t>)</w:t>
      </w:r>
    </w:p>
    <w:tbl>
      <w:tblPr>
        <w:tblW w:w="15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7355"/>
        <w:gridCol w:w="3071"/>
        <w:gridCol w:w="1685"/>
        <w:gridCol w:w="1941"/>
      </w:tblGrid>
      <w:tr w:rsidR="00DA5E34" w:rsidRPr="004C1F8C" w14:paraId="240D0F4D" w14:textId="77777777" w:rsidTr="006D54DB">
        <w:trPr>
          <w:trHeight w:val="395"/>
          <w:jc w:val="center"/>
        </w:trPr>
        <w:tc>
          <w:tcPr>
            <w:tcW w:w="1835" w:type="dxa"/>
            <w:tcBorders>
              <w:top w:val="single" w:sz="4" w:space="0" w:color="auto"/>
              <w:left w:val="single" w:sz="4" w:space="0" w:color="auto"/>
              <w:bottom w:val="single" w:sz="4" w:space="0" w:color="auto"/>
              <w:right w:val="single" w:sz="4" w:space="0" w:color="auto"/>
            </w:tcBorders>
            <w:noWrap/>
            <w:vAlign w:val="center"/>
            <w:hideMark/>
          </w:tcPr>
          <w:p w14:paraId="02C4B940" w14:textId="77777777" w:rsidR="00DA5E34" w:rsidRPr="00AE20B2" w:rsidRDefault="00DA5E34" w:rsidP="006D54DB">
            <w:pPr>
              <w:spacing w:line="276" w:lineRule="auto"/>
              <w:jc w:val="center"/>
              <w:rPr>
                <w:rFonts w:asciiTheme="minorHAnsi" w:eastAsia="Times New Roman" w:hAnsiTheme="minorHAnsi" w:cstheme="minorHAnsi"/>
                <w:lang w:val="en-US" w:eastAsia="en-GB"/>
              </w:rPr>
            </w:pPr>
            <w:r w:rsidRPr="00AE20B2">
              <w:rPr>
                <w:rFonts w:asciiTheme="minorHAnsi" w:eastAsia="Times New Roman" w:hAnsiTheme="minorHAnsi" w:cstheme="minorHAnsi"/>
                <w:lang w:val="en-US" w:eastAsia="en-GB"/>
              </w:rPr>
              <w:t>Condition</w:t>
            </w:r>
          </w:p>
          <w:p w14:paraId="5003705D" w14:textId="77777777" w:rsidR="00DA5E34" w:rsidRPr="00AE20B2" w:rsidRDefault="00DA5E34" w:rsidP="006D54DB">
            <w:pPr>
              <w:spacing w:line="276" w:lineRule="auto"/>
              <w:jc w:val="center"/>
              <w:rPr>
                <w:rFonts w:asciiTheme="minorHAnsi" w:eastAsia="Times New Roman" w:hAnsiTheme="minorHAnsi" w:cstheme="minorHAnsi"/>
                <w:lang w:val="en-US" w:eastAsia="en-GB"/>
              </w:rPr>
            </w:pPr>
            <w:r w:rsidRPr="00AE20B2">
              <w:rPr>
                <w:rFonts w:asciiTheme="minorHAnsi" w:eastAsia="Times New Roman" w:hAnsiTheme="minorHAnsi" w:cstheme="minorHAnsi"/>
                <w:lang w:val="en-US" w:eastAsia="en-GB"/>
              </w:rPr>
              <w:t>(N)</w:t>
            </w:r>
          </w:p>
        </w:tc>
        <w:tc>
          <w:tcPr>
            <w:tcW w:w="7355" w:type="dxa"/>
            <w:tcBorders>
              <w:top w:val="single" w:sz="4" w:space="0" w:color="auto"/>
              <w:left w:val="single" w:sz="4" w:space="0" w:color="auto"/>
              <w:bottom w:val="single" w:sz="4" w:space="0" w:color="auto"/>
              <w:right w:val="single" w:sz="4" w:space="0" w:color="auto"/>
            </w:tcBorders>
            <w:vAlign w:val="center"/>
          </w:tcPr>
          <w:p w14:paraId="2EFA8EC2" w14:textId="3CC647CF" w:rsidR="00DA5E34" w:rsidRPr="00AE20B2" w:rsidRDefault="00DA5E34" w:rsidP="006D54DB">
            <w:pPr>
              <w:spacing w:line="276" w:lineRule="auto"/>
              <w:jc w:val="center"/>
              <w:rPr>
                <w:rFonts w:asciiTheme="minorHAnsi" w:eastAsia="Times New Roman" w:hAnsiTheme="minorHAnsi" w:cstheme="minorHAnsi"/>
                <w:lang w:eastAsia="en-GB"/>
              </w:rPr>
            </w:pPr>
            <w:r w:rsidRPr="00AE20B2">
              <w:rPr>
                <w:rFonts w:asciiTheme="minorHAnsi" w:eastAsia="Times New Roman" w:hAnsiTheme="minorHAnsi" w:cstheme="minorHAnsi"/>
                <w:lang w:eastAsia="en-GB"/>
              </w:rPr>
              <w:t>Covari</w:t>
            </w:r>
            <w:r>
              <w:rPr>
                <w:rFonts w:asciiTheme="minorHAnsi" w:eastAsia="Times New Roman" w:hAnsiTheme="minorHAnsi" w:cstheme="minorHAnsi"/>
                <w:lang w:eastAsia="en-GB"/>
              </w:rPr>
              <w:t>a</w:t>
            </w:r>
            <w:r w:rsidRPr="00AE20B2">
              <w:rPr>
                <w:rFonts w:asciiTheme="minorHAnsi" w:eastAsia="Times New Roman" w:hAnsiTheme="minorHAnsi" w:cstheme="minorHAnsi"/>
                <w:lang w:eastAsia="en-GB"/>
              </w:rPr>
              <w:t>tes</w:t>
            </w:r>
          </w:p>
        </w:tc>
        <w:tc>
          <w:tcPr>
            <w:tcW w:w="3071" w:type="dxa"/>
            <w:tcBorders>
              <w:top w:val="single" w:sz="4" w:space="0" w:color="auto"/>
              <w:left w:val="single" w:sz="4" w:space="0" w:color="auto"/>
              <w:bottom w:val="single" w:sz="4" w:space="0" w:color="auto"/>
              <w:right w:val="single" w:sz="4" w:space="0" w:color="auto"/>
            </w:tcBorders>
            <w:vAlign w:val="center"/>
          </w:tcPr>
          <w:p w14:paraId="5D437354" w14:textId="77777777" w:rsidR="00DA5E34" w:rsidRPr="00AE20B2" w:rsidRDefault="00DA5E34" w:rsidP="006D54DB">
            <w:pPr>
              <w:spacing w:line="276" w:lineRule="auto"/>
              <w:jc w:val="center"/>
              <w:rPr>
                <w:rFonts w:asciiTheme="minorHAnsi" w:hAnsiTheme="minorHAnsi" w:cstheme="minorHAnsi"/>
                <w:lang w:val="en-US"/>
              </w:rPr>
            </w:pPr>
            <w:r w:rsidRPr="00AE20B2">
              <w:rPr>
                <w:rFonts w:asciiTheme="minorHAnsi" w:eastAsia="Times New Roman" w:hAnsiTheme="minorHAnsi" w:cstheme="minorHAnsi"/>
                <w:lang w:val="en-US" w:eastAsia="en-GB"/>
              </w:rPr>
              <w:t xml:space="preserve">Overall symptoms </w:t>
            </w:r>
            <w:r w:rsidRPr="00AE20B2">
              <w:rPr>
                <w:rFonts w:asciiTheme="minorHAnsi" w:hAnsiTheme="minorHAnsi" w:cstheme="minorHAnsi"/>
                <w:lang w:val="en-US"/>
              </w:rPr>
              <w:t>(PHQ9-6)</w:t>
            </w:r>
          </w:p>
          <w:p w14:paraId="7FAC48F6" w14:textId="77777777" w:rsidR="00DA5E34" w:rsidRPr="00AE20B2" w:rsidRDefault="00DA5E34" w:rsidP="006D54DB">
            <w:pPr>
              <w:spacing w:line="276" w:lineRule="auto"/>
              <w:jc w:val="center"/>
              <w:rPr>
                <w:rFonts w:asciiTheme="minorHAnsi" w:eastAsia="Times New Roman" w:hAnsiTheme="minorHAnsi" w:cstheme="minorHAnsi"/>
                <w:lang w:val="en-US" w:eastAsia="en-GB"/>
              </w:rPr>
            </w:pPr>
            <w:r w:rsidRPr="00AE20B2">
              <w:rPr>
                <w:rFonts w:asciiTheme="minorHAnsi" w:eastAsia="Times New Roman" w:hAnsiTheme="minorHAnsi" w:cstheme="minorHAnsi"/>
                <w:lang w:eastAsia="en-GB"/>
              </w:rPr>
              <w:t>β</w:t>
            </w:r>
            <w:r w:rsidRPr="00AE20B2">
              <w:rPr>
                <w:rFonts w:asciiTheme="minorHAnsi" w:eastAsia="Times New Roman" w:hAnsiTheme="minorHAnsi" w:cstheme="minorHAnsi"/>
                <w:lang w:val="en-US" w:eastAsia="en-GB"/>
              </w:rPr>
              <w:t xml:space="preserve"> (SE), </w:t>
            </w:r>
          </w:p>
          <w:p w14:paraId="0F77F158" w14:textId="77777777" w:rsidR="00DA5E34" w:rsidRPr="00AE20B2" w:rsidRDefault="00DA5E34" w:rsidP="006D54DB">
            <w:pPr>
              <w:spacing w:line="276" w:lineRule="auto"/>
              <w:jc w:val="center"/>
              <w:rPr>
                <w:rFonts w:asciiTheme="minorHAnsi" w:eastAsia="Times New Roman" w:hAnsiTheme="minorHAnsi" w:cstheme="minorHAnsi"/>
                <w:lang w:val="en-US" w:eastAsia="en-GB"/>
              </w:rPr>
            </w:pPr>
            <w:r w:rsidRPr="00AE20B2">
              <w:rPr>
                <w:rFonts w:asciiTheme="minorHAnsi" w:eastAsia="Times New Roman" w:hAnsiTheme="minorHAnsi" w:cstheme="minorHAnsi"/>
                <w:lang w:val="en-US" w:eastAsia="en-GB"/>
              </w:rPr>
              <w:t>p-value</w:t>
            </w:r>
          </w:p>
        </w:tc>
        <w:tc>
          <w:tcPr>
            <w:tcW w:w="1685" w:type="dxa"/>
            <w:tcBorders>
              <w:top w:val="single" w:sz="4" w:space="0" w:color="auto"/>
              <w:left w:val="single" w:sz="4" w:space="0" w:color="auto"/>
              <w:bottom w:val="single" w:sz="4" w:space="0" w:color="auto"/>
              <w:right w:val="single" w:sz="4" w:space="0" w:color="auto"/>
            </w:tcBorders>
            <w:vAlign w:val="center"/>
          </w:tcPr>
          <w:p w14:paraId="077266B5" w14:textId="77777777" w:rsidR="00DA5E34" w:rsidRPr="00AE20B2" w:rsidRDefault="00DA5E34" w:rsidP="006D54DB">
            <w:pPr>
              <w:spacing w:line="276" w:lineRule="auto"/>
              <w:jc w:val="center"/>
              <w:rPr>
                <w:rFonts w:asciiTheme="minorHAnsi" w:eastAsia="Times New Roman" w:hAnsiTheme="minorHAnsi" w:cstheme="minorHAnsi"/>
                <w:lang w:val="en-US" w:eastAsia="en-GB"/>
              </w:rPr>
            </w:pPr>
            <w:r w:rsidRPr="00AE20B2">
              <w:rPr>
                <w:rFonts w:asciiTheme="minorHAnsi" w:eastAsia="Times New Roman" w:hAnsiTheme="minorHAnsi" w:cstheme="minorHAnsi"/>
                <w:lang w:val="en-US" w:eastAsia="en-GB"/>
              </w:rPr>
              <w:t>Somatic factor</w:t>
            </w:r>
          </w:p>
          <w:p w14:paraId="4ADAE7E6" w14:textId="77777777" w:rsidR="00DA5E34" w:rsidRPr="00AE20B2" w:rsidRDefault="00DA5E34" w:rsidP="006D54DB">
            <w:pPr>
              <w:spacing w:line="276" w:lineRule="auto"/>
              <w:jc w:val="center"/>
              <w:rPr>
                <w:rFonts w:asciiTheme="minorHAnsi" w:eastAsia="Times New Roman" w:hAnsiTheme="minorHAnsi" w:cstheme="minorHAnsi"/>
                <w:lang w:val="en-US" w:eastAsia="en-GB"/>
              </w:rPr>
            </w:pPr>
            <w:r w:rsidRPr="00AE20B2">
              <w:rPr>
                <w:rFonts w:asciiTheme="minorHAnsi" w:eastAsia="Times New Roman" w:hAnsiTheme="minorHAnsi" w:cstheme="minorHAnsi"/>
                <w:lang w:eastAsia="en-GB"/>
              </w:rPr>
              <w:t>β</w:t>
            </w:r>
            <w:r w:rsidRPr="00AE20B2">
              <w:rPr>
                <w:rFonts w:asciiTheme="minorHAnsi" w:eastAsia="Times New Roman" w:hAnsiTheme="minorHAnsi" w:cstheme="minorHAnsi"/>
                <w:lang w:val="en-US" w:eastAsia="en-GB"/>
              </w:rPr>
              <w:t xml:space="preserve"> (SE), </w:t>
            </w:r>
          </w:p>
          <w:p w14:paraId="4AFF3A98" w14:textId="77777777" w:rsidR="00DA5E34" w:rsidRPr="00AE20B2" w:rsidRDefault="00DA5E34" w:rsidP="006D54DB">
            <w:pPr>
              <w:spacing w:line="276" w:lineRule="auto"/>
              <w:jc w:val="center"/>
              <w:rPr>
                <w:rFonts w:asciiTheme="minorHAnsi" w:eastAsia="Times New Roman" w:hAnsiTheme="minorHAnsi" w:cstheme="minorHAnsi"/>
                <w:lang w:val="en-US" w:eastAsia="en-GB"/>
              </w:rPr>
            </w:pPr>
            <w:r w:rsidRPr="00AE20B2">
              <w:rPr>
                <w:rFonts w:asciiTheme="minorHAnsi" w:eastAsia="Times New Roman" w:hAnsiTheme="minorHAnsi" w:cstheme="minorHAnsi"/>
                <w:lang w:val="en-US" w:eastAsia="en-GB"/>
              </w:rPr>
              <w:t>p-value</w:t>
            </w:r>
          </w:p>
        </w:tc>
        <w:tc>
          <w:tcPr>
            <w:tcW w:w="1941" w:type="dxa"/>
            <w:tcBorders>
              <w:top w:val="single" w:sz="4" w:space="0" w:color="auto"/>
              <w:left w:val="single" w:sz="4" w:space="0" w:color="auto"/>
              <w:bottom w:val="single" w:sz="4" w:space="0" w:color="auto"/>
              <w:right w:val="single" w:sz="4" w:space="0" w:color="auto"/>
            </w:tcBorders>
            <w:vAlign w:val="center"/>
          </w:tcPr>
          <w:p w14:paraId="3C77C378" w14:textId="77777777" w:rsidR="00DA5E34" w:rsidRPr="00AE20B2" w:rsidRDefault="00DA5E34" w:rsidP="006D54DB">
            <w:pPr>
              <w:spacing w:line="276" w:lineRule="auto"/>
              <w:jc w:val="center"/>
              <w:rPr>
                <w:rFonts w:asciiTheme="minorHAnsi" w:eastAsia="Times New Roman" w:hAnsiTheme="minorHAnsi" w:cstheme="minorHAnsi"/>
                <w:lang w:val="en-US" w:eastAsia="en-GB"/>
              </w:rPr>
            </w:pPr>
            <w:r w:rsidRPr="00AE20B2">
              <w:rPr>
                <w:rFonts w:asciiTheme="minorHAnsi" w:eastAsia="Times New Roman" w:hAnsiTheme="minorHAnsi" w:cstheme="minorHAnsi"/>
                <w:lang w:val="en-US" w:eastAsia="en-GB"/>
              </w:rPr>
              <w:t>Cognitive factor</w:t>
            </w:r>
          </w:p>
          <w:p w14:paraId="59929BCC" w14:textId="77777777" w:rsidR="00DA5E34" w:rsidRPr="00AE20B2" w:rsidRDefault="00DA5E34" w:rsidP="006D54DB">
            <w:pPr>
              <w:spacing w:line="276" w:lineRule="auto"/>
              <w:jc w:val="center"/>
              <w:rPr>
                <w:rFonts w:asciiTheme="minorHAnsi" w:eastAsia="Times New Roman" w:hAnsiTheme="minorHAnsi" w:cstheme="minorHAnsi"/>
                <w:lang w:val="en-US" w:eastAsia="en-GB"/>
              </w:rPr>
            </w:pPr>
            <w:r w:rsidRPr="00AE20B2">
              <w:rPr>
                <w:rFonts w:asciiTheme="minorHAnsi" w:eastAsia="Times New Roman" w:hAnsiTheme="minorHAnsi" w:cstheme="minorHAnsi"/>
                <w:lang w:eastAsia="en-GB"/>
              </w:rPr>
              <w:t>β</w:t>
            </w:r>
            <w:r w:rsidRPr="00AE20B2">
              <w:rPr>
                <w:rFonts w:asciiTheme="minorHAnsi" w:eastAsia="Times New Roman" w:hAnsiTheme="minorHAnsi" w:cstheme="minorHAnsi"/>
                <w:lang w:val="en-US" w:eastAsia="en-GB"/>
              </w:rPr>
              <w:t xml:space="preserve"> (SE), </w:t>
            </w:r>
          </w:p>
          <w:p w14:paraId="686FCCB4" w14:textId="77777777" w:rsidR="00DA5E34" w:rsidRPr="00AE20B2" w:rsidRDefault="00DA5E34" w:rsidP="006D54DB">
            <w:pPr>
              <w:spacing w:line="276" w:lineRule="auto"/>
              <w:jc w:val="center"/>
              <w:rPr>
                <w:rFonts w:asciiTheme="minorHAnsi" w:eastAsia="Times New Roman" w:hAnsiTheme="minorHAnsi" w:cstheme="minorHAnsi"/>
                <w:lang w:val="en-US" w:eastAsia="en-GB"/>
              </w:rPr>
            </w:pPr>
            <w:r w:rsidRPr="00AE20B2">
              <w:rPr>
                <w:rFonts w:asciiTheme="minorHAnsi" w:eastAsia="Times New Roman" w:hAnsiTheme="minorHAnsi" w:cstheme="minorHAnsi"/>
                <w:lang w:val="en-US" w:eastAsia="en-GB"/>
              </w:rPr>
              <w:t>p-value</w:t>
            </w:r>
          </w:p>
        </w:tc>
      </w:tr>
      <w:tr w:rsidR="00DA5E34" w:rsidRPr="00940744" w14:paraId="2EE739AA" w14:textId="77777777" w:rsidTr="006D54DB">
        <w:trPr>
          <w:trHeight w:val="288"/>
          <w:jc w:val="center"/>
        </w:trPr>
        <w:tc>
          <w:tcPr>
            <w:tcW w:w="1835" w:type="dxa"/>
            <w:vMerge w:val="restart"/>
            <w:tcBorders>
              <w:top w:val="single" w:sz="4" w:space="0" w:color="auto"/>
              <w:left w:val="single" w:sz="4" w:space="0" w:color="auto"/>
              <w:right w:val="single" w:sz="4" w:space="0" w:color="auto"/>
            </w:tcBorders>
            <w:noWrap/>
            <w:vAlign w:val="center"/>
            <w:hideMark/>
          </w:tcPr>
          <w:p w14:paraId="2410C4C2" w14:textId="77777777" w:rsidR="00DA5E34" w:rsidRPr="00D45F4F" w:rsidRDefault="00DA5E34" w:rsidP="006D54DB">
            <w:pPr>
              <w:spacing w:line="276" w:lineRule="auto"/>
              <w:jc w:val="center"/>
              <w:rPr>
                <w:rFonts w:asciiTheme="minorHAnsi" w:eastAsia="Times New Roman" w:hAnsiTheme="minorHAnsi" w:cstheme="minorHAnsi"/>
                <w:lang w:eastAsia="en-GB"/>
              </w:rPr>
            </w:pPr>
            <w:r w:rsidRPr="00D45F4F">
              <w:rPr>
                <w:rFonts w:asciiTheme="minorHAnsi" w:eastAsia="Times New Roman" w:hAnsiTheme="minorHAnsi" w:cstheme="minorHAnsi"/>
                <w:lang w:eastAsia="en-GB"/>
              </w:rPr>
              <w:t>CVD</w:t>
            </w:r>
          </w:p>
          <w:p w14:paraId="3258FA67" w14:textId="77777777" w:rsidR="00DA5E34" w:rsidRPr="00D45F4F" w:rsidRDefault="00DA5E34" w:rsidP="006D54DB">
            <w:pPr>
              <w:spacing w:line="276" w:lineRule="auto"/>
              <w:jc w:val="center"/>
              <w:rPr>
                <w:rFonts w:asciiTheme="minorHAnsi" w:eastAsia="Times New Roman" w:hAnsiTheme="minorHAnsi" w:cstheme="minorHAnsi"/>
                <w:lang w:eastAsia="en-GB"/>
              </w:rPr>
            </w:pPr>
            <w:r w:rsidRPr="00D45F4F">
              <w:rPr>
                <w:rFonts w:asciiTheme="minorHAnsi" w:eastAsia="Times New Roman" w:hAnsiTheme="minorHAnsi" w:cstheme="minorHAnsi"/>
                <w:lang w:eastAsia="en-GB"/>
              </w:rPr>
              <w:t>(604)</w:t>
            </w:r>
          </w:p>
        </w:tc>
        <w:tc>
          <w:tcPr>
            <w:tcW w:w="7355" w:type="dxa"/>
            <w:tcBorders>
              <w:top w:val="single" w:sz="4" w:space="0" w:color="auto"/>
              <w:left w:val="single" w:sz="4" w:space="0" w:color="auto"/>
              <w:bottom w:val="single" w:sz="4" w:space="0" w:color="auto"/>
              <w:right w:val="single" w:sz="4" w:space="0" w:color="auto"/>
            </w:tcBorders>
            <w:vAlign w:val="center"/>
          </w:tcPr>
          <w:p w14:paraId="1A8B168A" w14:textId="77777777" w:rsidR="00DA5E34" w:rsidRPr="00D45F4F" w:rsidRDefault="00DA5E34" w:rsidP="006D54DB">
            <w:pPr>
              <w:spacing w:line="276" w:lineRule="auto"/>
              <w:jc w:val="center"/>
              <w:rPr>
                <w:rFonts w:asciiTheme="minorHAnsi" w:eastAsia="Times New Roman" w:hAnsiTheme="minorHAnsi" w:cstheme="minorHAnsi"/>
                <w:lang w:eastAsia="en-GB"/>
              </w:rPr>
            </w:pPr>
            <w:r w:rsidRPr="00D45F4F">
              <w:rPr>
                <w:rFonts w:asciiTheme="minorHAnsi" w:eastAsia="Times New Roman" w:hAnsiTheme="minorHAnsi" w:cstheme="minorHAnsi"/>
                <w:lang w:eastAsia="en-GB"/>
              </w:rPr>
              <w:t>Age + sex</w:t>
            </w:r>
          </w:p>
        </w:tc>
        <w:tc>
          <w:tcPr>
            <w:tcW w:w="3071" w:type="dxa"/>
            <w:tcBorders>
              <w:top w:val="single" w:sz="4" w:space="0" w:color="auto"/>
              <w:left w:val="single" w:sz="4" w:space="0" w:color="auto"/>
              <w:bottom w:val="single" w:sz="4" w:space="0" w:color="auto"/>
              <w:right w:val="single" w:sz="4" w:space="0" w:color="auto"/>
            </w:tcBorders>
            <w:vAlign w:val="center"/>
          </w:tcPr>
          <w:p w14:paraId="64EC6CCB" w14:textId="77777777" w:rsidR="00DA5E34" w:rsidRPr="0062241C" w:rsidRDefault="00DA5E34" w:rsidP="006D54DB">
            <w:pPr>
              <w:spacing w:line="276" w:lineRule="auto"/>
              <w:jc w:val="center"/>
              <w:rPr>
                <w:rFonts w:asciiTheme="minorHAnsi" w:eastAsia="Times New Roman" w:hAnsiTheme="minorHAnsi" w:cstheme="minorHAnsi"/>
                <w:lang w:eastAsia="en-GB"/>
              </w:rPr>
            </w:pPr>
            <w:r w:rsidRPr="0062241C">
              <w:rPr>
                <w:rFonts w:asciiTheme="minorHAnsi" w:eastAsia="Times New Roman" w:hAnsiTheme="minorHAnsi" w:cstheme="minorHAnsi"/>
                <w:lang w:eastAsia="en-GB"/>
              </w:rPr>
              <w:t xml:space="preserve">0.016 (0.028) </w:t>
            </w:r>
          </w:p>
          <w:p w14:paraId="5D169E95" w14:textId="77777777" w:rsidR="00DA5E34" w:rsidRPr="0062241C" w:rsidRDefault="00DA5E34" w:rsidP="006D54DB">
            <w:pPr>
              <w:spacing w:line="276" w:lineRule="auto"/>
              <w:jc w:val="center"/>
              <w:rPr>
                <w:rFonts w:asciiTheme="minorHAnsi" w:eastAsia="Times New Roman" w:hAnsiTheme="minorHAnsi" w:cstheme="minorHAnsi"/>
                <w:lang w:eastAsia="en-GB"/>
              </w:rPr>
            </w:pPr>
            <w:r w:rsidRPr="0062241C">
              <w:rPr>
                <w:rFonts w:asciiTheme="minorHAnsi" w:eastAsia="Times New Roman" w:hAnsiTheme="minorHAnsi" w:cstheme="minorHAnsi"/>
                <w:lang w:eastAsia="en-GB"/>
              </w:rPr>
              <w:t>0.58</w:t>
            </w:r>
          </w:p>
        </w:tc>
        <w:tc>
          <w:tcPr>
            <w:tcW w:w="1685" w:type="dxa"/>
            <w:tcBorders>
              <w:top w:val="single" w:sz="4" w:space="0" w:color="auto"/>
              <w:left w:val="single" w:sz="4" w:space="0" w:color="auto"/>
              <w:bottom w:val="single" w:sz="4" w:space="0" w:color="auto"/>
              <w:right w:val="single" w:sz="4" w:space="0" w:color="auto"/>
            </w:tcBorders>
            <w:vAlign w:val="center"/>
          </w:tcPr>
          <w:p w14:paraId="47CE971D" w14:textId="77777777" w:rsidR="00DA5E34" w:rsidRPr="0062241C" w:rsidRDefault="00DA5E34" w:rsidP="006D54DB">
            <w:pPr>
              <w:spacing w:line="276" w:lineRule="auto"/>
              <w:jc w:val="center"/>
              <w:rPr>
                <w:rFonts w:asciiTheme="minorHAnsi" w:eastAsia="Times New Roman" w:hAnsiTheme="minorHAnsi" w:cstheme="minorHAnsi"/>
                <w:lang w:eastAsia="en-GB"/>
              </w:rPr>
            </w:pPr>
            <w:r w:rsidRPr="0062241C">
              <w:rPr>
                <w:rFonts w:asciiTheme="minorHAnsi" w:eastAsia="Times New Roman" w:hAnsiTheme="minorHAnsi" w:cstheme="minorHAnsi"/>
                <w:lang w:eastAsia="en-GB"/>
              </w:rPr>
              <w:t xml:space="preserve">0.010 (0.021), </w:t>
            </w:r>
          </w:p>
          <w:p w14:paraId="5B881D55" w14:textId="77777777" w:rsidR="00DA5E34" w:rsidRPr="0062241C" w:rsidRDefault="00DA5E34" w:rsidP="006D54DB">
            <w:pPr>
              <w:spacing w:line="276" w:lineRule="auto"/>
              <w:jc w:val="center"/>
              <w:rPr>
                <w:rFonts w:asciiTheme="minorHAnsi" w:eastAsia="Times New Roman" w:hAnsiTheme="minorHAnsi" w:cstheme="minorHAnsi"/>
                <w:lang w:eastAsia="en-GB"/>
              </w:rPr>
            </w:pPr>
            <w:r w:rsidRPr="0062241C">
              <w:rPr>
                <w:rFonts w:asciiTheme="minorHAnsi" w:eastAsia="Times New Roman" w:hAnsiTheme="minorHAnsi" w:cstheme="minorHAnsi"/>
                <w:lang w:eastAsia="en-GB"/>
              </w:rPr>
              <w:t>0.64</w:t>
            </w:r>
          </w:p>
        </w:tc>
        <w:tc>
          <w:tcPr>
            <w:tcW w:w="1941" w:type="dxa"/>
            <w:tcBorders>
              <w:top w:val="single" w:sz="4" w:space="0" w:color="auto"/>
              <w:left w:val="single" w:sz="4" w:space="0" w:color="auto"/>
              <w:bottom w:val="single" w:sz="4" w:space="0" w:color="auto"/>
              <w:right w:val="single" w:sz="4" w:space="0" w:color="auto"/>
            </w:tcBorders>
            <w:vAlign w:val="center"/>
          </w:tcPr>
          <w:p w14:paraId="0FDA3201" w14:textId="77777777" w:rsidR="00DA5E34" w:rsidRPr="0062241C" w:rsidRDefault="00DA5E34" w:rsidP="006D54DB">
            <w:pPr>
              <w:spacing w:line="276" w:lineRule="auto"/>
              <w:jc w:val="center"/>
              <w:rPr>
                <w:rFonts w:asciiTheme="minorHAnsi" w:eastAsia="Times New Roman" w:hAnsiTheme="minorHAnsi" w:cstheme="minorHAnsi"/>
                <w:lang w:eastAsia="en-GB"/>
              </w:rPr>
            </w:pPr>
            <w:r w:rsidRPr="0062241C">
              <w:rPr>
                <w:rFonts w:asciiTheme="minorHAnsi" w:eastAsia="Times New Roman" w:hAnsiTheme="minorHAnsi" w:cstheme="minorHAnsi"/>
                <w:lang w:eastAsia="en-GB"/>
              </w:rPr>
              <w:t xml:space="preserve">0.004 (0.020), </w:t>
            </w:r>
          </w:p>
          <w:p w14:paraId="40BD07F6" w14:textId="77777777" w:rsidR="00DA5E34" w:rsidRPr="0062241C" w:rsidRDefault="00DA5E34" w:rsidP="006D54DB">
            <w:pPr>
              <w:spacing w:line="276" w:lineRule="auto"/>
              <w:jc w:val="center"/>
              <w:rPr>
                <w:rFonts w:asciiTheme="minorHAnsi" w:eastAsia="Times New Roman" w:hAnsiTheme="minorHAnsi" w:cstheme="minorHAnsi"/>
                <w:lang w:eastAsia="en-GB"/>
              </w:rPr>
            </w:pPr>
            <w:r w:rsidRPr="0062241C">
              <w:rPr>
                <w:rFonts w:asciiTheme="minorHAnsi" w:eastAsia="Times New Roman" w:hAnsiTheme="minorHAnsi" w:cstheme="minorHAnsi"/>
                <w:lang w:eastAsia="en-GB"/>
              </w:rPr>
              <w:t>0.82</w:t>
            </w:r>
          </w:p>
        </w:tc>
      </w:tr>
      <w:tr w:rsidR="00DA5E34" w:rsidRPr="00940744" w14:paraId="291DC081" w14:textId="77777777" w:rsidTr="006D54DB">
        <w:trPr>
          <w:trHeight w:val="288"/>
          <w:jc w:val="center"/>
        </w:trPr>
        <w:tc>
          <w:tcPr>
            <w:tcW w:w="1835" w:type="dxa"/>
            <w:vMerge/>
            <w:tcBorders>
              <w:left w:val="single" w:sz="4" w:space="0" w:color="auto"/>
              <w:bottom w:val="single" w:sz="4" w:space="0" w:color="auto"/>
              <w:right w:val="single" w:sz="4" w:space="0" w:color="auto"/>
            </w:tcBorders>
            <w:noWrap/>
            <w:vAlign w:val="center"/>
            <w:hideMark/>
          </w:tcPr>
          <w:p w14:paraId="779C0BAA" w14:textId="77777777" w:rsidR="00DA5E34" w:rsidRPr="00D45F4F" w:rsidRDefault="00DA5E34" w:rsidP="006D54DB">
            <w:pPr>
              <w:spacing w:line="276" w:lineRule="auto"/>
              <w:jc w:val="center"/>
              <w:rPr>
                <w:rFonts w:asciiTheme="minorHAnsi" w:eastAsia="Times New Roman" w:hAnsiTheme="minorHAnsi" w:cstheme="minorHAnsi"/>
                <w:lang w:eastAsia="en-GB"/>
              </w:rPr>
            </w:pPr>
          </w:p>
        </w:tc>
        <w:tc>
          <w:tcPr>
            <w:tcW w:w="7355" w:type="dxa"/>
            <w:tcBorders>
              <w:top w:val="single" w:sz="4" w:space="0" w:color="auto"/>
              <w:left w:val="single" w:sz="4" w:space="0" w:color="auto"/>
              <w:bottom w:val="single" w:sz="4" w:space="0" w:color="auto"/>
              <w:right w:val="single" w:sz="4" w:space="0" w:color="auto"/>
            </w:tcBorders>
            <w:vAlign w:val="center"/>
          </w:tcPr>
          <w:p w14:paraId="387881F4" w14:textId="77777777" w:rsidR="00DA5E34" w:rsidRPr="00D45F4F" w:rsidRDefault="00DA5E34" w:rsidP="006D54DB">
            <w:pPr>
              <w:spacing w:line="276" w:lineRule="auto"/>
              <w:jc w:val="center"/>
              <w:rPr>
                <w:rFonts w:asciiTheme="minorHAnsi" w:eastAsia="Times New Roman" w:hAnsiTheme="minorHAnsi" w:cstheme="minorHAnsi"/>
                <w:lang w:val="en-US" w:eastAsia="en-GB"/>
              </w:rPr>
            </w:pPr>
            <w:r w:rsidRPr="00D45F4F">
              <w:rPr>
                <w:rFonts w:asciiTheme="minorHAnsi" w:eastAsia="Times New Roman" w:hAnsiTheme="minorHAnsi" w:cstheme="minorHAnsi"/>
                <w:lang w:val="en-US" w:eastAsia="en-GB"/>
              </w:rPr>
              <w:t xml:space="preserve"> Age + sex + education + PA + smoking + drinking</w:t>
            </w:r>
          </w:p>
        </w:tc>
        <w:tc>
          <w:tcPr>
            <w:tcW w:w="3071" w:type="dxa"/>
            <w:tcBorders>
              <w:top w:val="single" w:sz="4" w:space="0" w:color="auto"/>
              <w:left w:val="single" w:sz="4" w:space="0" w:color="auto"/>
              <w:bottom w:val="single" w:sz="4" w:space="0" w:color="auto"/>
              <w:right w:val="single" w:sz="4" w:space="0" w:color="auto"/>
            </w:tcBorders>
            <w:vAlign w:val="center"/>
          </w:tcPr>
          <w:p w14:paraId="021E3799" w14:textId="77777777" w:rsidR="00DA5E34" w:rsidRPr="0062241C" w:rsidRDefault="00DA5E34" w:rsidP="006D54DB">
            <w:pPr>
              <w:spacing w:line="276" w:lineRule="auto"/>
              <w:jc w:val="center"/>
              <w:rPr>
                <w:rFonts w:asciiTheme="minorHAnsi" w:eastAsia="Times New Roman" w:hAnsiTheme="minorHAnsi" w:cstheme="minorHAnsi"/>
                <w:lang w:eastAsia="en-GB"/>
              </w:rPr>
            </w:pPr>
            <w:r w:rsidRPr="0062241C">
              <w:rPr>
                <w:rFonts w:asciiTheme="minorHAnsi" w:eastAsia="Times New Roman" w:hAnsiTheme="minorHAnsi" w:cstheme="minorHAnsi"/>
                <w:lang w:eastAsia="en-GB"/>
              </w:rPr>
              <w:t xml:space="preserve">0.005 (0.029), </w:t>
            </w:r>
          </w:p>
          <w:p w14:paraId="5C47A6C5" w14:textId="77777777" w:rsidR="00DA5E34" w:rsidRPr="0062241C" w:rsidRDefault="00DA5E34" w:rsidP="006D54DB">
            <w:pPr>
              <w:spacing w:line="276" w:lineRule="auto"/>
              <w:jc w:val="center"/>
              <w:rPr>
                <w:rFonts w:asciiTheme="minorHAnsi" w:eastAsia="Times New Roman" w:hAnsiTheme="minorHAnsi" w:cstheme="minorHAnsi"/>
                <w:lang w:eastAsia="en-GB"/>
              </w:rPr>
            </w:pPr>
            <w:r w:rsidRPr="0062241C">
              <w:rPr>
                <w:rFonts w:asciiTheme="minorHAnsi" w:eastAsia="Times New Roman" w:hAnsiTheme="minorHAnsi" w:cstheme="minorHAnsi"/>
                <w:lang w:eastAsia="en-GB"/>
              </w:rPr>
              <w:t>0.86</w:t>
            </w:r>
          </w:p>
        </w:tc>
        <w:tc>
          <w:tcPr>
            <w:tcW w:w="1685" w:type="dxa"/>
            <w:tcBorders>
              <w:top w:val="single" w:sz="4" w:space="0" w:color="auto"/>
              <w:left w:val="single" w:sz="4" w:space="0" w:color="auto"/>
              <w:bottom w:val="single" w:sz="4" w:space="0" w:color="auto"/>
              <w:right w:val="single" w:sz="4" w:space="0" w:color="auto"/>
            </w:tcBorders>
            <w:vAlign w:val="center"/>
          </w:tcPr>
          <w:p w14:paraId="43D5CAA1" w14:textId="77777777" w:rsidR="00DA5E34" w:rsidRPr="0062241C" w:rsidRDefault="00DA5E34" w:rsidP="006D54DB">
            <w:pPr>
              <w:spacing w:line="276" w:lineRule="auto"/>
              <w:jc w:val="center"/>
              <w:rPr>
                <w:rFonts w:asciiTheme="minorHAnsi" w:eastAsia="Times New Roman" w:hAnsiTheme="minorHAnsi" w:cstheme="minorHAnsi"/>
                <w:lang w:eastAsia="en-GB"/>
              </w:rPr>
            </w:pPr>
            <w:r w:rsidRPr="0062241C">
              <w:rPr>
                <w:rFonts w:asciiTheme="minorHAnsi" w:eastAsia="Times New Roman" w:hAnsiTheme="minorHAnsi" w:cstheme="minorHAnsi"/>
                <w:lang w:eastAsia="en-GB"/>
              </w:rPr>
              <w:t xml:space="preserve">0.004 (0.021), </w:t>
            </w:r>
          </w:p>
          <w:p w14:paraId="7BCB6504" w14:textId="77777777" w:rsidR="00DA5E34" w:rsidRPr="0062241C" w:rsidRDefault="00DA5E34" w:rsidP="006D54DB">
            <w:pPr>
              <w:spacing w:line="276" w:lineRule="auto"/>
              <w:jc w:val="center"/>
              <w:rPr>
                <w:rFonts w:asciiTheme="minorHAnsi" w:eastAsia="Times New Roman" w:hAnsiTheme="minorHAnsi" w:cstheme="minorHAnsi"/>
                <w:lang w:eastAsia="en-GB"/>
              </w:rPr>
            </w:pPr>
            <w:r w:rsidRPr="0062241C">
              <w:rPr>
                <w:rFonts w:asciiTheme="minorHAnsi" w:eastAsia="Times New Roman" w:hAnsiTheme="minorHAnsi" w:cstheme="minorHAnsi"/>
                <w:lang w:eastAsia="en-GB"/>
              </w:rPr>
              <w:t>0.87</w:t>
            </w:r>
          </w:p>
        </w:tc>
        <w:tc>
          <w:tcPr>
            <w:tcW w:w="1941" w:type="dxa"/>
            <w:tcBorders>
              <w:top w:val="single" w:sz="4" w:space="0" w:color="auto"/>
              <w:left w:val="single" w:sz="4" w:space="0" w:color="auto"/>
              <w:bottom w:val="single" w:sz="4" w:space="0" w:color="auto"/>
              <w:right w:val="single" w:sz="4" w:space="0" w:color="auto"/>
            </w:tcBorders>
            <w:vAlign w:val="center"/>
          </w:tcPr>
          <w:p w14:paraId="44EF4530" w14:textId="77777777" w:rsidR="00DA5E34" w:rsidRPr="0062241C" w:rsidRDefault="00DA5E34" w:rsidP="006D54DB">
            <w:pPr>
              <w:spacing w:line="276" w:lineRule="auto"/>
              <w:jc w:val="center"/>
              <w:rPr>
                <w:rFonts w:asciiTheme="minorHAnsi" w:eastAsia="Times New Roman" w:hAnsiTheme="minorHAnsi" w:cstheme="minorHAnsi"/>
                <w:lang w:eastAsia="en-GB"/>
              </w:rPr>
            </w:pPr>
            <w:r w:rsidRPr="0062241C">
              <w:rPr>
                <w:rFonts w:asciiTheme="minorHAnsi" w:eastAsia="Times New Roman" w:hAnsiTheme="minorHAnsi" w:cstheme="minorHAnsi"/>
                <w:lang w:eastAsia="en-GB"/>
              </w:rPr>
              <w:t xml:space="preserve">0.003 (0.021), </w:t>
            </w:r>
          </w:p>
          <w:p w14:paraId="2A3E0A4C" w14:textId="77777777" w:rsidR="00DA5E34" w:rsidRPr="0062241C" w:rsidRDefault="00DA5E34" w:rsidP="006D54DB">
            <w:pPr>
              <w:spacing w:line="276" w:lineRule="auto"/>
              <w:jc w:val="center"/>
              <w:rPr>
                <w:rFonts w:asciiTheme="minorHAnsi" w:eastAsia="Times New Roman" w:hAnsiTheme="minorHAnsi" w:cstheme="minorHAnsi"/>
                <w:lang w:eastAsia="en-GB"/>
              </w:rPr>
            </w:pPr>
            <w:r w:rsidRPr="0062241C">
              <w:rPr>
                <w:rFonts w:asciiTheme="minorHAnsi" w:eastAsia="Times New Roman" w:hAnsiTheme="minorHAnsi" w:cstheme="minorHAnsi"/>
                <w:lang w:eastAsia="en-GB"/>
              </w:rPr>
              <w:t>0.87</w:t>
            </w:r>
          </w:p>
        </w:tc>
      </w:tr>
      <w:tr w:rsidR="00DA5E34" w:rsidRPr="00940744" w14:paraId="3F1339B5" w14:textId="77777777" w:rsidTr="006D54DB">
        <w:trPr>
          <w:trHeight w:val="288"/>
          <w:jc w:val="center"/>
        </w:trPr>
        <w:tc>
          <w:tcPr>
            <w:tcW w:w="1835" w:type="dxa"/>
            <w:vMerge w:val="restart"/>
            <w:tcBorders>
              <w:top w:val="single" w:sz="4" w:space="0" w:color="auto"/>
              <w:left w:val="single" w:sz="4" w:space="0" w:color="auto"/>
              <w:right w:val="single" w:sz="4" w:space="0" w:color="auto"/>
            </w:tcBorders>
            <w:noWrap/>
            <w:vAlign w:val="center"/>
            <w:hideMark/>
          </w:tcPr>
          <w:p w14:paraId="756EE5DC" w14:textId="77777777" w:rsidR="00DA5E34" w:rsidRPr="00D45F4F" w:rsidRDefault="00DA5E34" w:rsidP="006D54DB">
            <w:pPr>
              <w:spacing w:line="276" w:lineRule="auto"/>
              <w:jc w:val="center"/>
              <w:rPr>
                <w:rFonts w:asciiTheme="minorHAnsi" w:eastAsia="Times New Roman" w:hAnsiTheme="minorHAnsi" w:cstheme="minorHAnsi"/>
                <w:lang w:eastAsia="en-GB"/>
              </w:rPr>
            </w:pPr>
            <w:r w:rsidRPr="00D45F4F">
              <w:rPr>
                <w:rFonts w:asciiTheme="minorHAnsi" w:eastAsia="Times New Roman" w:hAnsiTheme="minorHAnsi" w:cstheme="minorHAnsi"/>
                <w:lang w:eastAsia="en-GB"/>
              </w:rPr>
              <w:lastRenderedPageBreak/>
              <w:t>Cancer</w:t>
            </w:r>
          </w:p>
          <w:p w14:paraId="3A751053" w14:textId="77777777" w:rsidR="00DA5E34" w:rsidRPr="00D45F4F" w:rsidRDefault="00DA5E34" w:rsidP="006D54DB">
            <w:pPr>
              <w:spacing w:line="276" w:lineRule="auto"/>
              <w:jc w:val="center"/>
              <w:rPr>
                <w:rFonts w:asciiTheme="minorHAnsi" w:eastAsia="Times New Roman" w:hAnsiTheme="minorHAnsi" w:cstheme="minorHAnsi"/>
                <w:lang w:eastAsia="en-GB"/>
              </w:rPr>
            </w:pPr>
            <w:r w:rsidRPr="00D45F4F">
              <w:rPr>
                <w:rFonts w:asciiTheme="minorHAnsi" w:eastAsia="Times New Roman" w:hAnsiTheme="minorHAnsi" w:cstheme="minorHAnsi"/>
                <w:lang w:eastAsia="en-GB"/>
              </w:rPr>
              <w:t>(391)</w:t>
            </w:r>
          </w:p>
        </w:tc>
        <w:tc>
          <w:tcPr>
            <w:tcW w:w="7355" w:type="dxa"/>
            <w:tcBorders>
              <w:top w:val="single" w:sz="4" w:space="0" w:color="auto"/>
              <w:left w:val="single" w:sz="4" w:space="0" w:color="auto"/>
              <w:bottom w:val="single" w:sz="4" w:space="0" w:color="auto"/>
              <w:right w:val="single" w:sz="4" w:space="0" w:color="auto"/>
            </w:tcBorders>
            <w:vAlign w:val="center"/>
          </w:tcPr>
          <w:p w14:paraId="38000D1B" w14:textId="77777777" w:rsidR="00DA5E34" w:rsidRPr="00D45F4F" w:rsidRDefault="00DA5E34" w:rsidP="006D54DB">
            <w:pPr>
              <w:spacing w:line="276" w:lineRule="auto"/>
              <w:jc w:val="center"/>
              <w:rPr>
                <w:rFonts w:asciiTheme="minorHAnsi" w:eastAsia="Times New Roman" w:hAnsiTheme="minorHAnsi" w:cstheme="minorHAnsi"/>
                <w:lang w:eastAsia="en-GB"/>
              </w:rPr>
            </w:pPr>
            <w:r w:rsidRPr="00D45F4F">
              <w:rPr>
                <w:rFonts w:asciiTheme="minorHAnsi" w:eastAsia="Times New Roman" w:hAnsiTheme="minorHAnsi" w:cstheme="minorHAnsi"/>
                <w:lang w:eastAsia="en-GB"/>
              </w:rPr>
              <w:t>Age + sex</w:t>
            </w:r>
          </w:p>
        </w:tc>
        <w:tc>
          <w:tcPr>
            <w:tcW w:w="3071" w:type="dxa"/>
            <w:tcBorders>
              <w:top w:val="single" w:sz="4" w:space="0" w:color="auto"/>
              <w:left w:val="single" w:sz="4" w:space="0" w:color="auto"/>
              <w:bottom w:val="single" w:sz="4" w:space="0" w:color="auto"/>
              <w:right w:val="single" w:sz="4" w:space="0" w:color="auto"/>
            </w:tcBorders>
            <w:vAlign w:val="center"/>
          </w:tcPr>
          <w:p w14:paraId="75038D30" w14:textId="77777777" w:rsidR="00DA5E34"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0.094 (0.033)</w:t>
            </w:r>
          </w:p>
          <w:p w14:paraId="244C561D" w14:textId="77777777" w:rsidR="00DA5E34" w:rsidRPr="00247D87"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0.005</w:t>
            </w:r>
          </w:p>
        </w:tc>
        <w:tc>
          <w:tcPr>
            <w:tcW w:w="1685" w:type="dxa"/>
            <w:tcBorders>
              <w:top w:val="single" w:sz="4" w:space="0" w:color="auto"/>
              <w:left w:val="single" w:sz="4" w:space="0" w:color="auto"/>
              <w:bottom w:val="single" w:sz="4" w:space="0" w:color="auto"/>
              <w:right w:val="single" w:sz="4" w:space="0" w:color="auto"/>
            </w:tcBorders>
            <w:vAlign w:val="center"/>
          </w:tcPr>
          <w:p w14:paraId="1F904AC3" w14:textId="77777777" w:rsidR="00DA5E34"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0.054 (0.025)</w:t>
            </w:r>
          </w:p>
          <w:p w14:paraId="7D90E577" w14:textId="77777777" w:rsidR="00DA5E34" w:rsidRPr="00247D87"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0.03</w:t>
            </w:r>
          </w:p>
        </w:tc>
        <w:tc>
          <w:tcPr>
            <w:tcW w:w="1941" w:type="dxa"/>
            <w:tcBorders>
              <w:top w:val="single" w:sz="4" w:space="0" w:color="auto"/>
              <w:left w:val="single" w:sz="4" w:space="0" w:color="auto"/>
              <w:bottom w:val="single" w:sz="4" w:space="0" w:color="auto"/>
              <w:right w:val="single" w:sz="4" w:space="0" w:color="auto"/>
            </w:tcBorders>
            <w:vAlign w:val="center"/>
          </w:tcPr>
          <w:p w14:paraId="3AC00323" w14:textId="77777777" w:rsidR="00DA5E34" w:rsidRPr="00600EDA" w:rsidRDefault="00DA5E34" w:rsidP="006D54DB">
            <w:pPr>
              <w:spacing w:line="276" w:lineRule="auto"/>
              <w:jc w:val="center"/>
              <w:rPr>
                <w:rFonts w:asciiTheme="minorHAnsi" w:eastAsia="Times New Roman" w:hAnsiTheme="minorHAnsi" w:cstheme="minorHAnsi"/>
                <w:lang w:eastAsia="en-GB"/>
              </w:rPr>
            </w:pPr>
            <w:r w:rsidRPr="00600EDA">
              <w:rPr>
                <w:rFonts w:asciiTheme="minorHAnsi" w:eastAsia="Times New Roman" w:hAnsiTheme="minorHAnsi" w:cstheme="minorHAnsi"/>
                <w:lang w:eastAsia="en-GB"/>
              </w:rPr>
              <w:t>-0.005 (0.023)</w:t>
            </w:r>
          </w:p>
          <w:p w14:paraId="734527C2" w14:textId="77777777" w:rsidR="00DA5E34" w:rsidRPr="00AA001B" w:rsidRDefault="00DA5E34" w:rsidP="006D54DB">
            <w:pPr>
              <w:spacing w:line="276" w:lineRule="auto"/>
              <w:jc w:val="center"/>
              <w:rPr>
                <w:rFonts w:asciiTheme="minorHAnsi" w:eastAsia="Times New Roman" w:hAnsiTheme="minorHAnsi" w:cstheme="minorHAnsi"/>
                <w:b/>
                <w:bCs/>
                <w:lang w:eastAsia="en-GB"/>
              </w:rPr>
            </w:pPr>
            <w:r w:rsidRPr="00600EDA">
              <w:rPr>
                <w:rFonts w:asciiTheme="minorHAnsi" w:eastAsia="Times New Roman" w:hAnsiTheme="minorHAnsi" w:cstheme="minorHAnsi"/>
                <w:lang w:eastAsia="en-GB"/>
              </w:rPr>
              <w:t>0.83</w:t>
            </w:r>
          </w:p>
        </w:tc>
      </w:tr>
      <w:tr w:rsidR="00DA5E34" w:rsidRPr="00940744" w14:paraId="52553909" w14:textId="77777777" w:rsidTr="006D54DB">
        <w:trPr>
          <w:trHeight w:val="288"/>
          <w:jc w:val="center"/>
        </w:trPr>
        <w:tc>
          <w:tcPr>
            <w:tcW w:w="1835" w:type="dxa"/>
            <w:vMerge/>
            <w:tcBorders>
              <w:left w:val="single" w:sz="4" w:space="0" w:color="auto"/>
              <w:right w:val="single" w:sz="4" w:space="0" w:color="auto"/>
            </w:tcBorders>
            <w:noWrap/>
            <w:vAlign w:val="center"/>
            <w:hideMark/>
          </w:tcPr>
          <w:p w14:paraId="5F99B4E3" w14:textId="77777777" w:rsidR="00DA5E34" w:rsidRPr="00D45F4F" w:rsidRDefault="00DA5E34" w:rsidP="006D54DB">
            <w:pPr>
              <w:spacing w:line="276" w:lineRule="auto"/>
              <w:jc w:val="center"/>
              <w:rPr>
                <w:rFonts w:asciiTheme="minorHAnsi" w:eastAsia="Times New Roman" w:hAnsiTheme="minorHAnsi" w:cstheme="minorHAnsi"/>
                <w:lang w:eastAsia="en-GB"/>
              </w:rPr>
            </w:pPr>
          </w:p>
        </w:tc>
        <w:tc>
          <w:tcPr>
            <w:tcW w:w="7355" w:type="dxa"/>
            <w:tcBorders>
              <w:top w:val="single" w:sz="4" w:space="0" w:color="auto"/>
              <w:left w:val="single" w:sz="4" w:space="0" w:color="auto"/>
              <w:bottom w:val="single" w:sz="4" w:space="0" w:color="auto"/>
              <w:right w:val="single" w:sz="4" w:space="0" w:color="auto"/>
            </w:tcBorders>
            <w:vAlign w:val="center"/>
          </w:tcPr>
          <w:p w14:paraId="26BD4407" w14:textId="77777777" w:rsidR="00DA5E34" w:rsidRPr="00D45F4F" w:rsidRDefault="00DA5E34" w:rsidP="006D54DB">
            <w:pPr>
              <w:spacing w:line="276" w:lineRule="auto"/>
              <w:jc w:val="center"/>
              <w:rPr>
                <w:rFonts w:asciiTheme="minorHAnsi" w:eastAsia="Times New Roman" w:hAnsiTheme="minorHAnsi" w:cstheme="minorHAnsi"/>
                <w:lang w:val="en-US" w:eastAsia="en-GB"/>
              </w:rPr>
            </w:pPr>
            <w:r w:rsidRPr="00D45F4F">
              <w:rPr>
                <w:rFonts w:asciiTheme="minorHAnsi" w:eastAsia="Times New Roman" w:hAnsiTheme="minorHAnsi" w:cstheme="minorHAnsi"/>
                <w:lang w:val="en-US" w:eastAsia="en-GB"/>
              </w:rPr>
              <w:t xml:space="preserve"> Age + sex + education + PA + smoking + drinking</w:t>
            </w:r>
          </w:p>
        </w:tc>
        <w:tc>
          <w:tcPr>
            <w:tcW w:w="3071" w:type="dxa"/>
            <w:tcBorders>
              <w:top w:val="single" w:sz="4" w:space="0" w:color="auto"/>
              <w:left w:val="single" w:sz="4" w:space="0" w:color="auto"/>
              <w:bottom w:val="single" w:sz="4" w:space="0" w:color="auto"/>
              <w:right w:val="single" w:sz="4" w:space="0" w:color="auto"/>
            </w:tcBorders>
            <w:vAlign w:val="center"/>
          </w:tcPr>
          <w:p w14:paraId="45E79909" w14:textId="77777777" w:rsidR="00DA5E34"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0.079 (0.034)</w:t>
            </w:r>
          </w:p>
          <w:p w14:paraId="60E6B599" w14:textId="77777777" w:rsidR="00DA5E34" w:rsidRPr="0062241C"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0.02</w:t>
            </w:r>
          </w:p>
        </w:tc>
        <w:tc>
          <w:tcPr>
            <w:tcW w:w="1685" w:type="dxa"/>
            <w:tcBorders>
              <w:top w:val="single" w:sz="4" w:space="0" w:color="auto"/>
              <w:left w:val="single" w:sz="4" w:space="0" w:color="auto"/>
              <w:bottom w:val="single" w:sz="4" w:space="0" w:color="auto"/>
              <w:right w:val="single" w:sz="4" w:space="0" w:color="auto"/>
            </w:tcBorders>
            <w:vAlign w:val="center"/>
          </w:tcPr>
          <w:p w14:paraId="0DD1ABCA" w14:textId="77777777" w:rsidR="00DA5E34" w:rsidRPr="0062241C" w:rsidRDefault="00DA5E34" w:rsidP="006D54DB">
            <w:pPr>
              <w:spacing w:line="276" w:lineRule="auto"/>
              <w:jc w:val="center"/>
              <w:rPr>
                <w:rFonts w:asciiTheme="minorHAnsi" w:eastAsia="Times New Roman" w:hAnsiTheme="minorHAnsi" w:cstheme="minorHAnsi"/>
                <w:lang w:eastAsia="en-GB"/>
              </w:rPr>
            </w:pPr>
            <w:r w:rsidRPr="0062241C">
              <w:rPr>
                <w:rFonts w:asciiTheme="minorHAnsi" w:eastAsia="Times New Roman" w:hAnsiTheme="minorHAnsi" w:cstheme="minorHAnsi"/>
                <w:lang w:eastAsia="en-GB"/>
              </w:rPr>
              <w:t>0.044 (0.025)</w:t>
            </w:r>
          </w:p>
          <w:p w14:paraId="3FB82BDD" w14:textId="77777777" w:rsidR="00DA5E34" w:rsidRPr="0062241C" w:rsidRDefault="00DA5E34" w:rsidP="006D54DB">
            <w:pPr>
              <w:spacing w:line="276" w:lineRule="auto"/>
              <w:jc w:val="center"/>
              <w:rPr>
                <w:rFonts w:asciiTheme="minorHAnsi" w:eastAsia="Times New Roman" w:hAnsiTheme="minorHAnsi" w:cstheme="minorHAnsi"/>
                <w:b/>
                <w:bCs/>
                <w:lang w:eastAsia="en-GB"/>
              </w:rPr>
            </w:pPr>
            <w:r w:rsidRPr="0062241C">
              <w:rPr>
                <w:rFonts w:asciiTheme="minorHAnsi" w:eastAsia="Times New Roman" w:hAnsiTheme="minorHAnsi" w:cstheme="minorHAnsi"/>
                <w:lang w:eastAsia="en-GB"/>
              </w:rPr>
              <w:t>0.08</w:t>
            </w:r>
          </w:p>
        </w:tc>
        <w:tc>
          <w:tcPr>
            <w:tcW w:w="1941" w:type="dxa"/>
            <w:tcBorders>
              <w:top w:val="single" w:sz="4" w:space="0" w:color="auto"/>
              <w:left w:val="single" w:sz="4" w:space="0" w:color="auto"/>
              <w:bottom w:val="single" w:sz="4" w:space="0" w:color="auto"/>
              <w:right w:val="single" w:sz="4" w:space="0" w:color="auto"/>
            </w:tcBorders>
            <w:vAlign w:val="center"/>
          </w:tcPr>
          <w:p w14:paraId="1777A211" w14:textId="77777777" w:rsidR="00DA5E34" w:rsidRPr="00600EDA" w:rsidRDefault="00DA5E34" w:rsidP="006D54DB">
            <w:pPr>
              <w:spacing w:line="276" w:lineRule="auto"/>
              <w:jc w:val="center"/>
              <w:rPr>
                <w:rFonts w:asciiTheme="minorHAnsi" w:eastAsia="Times New Roman" w:hAnsiTheme="minorHAnsi" w:cstheme="minorHAnsi"/>
                <w:lang w:eastAsia="en-GB"/>
              </w:rPr>
            </w:pPr>
            <w:r w:rsidRPr="00600EDA">
              <w:rPr>
                <w:rFonts w:asciiTheme="minorHAnsi" w:eastAsia="Times New Roman" w:hAnsiTheme="minorHAnsi" w:cstheme="minorHAnsi"/>
                <w:lang w:eastAsia="en-GB"/>
              </w:rPr>
              <w:t>-0.00</w:t>
            </w:r>
            <w:r>
              <w:rPr>
                <w:rFonts w:asciiTheme="minorHAnsi" w:eastAsia="Times New Roman" w:hAnsiTheme="minorHAnsi" w:cstheme="minorHAnsi"/>
                <w:lang w:eastAsia="en-GB"/>
              </w:rPr>
              <w:t>3</w:t>
            </w:r>
            <w:r w:rsidRPr="00600EDA">
              <w:rPr>
                <w:rFonts w:asciiTheme="minorHAnsi" w:eastAsia="Times New Roman" w:hAnsiTheme="minorHAnsi" w:cstheme="minorHAnsi"/>
                <w:lang w:eastAsia="en-GB"/>
              </w:rPr>
              <w:t xml:space="preserve"> (0.02</w:t>
            </w:r>
            <w:r>
              <w:rPr>
                <w:rFonts w:asciiTheme="minorHAnsi" w:eastAsia="Times New Roman" w:hAnsiTheme="minorHAnsi" w:cstheme="minorHAnsi"/>
                <w:lang w:eastAsia="en-GB"/>
              </w:rPr>
              <w:t>4</w:t>
            </w:r>
            <w:r w:rsidRPr="00600EDA">
              <w:rPr>
                <w:rFonts w:asciiTheme="minorHAnsi" w:eastAsia="Times New Roman" w:hAnsiTheme="minorHAnsi" w:cstheme="minorHAnsi"/>
                <w:lang w:eastAsia="en-GB"/>
              </w:rPr>
              <w:t>)</w:t>
            </w:r>
          </w:p>
          <w:p w14:paraId="6391256A" w14:textId="77777777" w:rsidR="00DA5E34" w:rsidRPr="00AA001B" w:rsidRDefault="00DA5E34" w:rsidP="006D54DB">
            <w:pPr>
              <w:spacing w:line="276" w:lineRule="auto"/>
              <w:jc w:val="center"/>
              <w:rPr>
                <w:rFonts w:asciiTheme="minorHAnsi" w:eastAsia="Times New Roman" w:hAnsiTheme="minorHAnsi" w:cstheme="minorHAnsi"/>
                <w:b/>
                <w:bCs/>
                <w:lang w:eastAsia="en-GB"/>
              </w:rPr>
            </w:pPr>
            <w:r w:rsidRPr="00600EDA">
              <w:rPr>
                <w:rFonts w:asciiTheme="minorHAnsi" w:eastAsia="Times New Roman" w:hAnsiTheme="minorHAnsi" w:cstheme="minorHAnsi"/>
                <w:lang w:eastAsia="en-GB"/>
              </w:rPr>
              <w:t>0.</w:t>
            </w:r>
            <w:r>
              <w:rPr>
                <w:rFonts w:asciiTheme="minorHAnsi" w:eastAsia="Times New Roman" w:hAnsiTheme="minorHAnsi" w:cstheme="minorHAnsi"/>
                <w:lang w:eastAsia="en-GB"/>
              </w:rPr>
              <w:t>90</w:t>
            </w:r>
          </w:p>
        </w:tc>
      </w:tr>
      <w:tr w:rsidR="00DA5E34" w:rsidRPr="00940744" w14:paraId="6AC09C72" w14:textId="77777777" w:rsidTr="006D54DB">
        <w:trPr>
          <w:trHeight w:val="288"/>
          <w:jc w:val="center"/>
        </w:trPr>
        <w:tc>
          <w:tcPr>
            <w:tcW w:w="1835" w:type="dxa"/>
            <w:vMerge w:val="restart"/>
            <w:tcBorders>
              <w:left w:val="single" w:sz="4" w:space="0" w:color="auto"/>
              <w:right w:val="single" w:sz="4" w:space="0" w:color="auto"/>
            </w:tcBorders>
            <w:noWrap/>
            <w:vAlign w:val="center"/>
          </w:tcPr>
          <w:p w14:paraId="2A79ECD5" w14:textId="77777777" w:rsidR="00DA5E34" w:rsidRPr="00D45F4F" w:rsidRDefault="00DA5E34" w:rsidP="006D54DB">
            <w:pPr>
              <w:spacing w:line="276" w:lineRule="auto"/>
              <w:jc w:val="center"/>
              <w:rPr>
                <w:rFonts w:asciiTheme="minorHAnsi" w:eastAsia="Times New Roman" w:hAnsiTheme="minorHAnsi" w:cstheme="minorHAnsi"/>
                <w:lang w:eastAsia="en-GB"/>
              </w:rPr>
            </w:pPr>
            <w:r w:rsidRPr="00D45F4F">
              <w:rPr>
                <w:rFonts w:asciiTheme="minorHAnsi" w:eastAsia="Times New Roman" w:hAnsiTheme="minorHAnsi" w:cstheme="minorHAnsi"/>
                <w:lang w:eastAsia="en-GB"/>
              </w:rPr>
              <w:t>Diabetes</w:t>
            </w:r>
          </w:p>
          <w:p w14:paraId="227F63B3" w14:textId="77777777" w:rsidR="00DA5E34" w:rsidRPr="00D45F4F" w:rsidRDefault="00DA5E34" w:rsidP="006D54DB">
            <w:pPr>
              <w:spacing w:line="276" w:lineRule="auto"/>
              <w:jc w:val="center"/>
              <w:rPr>
                <w:rFonts w:asciiTheme="minorHAnsi" w:eastAsia="Times New Roman" w:hAnsiTheme="minorHAnsi" w:cstheme="minorHAnsi"/>
                <w:lang w:eastAsia="en-GB"/>
              </w:rPr>
            </w:pPr>
            <w:r w:rsidRPr="00D45F4F">
              <w:rPr>
                <w:rFonts w:asciiTheme="minorHAnsi" w:eastAsia="Times New Roman" w:hAnsiTheme="minorHAnsi" w:cstheme="minorHAnsi"/>
                <w:lang w:eastAsia="en-GB"/>
              </w:rPr>
              <w:t>(515)</w:t>
            </w:r>
          </w:p>
        </w:tc>
        <w:tc>
          <w:tcPr>
            <w:tcW w:w="7355" w:type="dxa"/>
            <w:tcBorders>
              <w:top w:val="single" w:sz="4" w:space="0" w:color="auto"/>
              <w:left w:val="single" w:sz="4" w:space="0" w:color="auto"/>
              <w:bottom w:val="single" w:sz="4" w:space="0" w:color="auto"/>
              <w:right w:val="single" w:sz="4" w:space="0" w:color="auto"/>
            </w:tcBorders>
            <w:vAlign w:val="center"/>
          </w:tcPr>
          <w:p w14:paraId="0C2085F9" w14:textId="77777777" w:rsidR="00DA5E34" w:rsidRPr="00D45F4F" w:rsidRDefault="00DA5E34" w:rsidP="006D54DB">
            <w:pPr>
              <w:spacing w:line="276" w:lineRule="auto"/>
              <w:jc w:val="center"/>
              <w:rPr>
                <w:rFonts w:asciiTheme="minorHAnsi" w:eastAsia="Times New Roman" w:hAnsiTheme="minorHAnsi" w:cstheme="minorHAnsi"/>
                <w:lang w:val="en-US" w:eastAsia="en-GB"/>
              </w:rPr>
            </w:pPr>
            <w:r w:rsidRPr="00D45F4F">
              <w:rPr>
                <w:rFonts w:asciiTheme="minorHAnsi" w:eastAsia="Times New Roman" w:hAnsiTheme="minorHAnsi" w:cstheme="minorHAnsi"/>
                <w:lang w:eastAsia="en-GB"/>
              </w:rPr>
              <w:t>Age + sex</w:t>
            </w:r>
          </w:p>
        </w:tc>
        <w:tc>
          <w:tcPr>
            <w:tcW w:w="3071" w:type="dxa"/>
            <w:tcBorders>
              <w:top w:val="single" w:sz="4" w:space="0" w:color="auto"/>
              <w:left w:val="single" w:sz="4" w:space="0" w:color="auto"/>
              <w:bottom w:val="single" w:sz="4" w:space="0" w:color="auto"/>
              <w:right w:val="single" w:sz="4" w:space="0" w:color="auto"/>
            </w:tcBorders>
            <w:vAlign w:val="center"/>
          </w:tcPr>
          <w:p w14:paraId="56C060EC" w14:textId="77777777" w:rsidR="00DA5E34"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0.070 (0.030)</w:t>
            </w:r>
          </w:p>
          <w:p w14:paraId="2D5311CE" w14:textId="77777777" w:rsidR="00DA5E34" w:rsidRPr="00504A56"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0.02</w:t>
            </w:r>
          </w:p>
        </w:tc>
        <w:tc>
          <w:tcPr>
            <w:tcW w:w="1685" w:type="dxa"/>
            <w:tcBorders>
              <w:top w:val="single" w:sz="4" w:space="0" w:color="auto"/>
              <w:left w:val="single" w:sz="4" w:space="0" w:color="auto"/>
              <w:bottom w:val="single" w:sz="4" w:space="0" w:color="auto"/>
              <w:right w:val="single" w:sz="4" w:space="0" w:color="auto"/>
            </w:tcBorders>
            <w:vAlign w:val="center"/>
          </w:tcPr>
          <w:p w14:paraId="66DEDE08" w14:textId="77777777" w:rsidR="00DA5E34" w:rsidRPr="00DA47C1" w:rsidRDefault="00DA5E34" w:rsidP="006D54DB">
            <w:pPr>
              <w:spacing w:line="276" w:lineRule="auto"/>
              <w:jc w:val="center"/>
              <w:rPr>
                <w:rFonts w:asciiTheme="minorHAnsi" w:eastAsia="Times New Roman" w:hAnsiTheme="minorHAnsi" w:cstheme="minorHAnsi"/>
                <w:lang w:eastAsia="en-GB"/>
              </w:rPr>
            </w:pPr>
            <w:r w:rsidRPr="00DA47C1">
              <w:rPr>
                <w:rFonts w:asciiTheme="minorHAnsi" w:eastAsia="Times New Roman" w:hAnsiTheme="minorHAnsi" w:cstheme="minorHAnsi"/>
                <w:lang w:eastAsia="en-GB"/>
              </w:rPr>
              <w:t>0.016 (0.022)</w:t>
            </w:r>
          </w:p>
          <w:p w14:paraId="0EF8BCB7" w14:textId="77777777" w:rsidR="00DA5E34" w:rsidRPr="00DA47C1" w:rsidRDefault="00DA5E34" w:rsidP="006D54DB">
            <w:pPr>
              <w:spacing w:line="276" w:lineRule="auto"/>
              <w:jc w:val="center"/>
              <w:rPr>
                <w:rFonts w:asciiTheme="minorHAnsi" w:eastAsia="Times New Roman" w:hAnsiTheme="minorHAnsi" w:cstheme="minorHAnsi"/>
                <w:lang w:eastAsia="en-GB"/>
              </w:rPr>
            </w:pPr>
            <w:r w:rsidRPr="00DA47C1">
              <w:rPr>
                <w:rFonts w:asciiTheme="minorHAnsi" w:eastAsia="Times New Roman" w:hAnsiTheme="minorHAnsi" w:cstheme="minorHAnsi"/>
                <w:lang w:eastAsia="en-GB"/>
              </w:rPr>
              <w:t>0.45</w:t>
            </w:r>
          </w:p>
        </w:tc>
        <w:tc>
          <w:tcPr>
            <w:tcW w:w="1941" w:type="dxa"/>
            <w:tcBorders>
              <w:top w:val="single" w:sz="4" w:space="0" w:color="auto"/>
              <w:left w:val="single" w:sz="4" w:space="0" w:color="auto"/>
              <w:bottom w:val="single" w:sz="4" w:space="0" w:color="auto"/>
              <w:right w:val="single" w:sz="4" w:space="0" w:color="auto"/>
            </w:tcBorders>
            <w:vAlign w:val="center"/>
          </w:tcPr>
          <w:p w14:paraId="776C69DB" w14:textId="77777777" w:rsidR="00DA5E34" w:rsidRPr="00DA47C1" w:rsidRDefault="00DA5E34" w:rsidP="006D54DB">
            <w:pPr>
              <w:spacing w:line="276" w:lineRule="auto"/>
              <w:jc w:val="center"/>
              <w:rPr>
                <w:rFonts w:asciiTheme="minorHAnsi" w:eastAsia="Times New Roman" w:hAnsiTheme="minorHAnsi" w:cstheme="minorHAnsi"/>
                <w:lang w:eastAsia="en-GB"/>
              </w:rPr>
            </w:pPr>
            <w:r w:rsidRPr="00DA47C1">
              <w:rPr>
                <w:rFonts w:asciiTheme="minorHAnsi" w:eastAsia="Times New Roman" w:hAnsiTheme="minorHAnsi" w:cstheme="minorHAnsi"/>
                <w:lang w:eastAsia="en-GB"/>
              </w:rPr>
              <w:t>0.028 (0.024)</w:t>
            </w:r>
          </w:p>
          <w:p w14:paraId="1525EB4D" w14:textId="77777777" w:rsidR="00DA5E34" w:rsidRPr="00DA47C1" w:rsidRDefault="00DA5E34" w:rsidP="006D54DB">
            <w:pPr>
              <w:spacing w:line="276" w:lineRule="auto"/>
              <w:jc w:val="center"/>
              <w:rPr>
                <w:rFonts w:asciiTheme="minorHAnsi" w:eastAsia="Times New Roman" w:hAnsiTheme="minorHAnsi" w:cstheme="minorHAnsi"/>
                <w:lang w:eastAsia="en-GB"/>
              </w:rPr>
            </w:pPr>
            <w:r w:rsidRPr="00DA47C1">
              <w:rPr>
                <w:rFonts w:asciiTheme="minorHAnsi" w:eastAsia="Times New Roman" w:hAnsiTheme="minorHAnsi" w:cstheme="minorHAnsi"/>
                <w:lang w:eastAsia="en-GB"/>
              </w:rPr>
              <w:t>0.24</w:t>
            </w:r>
          </w:p>
        </w:tc>
      </w:tr>
      <w:tr w:rsidR="00DA5E34" w:rsidRPr="00940744" w14:paraId="5054C0FB" w14:textId="77777777" w:rsidTr="006D54DB">
        <w:trPr>
          <w:trHeight w:val="288"/>
          <w:jc w:val="center"/>
        </w:trPr>
        <w:tc>
          <w:tcPr>
            <w:tcW w:w="1835" w:type="dxa"/>
            <w:vMerge/>
            <w:tcBorders>
              <w:left w:val="single" w:sz="4" w:space="0" w:color="auto"/>
              <w:right w:val="single" w:sz="4" w:space="0" w:color="auto"/>
            </w:tcBorders>
            <w:noWrap/>
            <w:vAlign w:val="center"/>
          </w:tcPr>
          <w:p w14:paraId="7A3EB972" w14:textId="77777777" w:rsidR="00DA5E34" w:rsidRPr="00D45F4F" w:rsidRDefault="00DA5E34" w:rsidP="006D54DB">
            <w:pPr>
              <w:spacing w:line="276" w:lineRule="auto"/>
              <w:jc w:val="center"/>
              <w:rPr>
                <w:rFonts w:asciiTheme="minorHAnsi" w:eastAsia="Times New Roman" w:hAnsiTheme="minorHAnsi" w:cstheme="minorHAnsi"/>
                <w:lang w:eastAsia="en-GB"/>
              </w:rPr>
            </w:pPr>
          </w:p>
        </w:tc>
        <w:tc>
          <w:tcPr>
            <w:tcW w:w="7355" w:type="dxa"/>
            <w:tcBorders>
              <w:top w:val="single" w:sz="4" w:space="0" w:color="auto"/>
              <w:left w:val="single" w:sz="4" w:space="0" w:color="auto"/>
              <w:bottom w:val="single" w:sz="4" w:space="0" w:color="auto"/>
              <w:right w:val="single" w:sz="4" w:space="0" w:color="auto"/>
            </w:tcBorders>
            <w:vAlign w:val="center"/>
          </w:tcPr>
          <w:p w14:paraId="535D4A2A" w14:textId="77777777" w:rsidR="00DA5E34" w:rsidRPr="00D45F4F" w:rsidRDefault="00DA5E34" w:rsidP="006D54DB">
            <w:pPr>
              <w:spacing w:line="276" w:lineRule="auto"/>
              <w:jc w:val="center"/>
              <w:rPr>
                <w:rFonts w:asciiTheme="minorHAnsi" w:eastAsia="Times New Roman" w:hAnsiTheme="minorHAnsi" w:cstheme="minorHAnsi"/>
                <w:lang w:val="en-US" w:eastAsia="en-GB"/>
              </w:rPr>
            </w:pPr>
            <w:r w:rsidRPr="00D45F4F">
              <w:rPr>
                <w:rFonts w:asciiTheme="minorHAnsi" w:eastAsia="Times New Roman" w:hAnsiTheme="minorHAnsi" w:cstheme="minorHAnsi"/>
                <w:lang w:val="en-US" w:eastAsia="en-GB"/>
              </w:rPr>
              <w:t xml:space="preserve"> Age + sex + education + PA + smoking + drinking</w:t>
            </w:r>
          </w:p>
        </w:tc>
        <w:tc>
          <w:tcPr>
            <w:tcW w:w="3071" w:type="dxa"/>
            <w:tcBorders>
              <w:top w:val="single" w:sz="4" w:space="0" w:color="auto"/>
              <w:left w:val="single" w:sz="4" w:space="0" w:color="auto"/>
              <w:bottom w:val="single" w:sz="4" w:space="0" w:color="auto"/>
              <w:right w:val="single" w:sz="4" w:space="0" w:color="auto"/>
            </w:tcBorders>
            <w:vAlign w:val="center"/>
          </w:tcPr>
          <w:p w14:paraId="3CF321EC" w14:textId="77777777" w:rsidR="00DA5E34"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0.076 (0.032)</w:t>
            </w:r>
          </w:p>
          <w:p w14:paraId="56692D74" w14:textId="77777777" w:rsidR="00DA5E34" w:rsidRPr="00097221"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0.02</w:t>
            </w:r>
          </w:p>
        </w:tc>
        <w:tc>
          <w:tcPr>
            <w:tcW w:w="1685" w:type="dxa"/>
            <w:tcBorders>
              <w:top w:val="single" w:sz="4" w:space="0" w:color="auto"/>
              <w:left w:val="single" w:sz="4" w:space="0" w:color="auto"/>
              <w:bottom w:val="single" w:sz="4" w:space="0" w:color="auto"/>
              <w:right w:val="single" w:sz="4" w:space="0" w:color="auto"/>
            </w:tcBorders>
            <w:vAlign w:val="center"/>
          </w:tcPr>
          <w:p w14:paraId="1C01A95D" w14:textId="77777777" w:rsidR="00DA5E34" w:rsidRPr="00097221" w:rsidRDefault="00DA5E34" w:rsidP="006D54DB">
            <w:pPr>
              <w:spacing w:line="276" w:lineRule="auto"/>
              <w:jc w:val="center"/>
              <w:rPr>
                <w:rFonts w:asciiTheme="minorHAnsi" w:eastAsia="Times New Roman" w:hAnsiTheme="minorHAnsi" w:cstheme="minorHAnsi"/>
                <w:lang w:eastAsia="en-GB"/>
              </w:rPr>
            </w:pPr>
            <w:r w:rsidRPr="00097221">
              <w:rPr>
                <w:rFonts w:asciiTheme="minorHAnsi" w:eastAsia="Times New Roman" w:hAnsiTheme="minorHAnsi" w:cstheme="minorHAnsi"/>
                <w:lang w:eastAsia="en-GB"/>
              </w:rPr>
              <w:t>0.009 (0.023)</w:t>
            </w:r>
          </w:p>
          <w:p w14:paraId="06CB0FAF" w14:textId="77777777" w:rsidR="00DA5E34" w:rsidRPr="00097221" w:rsidRDefault="00DA5E34" w:rsidP="006D54DB">
            <w:pPr>
              <w:spacing w:line="276" w:lineRule="auto"/>
              <w:jc w:val="center"/>
              <w:rPr>
                <w:rFonts w:asciiTheme="minorHAnsi" w:eastAsia="Times New Roman" w:hAnsiTheme="minorHAnsi" w:cstheme="minorHAnsi"/>
                <w:lang w:eastAsia="en-GB"/>
              </w:rPr>
            </w:pPr>
            <w:r w:rsidRPr="00097221">
              <w:rPr>
                <w:rFonts w:asciiTheme="minorHAnsi" w:eastAsia="Times New Roman" w:hAnsiTheme="minorHAnsi" w:cstheme="minorHAnsi"/>
                <w:lang w:eastAsia="en-GB"/>
              </w:rPr>
              <w:t>0.71</w:t>
            </w:r>
          </w:p>
        </w:tc>
        <w:tc>
          <w:tcPr>
            <w:tcW w:w="1941" w:type="dxa"/>
            <w:tcBorders>
              <w:top w:val="single" w:sz="4" w:space="0" w:color="auto"/>
              <w:left w:val="single" w:sz="4" w:space="0" w:color="auto"/>
              <w:bottom w:val="single" w:sz="4" w:space="0" w:color="auto"/>
              <w:right w:val="single" w:sz="4" w:space="0" w:color="auto"/>
            </w:tcBorders>
            <w:vAlign w:val="center"/>
          </w:tcPr>
          <w:p w14:paraId="37255736" w14:textId="77777777" w:rsidR="00DA5E34" w:rsidRPr="00097221" w:rsidRDefault="00DA5E34" w:rsidP="006D54DB">
            <w:pPr>
              <w:spacing w:line="276" w:lineRule="auto"/>
              <w:jc w:val="center"/>
              <w:rPr>
                <w:rFonts w:asciiTheme="minorHAnsi" w:eastAsia="Times New Roman" w:hAnsiTheme="minorHAnsi" w:cstheme="minorHAnsi"/>
                <w:lang w:eastAsia="en-GB"/>
              </w:rPr>
            </w:pPr>
            <w:r w:rsidRPr="00097221">
              <w:rPr>
                <w:rFonts w:asciiTheme="minorHAnsi" w:eastAsia="Times New Roman" w:hAnsiTheme="minorHAnsi" w:cstheme="minorHAnsi"/>
                <w:lang w:eastAsia="en-GB"/>
              </w:rPr>
              <w:t>0.041 (0.025)</w:t>
            </w:r>
          </w:p>
          <w:p w14:paraId="2E8F73A8" w14:textId="77777777" w:rsidR="00DA5E34" w:rsidRPr="00097221" w:rsidRDefault="00DA5E34" w:rsidP="006D54DB">
            <w:pPr>
              <w:spacing w:line="276" w:lineRule="auto"/>
              <w:jc w:val="center"/>
              <w:rPr>
                <w:rFonts w:asciiTheme="minorHAnsi" w:eastAsia="Times New Roman" w:hAnsiTheme="minorHAnsi" w:cstheme="minorHAnsi"/>
                <w:lang w:eastAsia="en-GB"/>
              </w:rPr>
            </w:pPr>
            <w:r w:rsidRPr="00097221">
              <w:rPr>
                <w:rFonts w:asciiTheme="minorHAnsi" w:eastAsia="Times New Roman" w:hAnsiTheme="minorHAnsi" w:cstheme="minorHAnsi"/>
                <w:lang w:eastAsia="en-GB"/>
              </w:rPr>
              <w:t>0.10</w:t>
            </w:r>
          </w:p>
        </w:tc>
      </w:tr>
      <w:tr w:rsidR="00DA5E34" w:rsidRPr="00940744" w14:paraId="2E4C9A30" w14:textId="77777777" w:rsidTr="006D54DB">
        <w:trPr>
          <w:trHeight w:val="288"/>
          <w:jc w:val="center"/>
        </w:trPr>
        <w:tc>
          <w:tcPr>
            <w:tcW w:w="1835" w:type="dxa"/>
            <w:vMerge w:val="restart"/>
            <w:tcBorders>
              <w:left w:val="single" w:sz="4" w:space="0" w:color="auto"/>
              <w:right w:val="single" w:sz="4" w:space="0" w:color="auto"/>
            </w:tcBorders>
            <w:noWrap/>
            <w:vAlign w:val="center"/>
          </w:tcPr>
          <w:p w14:paraId="5E7C4BED" w14:textId="77777777" w:rsidR="00DA5E34" w:rsidRPr="00D45F4F" w:rsidRDefault="00DA5E34" w:rsidP="006D54DB">
            <w:pPr>
              <w:spacing w:line="276" w:lineRule="auto"/>
              <w:jc w:val="center"/>
              <w:rPr>
                <w:rFonts w:asciiTheme="minorHAnsi" w:eastAsia="Times New Roman" w:hAnsiTheme="minorHAnsi" w:cstheme="minorHAnsi"/>
                <w:lang w:eastAsia="en-GB"/>
              </w:rPr>
            </w:pPr>
            <w:r w:rsidRPr="00D45F4F">
              <w:rPr>
                <w:rFonts w:asciiTheme="minorHAnsi" w:eastAsia="Times New Roman" w:hAnsiTheme="minorHAnsi" w:cstheme="minorHAnsi"/>
                <w:lang w:eastAsia="en-GB"/>
              </w:rPr>
              <w:t>Multimorbidity</w:t>
            </w:r>
          </w:p>
          <w:p w14:paraId="6179AEC5" w14:textId="77777777" w:rsidR="00DA5E34" w:rsidRPr="00D45F4F" w:rsidRDefault="00DA5E34" w:rsidP="006D54DB">
            <w:pPr>
              <w:spacing w:line="276" w:lineRule="auto"/>
              <w:jc w:val="center"/>
              <w:rPr>
                <w:rFonts w:asciiTheme="minorHAnsi" w:eastAsia="Times New Roman" w:hAnsiTheme="minorHAnsi" w:cstheme="minorHAnsi"/>
                <w:lang w:eastAsia="en-GB"/>
              </w:rPr>
            </w:pPr>
            <w:r w:rsidRPr="00D45F4F">
              <w:rPr>
                <w:rFonts w:asciiTheme="minorHAnsi" w:eastAsia="Times New Roman" w:hAnsiTheme="minorHAnsi" w:cstheme="minorHAnsi"/>
                <w:lang w:eastAsia="en-GB"/>
              </w:rPr>
              <w:t>(170)</w:t>
            </w:r>
          </w:p>
        </w:tc>
        <w:tc>
          <w:tcPr>
            <w:tcW w:w="7355" w:type="dxa"/>
            <w:tcBorders>
              <w:top w:val="single" w:sz="4" w:space="0" w:color="auto"/>
              <w:left w:val="single" w:sz="4" w:space="0" w:color="auto"/>
              <w:bottom w:val="single" w:sz="4" w:space="0" w:color="auto"/>
              <w:right w:val="single" w:sz="4" w:space="0" w:color="auto"/>
            </w:tcBorders>
            <w:vAlign w:val="center"/>
          </w:tcPr>
          <w:p w14:paraId="14329615" w14:textId="77777777" w:rsidR="00DA5E34" w:rsidRPr="00D45F4F" w:rsidRDefault="00DA5E34" w:rsidP="006D54DB">
            <w:pPr>
              <w:spacing w:line="276" w:lineRule="auto"/>
              <w:jc w:val="center"/>
              <w:rPr>
                <w:rFonts w:asciiTheme="minorHAnsi" w:eastAsia="Times New Roman" w:hAnsiTheme="minorHAnsi" w:cstheme="minorHAnsi"/>
                <w:lang w:val="en-US" w:eastAsia="en-GB"/>
              </w:rPr>
            </w:pPr>
            <w:r w:rsidRPr="00D45F4F">
              <w:rPr>
                <w:rFonts w:asciiTheme="minorHAnsi" w:eastAsia="Times New Roman" w:hAnsiTheme="minorHAnsi" w:cstheme="minorHAnsi"/>
                <w:lang w:eastAsia="en-GB"/>
              </w:rPr>
              <w:t>Age + sex</w:t>
            </w:r>
          </w:p>
        </w:tc>
        <w:tc>
          <w:tcPr>
            <w:tcW w:w="3071" w:type="dxa"/>
            <w:tcBorders>
              <w:top w:val="single" w:sz="4" w:space="0" w:color="auto"/>
              <w:left w:val="single" w:sz="4" w:space="0" w:color="auto"/>
              <w:bottom w:val="single" w:sz="4" w:space="0" w:color="auto"/>
              <w:right w:val="single" w:sz="4" w:space="0" w:color="auto"/>
            </w:tcBorders>
            <w:vAlign w:val="center"/>
          </w:tcPr>
          <w:p w14:paraId="73B46749" w14:textId="77777777" w:rsidR="00DA5E34" w:rsidRPr="00AE20B2" w:rsidRDefault="00DA5E34" w:rsidP="006D54DB">
            <w:pPr>
              <w:spacing w:line="276" w:lineRule="auto"/>
              <w:jc w:val="center"/>
              <w:rPr>
                <w:rFonts w:asciiTheme="minorHAnsi" w:eastAsia="Times New Roman" w:hAnsiTheme="minorHAnsi" w:cstheme="minorHAnsi"/>
                <w:lang w:eastAsia="en-GB"/>
              </w:rPr>
            </w:pPr>
            <w:r w:rsidRPr="00AE20B2">
              <w:rPr>
                <w:rFonts w:asciiTheme="minorHAnsi" w:eastAsia="Times New Roman" w:hAnsiTheme="minorHAnsi" w:cstheme="minorHAnsi"/>
                <w:lang w:eastAsia="en-GB"/>
              </w:rPr>
              <w:t>-0.003 (0.056)</w:t>
            </w:r>
          </w:p>
          <w:p w14:paraId="6AEB5C8B" w14:textId="77777777" w:rsidR="00DA5E34" w:rsidRPr="00AE20B2" w:rsidRDefault="00DA5E34" w:rsidP="006D54DB">
            <w:pPr>
              <w:spacing w:line="276" w:lineRule="auto"/>
              <w:jc w:val="center"/>
              <w:rPr>
                <w:rFonts w:asciiTheme="minorHAnsi" w:eastAsia="Times New Roman" w:hAnsiTheme="minorHAnsi" w:cstheme="minorHAnsi"/>
                <w:lang w:eastAsia="en-GB"/>
              </w:rPr>
            </w:pPr>
            <w:r w:rsidRPr="00AE20B2">
              <w:rPr>
                <w:rFonts w:asciiTheme="minorHAnsi" w:eastAsia="Times New Roman" w:hAnsiTheme="minorHAnsi" w:cstheme="minorHAnsi"/>
                <w:lang w:eastAsia="en-GB"/>
              </w:rPr>
              <w:t>0.96</w:t>
            </w:r>
          </w:p>
        </w:tc>
        <w:tc>
          <w:tcPr>
            <w:tcW w:w="1685" w:type="dxa"/>
            <w:tcBorders>
              <w:top w:val="single" w:sz="4" w:space="0" w:color="auto"/>
              <w:left w:val="single" w:sz="4" w:space="0" w:color="auto"/>
              <w:bottom w:val="single" w:sz="4" w:space="0" w:color="auto"/>
              <w:right w:val="single" w:sz="4" w:space="0" w:color="auto"/>
            </w:tcBorders>
            <w:vAlign w:val="center"/>
          </w:tcPr>
          <w:p w14:paraId="624A389B" w14:textId="77777777" w:rsidR="00DA5E34" w:rsidRPr="00AE20B2" w:rsidRDefault="00DA5E34" w:rsidP="006D54DB">
            <w:pPr>
              <w:spacing w:line="276" w:lineRule="auto"/>
              <w:jc w:val="center"/>
              <w:rPr>
                <w:rFonts w:asciiTheme="minorHAnsi" w:eastAsia="Times New Roman" w:hAnsiTheme="minorHAnsi" w:cstheme="minorHAnsi"/>
                <w:lang w:eastAsia="en-GB"/>
              </w:rPr>
            </w:pPr>
            <w:r w:rsidRPr="00AE20B2">
              <w:rPr>
                <w:rFonts w:asciiTheme="minorHAnsi" w:eastAsia="Times New Roman" w:hAnsiTheme="minorHAnsi" w:cstheme="minorHAnsi"/>
                <w:lang w:eastAsia="en-GB"/>
              </w:rPr>
              <w:t>-0.046 (0.040)</w:t>
            </w:r>
          </w:p>
          <w:p w14:paraId="546A72BE" w14:textId="77777777" w:rsidR="00DA5E34" w:rsidRPr="00874B88" w:rsidRDefault="00DA5E34" w:rsidP="006D54DB">
            <w:pPr>
              <w:spacing w:line="276" w:lineRule="auto"/>
              <w:jc w:val="center"/>
              <w:rPr>
                <w:rFonts w:asciiTheme="minorHAnsi" w:eastAsia="Times New Roman" w:hAnsiTheme="minorHAnsi" w:cstheme="minorHAnsi"/>
                <w:lang w:eastAsia="en-GB"/>
              </w:rPr>
            </w:pPr>
            <w:r w:rsidRPr="00874B88">
              <w:rPr>
                <w:rFonts w:asciiTheme="minorHAnsi" w:eastAsia="Times New Roman" w:hAnsiTheme="minorHAnsi" w:cstheme="minorHAnsi"/>
                <w:lang w:eastAsia="en-GB"/>
              </w:rPr>
              <w:t>0.25</w:t>
            </w:r>
          </w:p>
        </w:tc>
        <w:tc>
          <w:tcPr>
            <w:tcW w:w="1941" w:type="dxa"/>
            <w:tcBorders>
              <w:top w:val="single" w:sz="4" w:space="0" w:color="auto"/>
              <w:left w:val="single" w:sz="4" w:space="0" w:color="auto"/>
              <w:bottom w:val="single" w:sz="4" w:space="0" w:color="auto"/>
              <w:right w:val="single" w:sz="4" w:space="0" w:color="auto"/>
            </w:tcBorders>
            <w:vAlign w:val="center"/>
          </w:tcPr>
          <w:p w14:paraId="12C0B419" w14:textId="77777777" w:rsidR="00DA5E34" w:rsidRPr="00021536" w:rsidRDefault="00DA5E34" w:rsidP="006D54DB">
            <w:pPr>
              <w:spacing w:line="276" w:lineRule="auto"/>
              <w:jc w:val="center"/>
              <w:rPr>
                <w:rFonts w:asciiTheme="minorHAnsi" w:eastAsia="Times New Roman" w:hAnsiTheme="minorHAnsi" w:cstheme="minorHAnsi"/>
                <w:lang w:eastAsia="en-GB"/>
              </w:rPr>
            </w:pPr>
            <w:r w:rsidRPr="00A74370">
              <w:rPr>
                <w:rFonts w:asciiTheme="minorHAnsi" w:eastAsia="Times New Roman" w:hAnsiTheme="minorHAnsi" w:cstheme="minorHAnsi"/>
                <w:lang w:eastAsia="en-GB"/>
              </w:rPr>
              <w:t>0.060 (0.04</w:t>
            </w:r>
            <w:r w:rsidRPr="00021536">
              <w:rPr>
                <w:rFonts w:asciiTheme="minorHAnsi" w:eastAsia="Times New Roman" w:hAnsiTheme="minorHAnsi" w:cstheme="minorHAnsi"/>
                <w:lang w:eastAsia="en-GB"/>
              </w:rPr>
              <w:t>2)</w:t>
            </w:r>
          </w:p>
          <w:p w14:paraId="05C9EB18" w14:textId="77777777" w:rsidR="00DA5E34" w:rsidRPr="00500BAF" w:rsidRDefault="00DA5E34" w:rsidP="006D54DB">
            <w:pPr>
              <w:spacing w:line="276" w:lineRule="auto"/>
              <w:jc w:val="center"/>
              <w:rPr>
                <w:rFonts w:asciiTheme="minorHAnsi" w:eastAsia="Times New Roman" w:hAnsiTheme="minorHAnsi" w:cstheme="minorHAnsi"/>
                <w:lang w:eastAsia="en-GB"/>
              </w:rPr>
            </w:pPr>
            <w:r w:rsidRPr="00500BAF">
              <w:rPr>
                <w:rFonts w:asciiTheme="minorHAnsi" w:eastAsia="Times New Roman" w:hAnsiTheme="minorHAnsi" w:cstheme="minorHAnsi"/>
                <w:lang w:eastAsia="en-GB"/>
              </w:rPr>
              <w:t>0.15</w:t>
            </w:r>
          </w:p>
        </w:tc>
      </w:tr>
      <w:tr w:rsidR="00DA5E34" w:rsidRPr="00940744" w14:paraId="65F34C2B" w14:textId="77777777" w:rsidTr="006D54DB">
        <w:trPr>
          <w:trHeight w:val="288"/>
          <w:jc w:val="center"/>
        </w:trPr>
        <w:tc>
          <w:tcPr>
            <w:tcW w:w="1835" w:type="dxa"/>
            <w:vMerge/>
            <w:tcBorders>
              <w:left w:val="single" w:sz="4" w:space="0" w:color="auto"/>
              <w:right w:val="single" w:sz="4" w:space="0" w:color="auto"/>
            </w:tcBorders>
            <w:noWrap/>
            <w:vAlign w:val="center"/>
          </w:tcPr>
          <w:p w14:paraId="4BC3EC31" w14:textId="77777777" w:rsidR="00DA5E34" w:rsidRPr="00D45F4F" w:rsidRDefault="00DA5E34" w:rsidP="006D54DB">
            <w:pPr>
              <w:spacing w:line="276" w:lineRule="auto"/>
              <w:jc w:val="center"/>
              <w:rPr>
                <w:rFonts w:asciiTheme="minorHAnsi" w:eastAsia="Times New Roman" w:hAnsiTheme="minorHAnsi" w:cstheme="minorHAnsi"/>
                <w:lang w:eastAsia="en-GB"/>
              </w:rPr>
            </w:pPr>
          </w:p>
        </w:tc>
        <w:tc>
          <w:tcPr>
            <w:tcW w:w="7355" w:type="dxa"/>
            <w:tcBorders>
              <w:top w:val="single" w:sz="4" w:space="0" w:color="auto"/>
              <w:left w:val="single" w:sz="4" w:space="0" w:color="auto"/>
              <w:bottom w:val="single" w:sz="4" w:space="0" w:color="auto"/>
              <w:right w:val="single" w:sz="4" w:space="0" w:color="auto"/>
            </w:tcBorders>
            <w:vAlign w:val="center"/>
          </w:tcPr>
          <w:p w14:paraId="3648FBF4" w14:textId="77777777" w:rsidR="00DA5E34" w:rsidRPr="00D45F4F" w:rsidRDefault="00DA5E34" w:rsidP="006D54DB">
            <w:pPr>
              <w:spacing w:line="276" w:lineRule="auto"/>
              <w:jc w:val="center"/>
              <w:rPr>
                <w:rFonts w:asciiTheme="minorHAnsi" w:eastAsia="Times New Roman" w:hAnsiTheme="minorHAnsi" w:cstheme="minorHAnsi"/>
                <w:lang w:val="en-US" w:eastAsia="en-GB"/>
              </w:rPr>
            </w:pPr>
            <w:r w:rsidRPr="00D45F4F">
              <w:rPr>
                <w:rFonts w:asciiTheme="minorHAnsi" w:eastAsia="Times New Roman" w:hAnsiTheme="minorHAnsi" w:cstheme="minorHAnsi"/>
                <w:lang w:val="en-US" w:eastAsia="en-GB"/>
              </w:rPr>
              <w:t xml:space="preserve"> Age + sex + education + PA + smoking + drinking </w:t>
            </w:r>
          </w:p>
        </w:tc>
        <w:tc>
          <w:tcPr>
            <w:tcW w:w="3071" w:type="dxa"/>
            <w:tcBorders>
              <w:top w:val="single" w:sz="4" w:space="0" w:color="auto"/>
              <w:left w:val="single" w:sz="4" w:space="0" w:color="auto"/>
              <w:bottom w:val="single" w:sz="4" w:space="0" w:color="auto"/>
              <w:right w:val="single" w:sz="4" w:space="0" w:color="auto"/>
            </w:tcBorders>
            <w:vAlign w:val="center"/>
          </w:tcPr>
          <w:p w14:paraId="28F6858D" w14:textId="77777777" w:rsidR="00DA5E34" w:rsidRPr="00AE20B2" w:rsidRDefault="00DA5E34" w:rsidP="006D54DB">
            <w:pPr>
              <w:spacing w:line="276" w:lineRule="auto"/>
              <w:jc w:val="center"/>
              <w:rPr>
                <w:rFonts w:asciiTheme="minorHAnsi" w:eastAsia="Times New Roman" w:hAnsiTheme="minorHAnsi" w:cstheme="minorHAnsi"/>
                <w:lang w:eastAsia="en-GB"/>
              </w:rPr>
            </w:pPr>
            <w:r w:rsidRPr="00AE20B2">
              <w:rPr>
                <w:rFonts w:asciiTheme="minorHAnsi" w:eastAsia="Times New Roman" w:hAnsiTheme="minorHAnsi" w:cstheme="minorHAnsi"/>
                <w:lang w:eastAsia="en-GB"/>
              </w:rPr>
              <w:t>0.005 (0.058)</w:t>
            </w:r>
          </w:p>
          <w:p w14:paraId="146E37C2" w14:textId="77777777" w:rsidR="00DA5E34" w:rsidRPr="00874B88" w:rsidRDefault="00DA5E34" w:rsidP="006D54DB">
            <w:pPr>
              <w:spacing w:line="276" w:lineRule="auto"/>
              <w:jc w:val="center"/>
              <w:rPr>
                <w:rFonts w:asciiTheme="minorHAnsi" w:eastAsia="Times New Roman" w:hAnsiTheme="minorHAnsi" w:cstheme="minorHAnsi"/>
                <w:lang w:eastAsia="en-GB"/>
              </w:rPr>
            </w:pPr>
            <w:r w:rsidRPr="00874B88">
              <w:rPr>
                <w:rFonts w:asciiTheme="minorHAnsi" w:eastAsia="Times New Roman" w:hAnsiTheme="minorHAnsi" w:cstheme="minorHAnsi"/>
                <w:lang w:eastAsia="en-GB"/>
              </w:rPr>
              <w:t>0.94</w:t>
            </w:r>
          </w:p>
        </w:tc>
        <w:tc>
          <w:tcPr>
            <w:tcW w:w="1685" w:type="dxa"/>
            <w:tcBorders>
              <w:top w:val="single" w:sz="4" w:space="0" w:color="auto"/>
              <w:left w:val="single" w:sz="4" w:space="0" w:color="auto"/>
              <w:bottom w:val="single" w:sz="4" w:space="0" w:color="auto"/>
              <w:right w:val="single" w:sz="4" w:space="0" w:color="auto"/>
            </w:tcBorders>
            <w:vAlign w:val="center"/>
          </w:tcPr>
          <w:p w14:paraId="635DD688" w14:textId="77777777" w:rsidR="00DA5E34" w:rsidRPr="00021536" w:rsidRDefault="00DA5E34" w:rsidP="006D54DB">
            <w:pPr>
              <w:spacing w:line="276" w:lineRule="auto"/>
              <w:jc w:val="center"/>
              <w:rPr>
                <w:rFonts w:asciiTheme="minorHAnsi" w:eastAsia="Times New Roman" w:hAnsiTheme="minorHAnsi" w:cstheme="minorHAnsi"/>
                <w:lang w:eastAsia="en-GB"/>
              </w:rPr>
            </w:pPr>
            <w:r w:rsidRPr="00A74370">
              <w:rPr>
                <w:rFonts w:asciiTheme="minorHAnsi" w:eastAsia="Times New Roman" w:hAnsiTheme="minorHAnsi" w:cstheme="minorHAnsi"/>
                <w:lang w:eastAsia="en-GB"/>
              </w:rPr>
              <w:t>-0.057 (0.041)</w:t>
            </w:r>
          </w:p>
          <w:p w14:paraId="21FBFD12" w14:textId="77777777" w:rsidR="00DA5E34" w:rsidRPr="00500BAF" w:rsidRDefault="00DA5E34" w:rsidP="006D54DB">
            <w:pPr>
              <w:spacing w:line="276" w:lineRule="auto"/>
              <w:jc w:val="center"/>
              <w:rPr>
                <w:rFonts w:asciiTheme="minorHAnsi" w:eastAsia="Times New Roman" w:hAnsiTheme="minorHAnsi" w:cstheme="minorHAnsi"/>
                <w:lang w:eastAsia="en-GB"/>
              </w:rPr>
            </w:pPr>
            <w:r w:rsidRPr="00500BAF">
              <w:rPr>
                <w:rFonts w:asciiTheme="minorHAnsi" w:eastAsia="Times New Roman" w:hAnsiTheme="minorHAnsi" w:cstheme="minorHAnsi"/>
                <w:lang w:eastAsia="en-GB"/>
              </w:rPr>
              <w:t>0.17</w:t>
            </w:r>
          </w:p>
        </w:tc>
        <w:tc>
          <w:tcPr>
            <w:tcW w:w="1941" w:type="dxa"/>
            <w:tcBorders>
              <w:top w:val="single" w:sz="4" w:space="0" w:color="auto"/>
              <w:left w:val="single" w:sz="4" w:space="0" w:color="auto"/>
              <w:bottom w:val="single" w:sz="4" w:space="0" w:color="auto"/>
              <w:right w:val="single" w:sz="4" w:space="0" w:color="auto"/>
            </w:tcBorders>
            <w:vAlign w:val="center"/>
          </w:tcPr>
          <w:p w14:paraId="5B2850F6" w14:textId="77777777" w:rsidR="00DA5E34" w:rsidRPr="00675122" w:rsidRDefault="00DA5E34" w:rsidP="006D54DB">
            <w:pPr>
              <w:spacing w:line="276" w:lineRule="auto"/>
              <w:jc w:val="center"/>
              <w:rPr>
                <w:rFonts w:asciiTheme="minorHAnsi" w:eastAsia="Times New Roman" w:hAnsiTheme="minorHAnsi" w:cstheme="minorHAnsi"/>
                <w:lang w:eastAsia="en-GB"/>
              </w:rPr>
            </w:pPr>
            <w:r w:rsidRPr="00675122">
              <w:rPr>
                <w:rFonts w:asciiTheme="minorHAnsi" w:eastAsia="Times New Roman" w:hAnsiTheme="minorHAnsi" w:cstheme="minorHAnsi"/>
                <w:lang w:eastAsia="en-GB"/>
              </w:rPr>
              <w:t>0.077 (0.042)</w:t>
            </w:r>
          </w:p>
          <w:p w14:paraId="34B6DAC3" w14:textId="77777777" w:rsidR="00DA5E34" w:rsidRPr="00074815" w:rsidRDefault="00DA5E34" w:rsidP="006D54DB">
            <w:pPr>
              <w:spacing w:line="276" w:lineRule="auto"/>
              <w:jc w:val="center"/>
              <w:rPr>
                <w:rFonts w:asciiTheme="minorHAnsi" w:eastAsia="Times New Roman" w:hAnsiTheme="minorHAnsi" w:cstheme="minorHAnsi"/>
                <w:lang w:eastAsia="en-GB"/>
              </w:rPr>
            </w:pPr>
            <w:r w:rsidRPr="00675122">
              <w:rPr>
                <w:rFonts w:asciiTheme="minorHAnsi" w:eastAsia="Times New Roman" w:hAnsiTheme="minorHAnsi" w:cstheme="minorHAnsi"/>
                <w:lang w:eastAsia="en-GB"/>
              </w:rPr>
              <w:t>0.07</w:t>
            </w:r>
          </w:p>
        </w:tc>
      </w:tr>
      <w:tr w:rsidR="00DA5E34" w:rsidRPr="00940744" w14:paraId="5960A7B9" w14:textId="77777777" w:rsidTr="006D54DB">
        <w:trPr>
          <w:trHeight w:val="288"/>
          <w:jc w:val="center"/>
        </w:trPr>
        <w:tc>
          <w:tcPr>
            <w:tcW w:w="1835" w:type="dxa"/>
            <w:vMerge w:val="restart"/>
            <w:tcBorders>
              <w:left w:val="single" w:sz="4" w:space="0" w:color="auto"/>
              <w:right w:val="single" w:sz="4" w:space="0" w:color="auto"/>
            </w:tcBorders>
            <w:noWrap/>
            <w:vAlign w:val="center"/>
          </w:tcPr>
          <w:p w14:paraId="41BE0BF3" w14:textId="77777777" w:rsidR="00DA5E34" w:rsidRPr="00D45F4F" w:rsidRDefault="00DA5E34" w:rsidP="006D54DB">
            <w:pPr>
              <w:spacing w:line="276" w:lineRule="auto"/>
              <w:jc w:val="center"/>
              <w:rPr>
                <w:rFonts w:asciiTheme="minorHAnsi" w:eastAsia="Times New Roman" w:hAnsiTheme="minorHAnsi" w:cstheme="minorHAnsi"/>
                <w:lang w:eastAsia="en-GB"/>
              </w:rPr>
            </w:pPr>
            <w:r w:rsidRPr="00D45F4F">
              <w:rPr>
                <w:rFonts w:asciiTheme="minorHAnsi" w:eastAsia="Times New Roman" w:hAnsiTheme="minorHAnsi" w:cstheme="minorHAnsi"/>
                <w:lang w:eastAsia="en-GB"/>
              </w:rPr>
              <w:t>Antidepressants users</w:t>
            </w:r>
          </w:p>
          <w:p w14:paraId="32DD4C8F" w14:textId="77777777" w:rsidR="00DA5E34" w:rsidRPr="00D45F4F" w:rsidRDefault="00DA5E34" w:rsidP="006D54DB">
            <w:pPr>
              <w:spacing w:line="276" w:lineRule="auto"/>
              <w:jc w:val="center"/>
              <w:rPr>
                <w:rFonts w:asciiTheme="minorHAnsi" w:eastAsia="Times New Roman" w:hAnsiTheme="minorHAnsi" w:cstheme="minorHAnsi"/>
                <w:lang w:eastAsia="en-GB"/>
              </w:rPr>
            </w:pPr>
            <w:r w:rsidRPr="00D45F4F">
              <w:rPr>
                <w:rFonts w:asciiTheme="minorHAnsi" w:eastAsia="Times New Roman" w:hAnsiTheme="minorHAnsi" w:cstheme="minorHAnsi"/>
                <w:lang w:eastAsia="en-GB"/>
              </w:rPr>
              <w:t>(398)</w:t>
            </w:r>
          </w:p>
        </w:tc>
        <w:tc>
          <w:tcPr>
            <w:tcW w:w="7355" w:type="dxa"/>
            <w:tcBorders>
              <w:top w:val="single" w:sz="4" w:space="0" w:color="auto"/>
              <w:left w:val="single" w:sz="4" w:space="0" w:color="auto"/>
              <w:bottom w:val="single" w:sz="4" w:space="0" w:color="auto"/>
              <w:right w:val="single" w:sz="4" w:space="0" w:color="auto"/>
            </w:tcBorders>
            <w:vAlign w:val="center"/>
          </w:tcPr>
          <w:p w14:paraId="6ECED746" w14:textId="77777777" w:rsidR="00DA5E34" w:rsidRPr="00D45F4F" w:rsidRDefault="00DA5E34" w:rsidP="006D54DB">
            <w:pPr>
              <w:spacing w:line="276" w:lineRule="auto"/>
              <w:jc w:val="center"/>
              <w:rPr>
                <w:rFonts w:asciiTheme="minorHAnsi" w:eastAsia="Times New Roman" w:hAnsiTheme="minorHAnsi" w:cstheme="minorHAnsi"/>
                <w:lang w:val="en-US" w:eastAsia="en-GB"/>
              </w:rPr>
            </w:pPr>
            <w:r w:rsidRPr="00D45F4F">
              <w:rPr>
                <w:rFonts w:asciiTheme="minorHAnsi" w:eastAsia="Times New Roman" w:hAnsiTheme="minorHAnsi" w:cstheme="minorHAnsi"/>
                <w:lang w:eastAsia="en-GB"/>
              </w:rPr>
              <w:t>Age + sex</w:t>
            </w:r>
          </w:p>
        </w:tc>
        <w:tc>
          <w:tcPr>
            <w:tcW w:w="3071" w:type="dxa"/>
            <w:tcBorders>
              <w:top w:val="single" w:sz="4" w:space="0" w:color="auto"/>
              <w:left w:val="single" w:sz="4" w:space="0" w:color="auto"/>
              <w:bottom w:val="single" w:sz="4" w:space="0" w:color="auto"/>
              <w:right w:val="single" w:sz="4" w:space="0" w:color="auto"/>
            </w:tcBorders>
            <w:vAlign w:val="center"/>
          </w:tcPr>
          <w:p w14:paraId="102583A8" w14:textId="77777777" w:rsidR="00DA5E34"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0.073 (0.037)</w:t>
            </w:r>
          </w:p>
          <w:p w14:paraId="0A3874D0" w14:textId="77777777" w:rsidR="00DA5E34" w:rsidRPr="00504A56"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&lt;0.05</w:t>
            </w:r>
          </w:p>
        </w:tc>
        <w:tc>
          <w:tcPr>
            <w:tcW w:w="1685" w:type="dxa"/>
            <w:tcBorders>
              <w:top w:val="single" w:sz="4" w:space="0" w:color="auto"/>
              <w:left w:val="single" w:sz="4" w:space="0" w:color="auto"/>
              <w:bottom w:val="single" w:sz="4" w:space="0" w:color="auto"/>
              <w:right w:val="single" w:sz="4" w:space="0" w:color="auto"/>
            </w:tcBorders>
            <w:vAlign w:val="center"/>
          </w:tcPr>
          <w:p w14:paraId="32E60C8E" w14:textId="77777777" w:rsidR="00DA5E34"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0.048 (0.024)</w:t>
            </w:r>
          </w:p>
          <w:p w14:paraId="3E7C77E1" w14:textId="77777777" w:rsidR="00DA5E34" w:rsidRPr="00504A56" w:rsidRDefault="00DA5E34" w:rsidP="006D54DB">
            <w:pPr>
              <w:spacing w:line="276" w:lineRule="auto"/>
              <w:jc w:val="center"/>
              <w:rPr>
                <w:rFonts w:asciiTheme="minorHAnsi" w:eastAsia="Times New Roman" w:hAnsiTheme="minorHAnsi" w:cstheme="minorHAnsi"/>
                <w:b/>
                <w:bCs/>
                <w:lang w:eastAsia="en-GB"/>
              </w:rPr>
            </w:pPr>
            <w:r>
              <w:rPr>
                <w:rFonts w:asciiTheme="minorHAnsi" w:eastAsia="Times New Roman" w:hAnsiTheme="minorHAnsi" w:cstheme="minorHAnsi"/>
                <w:b/>
                <w:bCs/>
                <w:lang w:eastAsia="en-GB"/>
              </w:rPr>
              <w:t>0.04</w:t>
            </w:r>
          </w:p>
        </w:tc>
        <w:tc>
          <w:tcPr>
            <w:tcW w:w="1941" w:type="dxa"/>
            <w:tcBorders>
              <w:top w:val="single" w:sz="4" w:space="0" w:color="auto"/>
              <w:left w:val="single" w:sz="4" w:space="0" w:color="auto"/>
              <w:bottom w:val="single" w:sz="4" w:space="0" w:color="auto"/>
              <w:right w:val="single" w:sz="4" w:space="0" w:color="auto"/>
            </w:tcBorders>
            <w:vAlign w:val="center"/>
          </w:tcPr>
          <w:p w14:paraId="480FD9D7" w14:textId="77777777" w:rsidR="00DA5E34" w:rsidRPr="00027551" w:rsidRDefault="00DA5E34" w:rsidP="006D54DB">
            <w:pPr>
              <w:spacing w:line="276" w:lineRule="auto"/>
              <w:jc w:val="center"/>
              <w:rPr>
                <w:rFonts w:asciiTheme="minorHAnsi" w:eastAsia="Times New Roman" w:hAnsiTheme="minorHAnsi" w:cstheme="minorHAnsi"/>
                <w:lang w:eastAsia="en-GB"/>
              </w:rPr>
            </w:pPr>
            <w:r w:rsidRPr="00027551">
              <w:rPr>
                <w:rFonts w:asciiTheme="minorHAnsi" w:eastAsia="Times New Roman" w:hAnsiTheme="minorHAnsi" w:cstheme="minorHAnsi"/>
                <w:lang w:eastAsia="en-GB"/>
              </w:rPr>
              <w:t>-0.018 (0.024)</w:t>
            </w:r>
          </w:p>
          <w:p w14:paraId="2324E48D" w14:textId="77777777" w:rsidR="00DA5E34" w:rsidRPr="00AA001B" w:rsidRDefault="00DA5E34" w:rsidP="006D54DB">
            <w:pPr>
              <w:spacing w:line="276" w:lineRule="auto"/>
              <w:jc w:val="center"/>
              <w:rPr>
                <w:rFonts w:asciiTheme="minorHAnsi" w:eastAsia="Times New Roman" w:hAnsiTheme="minorHAnsi" w:cstheme="minorHAnsi"/>
                <w:b/>
                <w:bCs/>
                <w:lang w:eastAsia="en-GB"/>
              </w:rPr>
            </w:pPr>
            <w:r w:rsidRPr="00027551">
              <w:rPr>
                <w:rFonts w:asciiTheme="minorHAnsi" w:eastAsia="Times New Roman" w:hAnsiTheme="minorHAnsi" w:cstheme="minorHAnsi"/>
                <w:lang w:eastAsia="en-GB"/>
              </w:rPr>
              <w:t>0.45</w:t>
            </w:r>
          </w:p>
        </w:tc>
      </w:tr>
      <w:tr w:rsidR="00DA5E34" w:rsidRPr="00940744" w14:paraId="054579C6" w14:textId="77777777" w:rsidTr="006D54DB">
        <w:trPr>
          <w:trHeight w:val="288"/>
          <w:jc w:val="center"/>
        </w:trPr>
        <w:tc>
          <w:tcPr>
            <w:tcW w:w="1835" w:type="dxa"/>
            <w:vMerge/>
            <w:tcBorders>
              <w:left w:val="single" w:sz="4" w:space="0" w:color="auto"/>
              <w:bottom w:val="single" w:sz="4" w:space="0" w:color="auto"/>
              <w:right w:val="single" w:sz="4" w:space="0" w:color="auto"/>
            </w:tcBorders>
            <w:noWrap/>
            <w:vAlign w:val="center"/>
          </w:tcPr>
          <w:p w14:paraId="6C0F4E61" w14:textId="77777777" w:rsidR="00DA5E34" w:rsidRPr="00D45F4F" w:rsidRDefault="00DA5E34" w:rsidP="006D54DB">
            <w:pPr>
              <w:spacing w:line="276" w:lineRule="auto"/>
              <w:jc w:val="center"/>
              <w:rPr>
                <w:rFonts w:asciiTheme="minorHAnsi" w:eastAsia="Times New Roman" w:hAnsiTheme="minorHAnsi" w:cstheme="minorHAnsi"/>
                <w:lang w:eastAsia="en-GB"/>
              </w:rPr>
            </w:pPr>
          </w:p>
        </w:tc>
        <w:tc>
          <w:tcPr>
            <w:tcW w:w="7355" w:type="dxa"/>
            <w:tcBorders>
              <w:top w:val="single" w:sz="4" w:space="0" w:color="auto"/>
              <w:left w:val="single" w:sz="4" w:space="0" w:color="auto"/>
              <w:bottom w:val="single" w:sz="4" w:space="0" w:color="auto"/>
              <w:right w:val="single" w:sz="4" w:space="0" w:color="auto"/>
            </w:tcBorders>
            <w:vAlign w:val="center"/>
          </w:tcPr>
          <w:p w14:paraId="223EC7D7" w14:textId="77777777" w:rsidR="00DA5E34" w:rsidRPr="00D45F4F" w:rsidRDefault="00DA5E34" w:rsidP="006D54DB">
            <w:pPr>
              <w:spacing w:line="276" w:lineRule="auto"/>
              <w:jc w:val="center"/>
              <w:rPr>
                <w:rFonts w:asciiTheme="minorHAnsi" w:eastAsia="Times New Roman" w:hAnsiTheme="minorHAnsi" w:cstheme="minorHAnsi"/>
                <w:lang w:val="en-US" w:eastAsia="en-GB"/>
              </w:rPr>
            </w:pPr>
            <w:r w:rsidRPr="00D45F4F">
              <w:rPr>
                <w:rFonts w:asciiTheme="minorHAnsi" w:eastAsia="Times New Roman" w:hAnsiTheme="minorHAnsi" w:cstheme="minorHAnsi"/>
                <w:lang w:val="en-US" w:eastAsia="en-GB"/>
              </w:rPr>
              <w:t xml:space="preserve"> Age + sex + education + PA + smoking + drinking</w:t>
            </w:r>
          </w:p>
        </w:tc>
        <w:tc>
          <w:tcPr>
            <w:tcW w:w="3071" w:type="dxa"/>
            <w:tcBorders>
              <w:top w:val="single" w:sz="4" w:space="0" w:color="auto"/>
              <w:left w:val="single" w:sz="4" w:space="0" w:color="auto"/>
              <w:bottom w:val="single" w:sz="4" w:space="0" w:color="auto"/>
              <w:right w:val="single" w:sz="4" w:space="0" w:color="auto"/>
            </w:tcBorders>
            <w:vAlign w:val="center"/>
          </w:tcPr>
          <w:p w14:paraId="5D854C75" w14:textId="77777777" w:rsidR="00DA5E34" w:rsidRPr="00027551" w:rsidRDefault="00DA5E34" w:rsidP="006D54DB">
            <w:pPr>
              <w:spacing w:line="276" w:lineRule="auto"/>
              <w:jc w:val="center"/>
              <w:rPr>
                <w:rFonts w:asciiTheme="minorHAnsi" w:eastAsia="Times New Roman" w:hAnsiTheme="minorHAnsi" w:cstheme="minorHAnsi"/>
                <w:lang w:eastAsia="en-GB"/>
              </w:rPr>
            </w:pPr>
            <w:r w:rsidRPr="00027551">
              <w:rPr>
                <w:rFonts w:asciiTheme="minorHAnsi" w:eastAsia="Times New Roman" w:hAnsiTheme="minorHAnsi" w:cstheme="minorHAnsi"/>
                <w:lang w:eastAsia="en-GB"/>
              </w:rPr>
              <w:t>0.064 (0.038)</w:t>
            </w:r>
          </w:p>
          <w:p w14:paraId="5DD31E09" w14:textId="77777777" w:rsidR="00DA5E34" w:rsidRPr="00027551" w:rsidRDefault="00DA5E34" w:rsidP="006D54DB">
            <w:pPr>
              <w:spacing w:line="276" w:lineRule="auto"/>
              <w:jc w:val="center"/>
              <w:rPr>
                <w:rFonts w:asciiTheme="minorHAnsi" w:eastAsia="Times New Roman" w:hAnsiTheme="minorHAnsi" w:cstheme="minorHAnsi"/>
                <w:lang w:eastAsia="en-GB"/>
              </w:rPr>
            </w:pPr>
            <w:r w:rsidRPr="00027551">
              <w:rPr>
                <w:rFonts w:asciiTheme="minorHAnsi" w:eastAsia="Times New Roman" w:hAnsiTheme="minorHAnsi" w:cstheme="minorHAnsi"/>
                <w:lang w:eastAsia="en-GB"/>
              </w:rPr>
              <w:t>0.09</w:t>
            </w:r>
          </w:p>
        </w:tc>
        <w:tc>
          <w:tcPr>
            <w:tcW w:w="1685" w:type="dxa"/>
            <w:tcBorders>
              <w:top w:val="single" w:sz="4" w:space="0" w:color="auto"/>
              <w:left w:val="single" w:sz="4" w:space="0" w:color="auto"/>
              <w:bottom w:val="single" w:sz="4" w:space="0" w:color="auto"/>
              <w:right w:val="single" w:sz="4" w:space="0" w:color="auto"/>
            </w:tcBorders>
            <w:vAlign w:val="center"/>
          </w:tcPr>
          <w:p w14:paraId="073430F1" w14:textId="77777777" w:rsidR="00DA5E34" w:rsidRPr="00027551" w:rsidRDefault="00DA5E34" w:rsidP="006D54DB">
            <w:pPr>
              <w:spacing w:line="276" w:lineRule="auto"/>
              <w:jc w:val="center"/>
              <w:rPr>
                <w:rFonts w:asciiTheme="minorHAnsi" w:eastAsia="Times New Roman" w:hAnsiTheme="minorHAnsi" w:cstheme="minorHAnsi"/>
                <w:lang w:eastAsia="en-GB"/>
              </w:rPr>
            </w:pPr>
            <w:r w:rsidRPr="00027551">
              <w:rPr>
                <w:rFonts w:asciiTheme="minorHAnsi" w:eastAsia="Times New Roman" w:hAnsiTheme="minorHAnsi" w:cstheme="minorHAnsi"/>
                <w:lang w:eastAsia="en-GB"/>
              </w:rPr>
              <w:t>0.033 (0.024)</w:t>
            </w:r>
          </w:p>
          <w:p w14:paraId="78462FB7" w14:textId="77777777" w:rsidR="00DA5E34" w:rsidRPr="00027551" w:rsidRDefault="00DA5E34" w:rsidP="006D54DB">
            <w:pPr>
              <w:spacing w:line="276" w:lineRule="auto"/>
              <w:jc w:val="center"/>
              <w:rPr>
                <w:rFonts w:asciiTheme="minorHAnsi" w:eastAsia="Times New Roman" w:hAnsiTheme="minorHAnsi" w:cstheme="minorHAnsi"/>
                <w:lang w:eastAsia="en-GB"/>
              </w:rPr>
            </w:pPr>
            <w:r w:rsidRPr="00027551">
              <w:rPr>
                <w:rFonts w:asciiTheme="minorHAnsi" w:eastAsia="Times New Roman" w:hAnsiTheme="minorHAnsi" w:cstheme="minorHAnsi"/>
                <w:lang w:eastAsia="en-GB"/>
              </w:rPr>
              <w:t>0.17</w:t>
            </w:r>
          </w:p>
        </w:tc>
        <w:tc>
          <w:tcPr>
            <w:tcW w:w="1941" w:type="dxa"/>
            <w:tcBorders>
              <w:top w:val="single" w:sz="4" w:space="0" w:color="auto"/>
              <w:left w:val="single" w:sz="4" w:space="0" w:color="auto"/>
              <w:bottom w:val="single" w:sz="4" w:space="0" w:color="auto"/>
              <w:right w:val="single" w:sz="4" w:space="0" w:color="auto"/>
            </w:tcBorders>
            <w:vAlign w:val="center"/>
          </w:tcPr>
          <w:p w14:paraId="37A17917" w14:textId="77777777" w:rsidR="00DA5E34" w:rsidRPr="00027551" w:rsidRDefault="00DA5E34" w:rsidP="006D54DB">
            <w:pPr>
              <w:spacing w:line="276" w:lineRule="auto"/>
              <w:jc w:val="center"/>
              <w:rPr>
                <w:rFonts w:asciiTheme="minorHAnsi" w:eastAsia="Times New Roman" w:hAnsiTheme="minorHAnsi" w:cstheme="minorHAnsi"/>
                <w:lang w:eastAsia="en-GB"/>
              </w:rPr>
            </w:pPr>
            <w:r w:rsidRPr="00027551">
              <w:rPr>
                <w:rFonts w:asciiTheme="minorHAnsi" w:eastAsia="Times New Roman" w:hAnsiTheme="minorHAnsi" w:cstheme="minorHAnsi"/>
                <w:lang w:eastAsia="en-GB"/>
              </w:rPr>
              <w:t>-0.005 (0.024)</w:t>
            </w:r>
          </w:p>
          <w:p w14:paraId="48AF39B4" w14:textId="77777777" w:rsidR="00DA5E34" w:rsidRPr="00027551" w:rsidRDefault="00DA5E34" w:rsidP="006D54DB">
            <w:pPr>
              <w:spacing w:line="276" w:lineRule="auto"/>
              <w:jc w:val="center"/>
              <w:rPr>
                <w:rFonts w:asciiTheme="minorHAnsi" w:eastAsia="Times New Roman" w:hAnsiTheme="minorHAnsi" w:cstheme="minorHAnsi"/>
                <w:lang w:eastAsia="en-GB"/>
              </w:rPr>
            </w:pPr>
            <w:r w:rsidRPr="00027551">
              <w:rPr>
                <w:rFonts w:asciiTheme="minorHAnsi" w:eastAsia="Times New Roman" w:hAnsiTheme="minorHAnsi" w:cstheme="minorHAnsi"/>
                <w:lang w:eastAsia="en-GB"/>
              </w:rPr>
              <w:t>0.84</w:t>
            </w:r>
          </w:p>
        </w:tc>
      </w:tr>
    </w:tbl>
    <w:p w14:paraId="555D4A10" w14:textId="77777777" w:rsidR="00DA5E34" w:rsidRDefault="00DA5E34" w:rsidP="00DA5E34">
      <w:pPr>
        <w:spacing w:line="360" w:lineRule="auto"/>
        <w:jc w:val="both"/>
        <w:rPr>
          <w:rFonts w:asciiTheme="minorHAnsi" w:hAnsiTheme="minorHAnsi" w:cstheme="minorHAnsi"/>
          <w:lang w:val="en-US"/>
        </w:rPr>
      </w:pPr>
    </w:p>
    <w:p w14:paraId="530F859E" w14:textId="32D23761" w:rsidR="00DA5E34" w:rsidRDefault="00DA5E34" w:rsidP="00DA5E34">
      <w:pPr>
        <w:spacing w:line="276" w:lineRule="auto"/>
        <w:jc w:val="both"/>
        <w:rPr>
          <w:rFonts w:asciiTheme="minorHAnsi" w:hAnsiTheme="minorHAnsi" w:cstheme="minorHAnsi"/>
          <w:lang w:val="en-US"/>
        </w:rPr>
      </w:pPr>
      <w:r>
        <w:rPr>
          <w:rFonts w:asciiTheme="minorHAnsi" w:hAnsiTheme="minorHAnsi" w:cstheme="minorHAnsi"/>
          <w:lang w:val="en-US"/>
        </w:rPr>
        <w:t>A</w:t>
      </w:r>
      <w:r w:rsidRPr="00940744">
        <w:rPr>
          <w:rFonts w:asciiTheme="minorHAnsi" w:hAnsiTheme="minorHAnsi" w:cstheme="minorHAnsi"/>
          <w:lang w:val="en-US"/>
        </w:rPr>
        <w:t>ssociations between dietary inflammatory index (DII) and depressive symptoms</w:t>
      </w:r>
      <w:r>
        <w:rPr>
          <w:rFonts w:asciiTheme="minorHAnsi" w:hAnsiTheme="minorHAnsi" w:cstheme="minorHAnsi"/>
          <w:lang w:val="en-US"/>
        </w:rPr>
        <w:t xml:space="preserve"> are reported, stratified by </w:t>
      </w:r>
      <w:r w:rsidRPr="00DA47C1">
        <w:rPr>
          <w:rFonts w:asciiTheme="minorHAnsi" w:hAnsiTheme="minorHAnsi" w:cstheme="minorHAnsi"/>
          <w:b/>
          <w:bCs/>
          <w:lang w:val="en-US"/>
        </w:rPr>
        <w:t>a)</w:t>
      </w:r>
      <w:r>
        <w:rPr>
          <w:rFonts w:asciiTheme="minorHAnsi" w:hAnsiTheme="minorHAnsi" w:cstheme="minorHAnsi"/>
          <w:lang w:val="en-US"/>
        </w:rPr>
        <w:t xml:space="preserve"> gender and </w:t>
      </w:r>
      <w:r w:rsidRPr="00DA47C1">
        <w:rPr>
          <w:rFonts w:asciiTheme="minorHAnsi" w:hAnsiTheme="minorHAnsi" w:cstheme="minorHAnsi"/>
          <w:b/>
          <w:bCs/>
          <w:lang w:val="en-US"/>
        </w:rPr>
        <w:t>b)</w:t>
      </w:r>
      <w:r>
        <w:rPr>
          <w:rFonts w:asciiTheme="minorHAnsi" w:hAnsiTheme="minorHAnsi" w:cstheme="minorHAnsi"/>
          <w:lang w:val="en-US"/>
        </w:rPr>
        <w:t xml:space="preserve"> prevalent health conditions and use of anti-depressants. </w:t>
      </w:r>
      <w:r w:rsidRPr="00940744">
        <w:rPr>
          <w:rFonts w:asciiTheme="minorHAnsi" w:hAnsiTheme="minorHAnsi" w:cstheme="minorHAnsi"/>
          <w:lang w:val="en-US"/>
        </w:rPr>
        <w:t xml:space="preserve">All models were adjusted for recruiting center, in addition to the </w:t>
      </w:r>
      <w:proofErr w:type="gramStart"/>
      <w:r w:rsidRPr="00940744">
        <w:rPr>
          <w:rFonts w:asciiTheme="minorHAnsi" w:hAnsiTheme="minorHAnsi" w:cstheme="minorHAnsi"/>
          <w:lang w:val="en-US"/>
        </w:rPr>
        <w:t>above mentioned</w:t>
      </w:r>
      <w:proofErr w:type="gramEnd"/>
      <w:r w:rsidRPr="00940744">
        <w:rPr>
          <w:rFonts w:asciiTheme="minorHAnsi" w:hAnsiTheme="minorHAnsi" w:cstheme="minorHAnsi"/>
          <w:lang w:val="en-US"/>
        </w:rPr>
        <w:t xml:space="preserve"> covariates</w:t>
      </w:r>
      <w:r>
        <w:rPr>
          <w:rFonts w:asciiTheme="minorHAnsi" w:hAnsiTheme="minorHAnsi" w:cstheme="minorHAnsi"/>
          <w:lang w:val="en-US"/>
        </w:rPr>
        <w:t xml:space="preserve"> (see </w:t>
      </w:r>
      <w:r w:rsidRPr="009C445F">
        <w:rPr>
          <w:rFonts w:asciiTheme="minorHAnsi" w:hAnsiTheme="minorHAnsi" w:cstheme="minorHAnsi"/>
          <w:i/>
          <w:iCs/>
          <w:lang w:val="en-US"/>
        </w:rPr>
        <w:t>Supplementary Methods</w:t>
      </w:r>
      <w:r>
        <w:rPr>
          <w:rFonts w:asciiTheme="minorHAnsi" w:hAnsiTheme="minorHAnsi" w:cstheme="minorHAnsi"/>
          <w:lang w:val="en-US"/>
        </w:rPr>
        <w:t xml:space="preserve"> for detailed definitions)</w:t>
      </w:r>
      <w:r w:rsidRPr="00940744">
        <w:rPr>
          <w:rFonts w:asciiTheme="minorHAnsi" w:hAnsiTheme="minorHAnsi" w:cstheme="minorHAnsi"/>
          <w:lang w:val="en-US"/>
        </w:rPr>
        <w:t xml:space="preserve">. </w:t>
      </w:r>
      <w:r>
        <w:rPr>
          <w:rFonts w:asciiTheme="minorHAnsi" w:hAnsiTheme="minorHAnsi" w:cstheme="minorHAnsi"/>
          <w:lang w:val="en-US"/>
        </w:rPr>
        <w:t xml:space="preserve">When symptom factors were modelled as outcome, </w:t>
      </w:r>
      <w:r w:rsidRPr="00940744">
        <w:rPr>
          <w:rFonts w:asciiTheme="minorHAnsi" w:hAnsiTheme="minorHAnsi" w:cstheme="minorHAnsi"/>
          <w:lang w:val="en-US"/>
        </w:rPr>
        <w:t>the factor other than the outcome</w:t>
      </w:r>
      <w:r>
        <w:rPr>
          <w:rFonts w:asciiTheme="minorHAnsi" w:hAnsiTheme="minorHAnsi" w:cstheme="minorHAnsi"/>
          <w:lang w:val="en-US"/>
        </w:rPr>
        <w:t xml:space="preserve"> was also included among covariates. </w:t>
      </w:r>
      <w:r w:rsidRPr="00940744">
        <w:rPr>
          <w:rFonts w:asciiTheme="minorHAnsi" w:hAnsiTheme="minorHAnsi" w:cstheme="minorHAnsi"/>
          <w:lang w:val="en-US"/>
        </w:rPr>
        <w:t>Beta coefficients and Standard Errors (</w:t>
      </w:r>
      <w:r>
        <w:rPr>
          <w:rFonts w:asciiTheme="minorHAnsi" w:hAnsiTheme="minorHAnsi" w:cstheme="minorHAnsi"/>
          <w:lang w:val="en-US"/>
        </w:rPr>
        <w:t>S</w:t>
      </w:r>
      <w:r w:rsidRPr="00940744">
        <w:rPr>
          <w:rFonts w:asciiTheme="minorHAnsi" w:hAnsiTheme="minorHAnsi" w:cstheme="minorHAnsi"/>
          <w:lang w:val="en-US"/>
        </w:rPr>
        <w:t xml:space="preserve">E) are reported for standardized PHQ9-6 </w:t>
      </w:r>
      <w:r>
        <w:rPr>
          <w:rFonts w:asciiTheme="minorHAnsi" w:hAnsiTheme="minorHAnsi" w:cstheme="minorHAnsi"/>
          <w:lang w:val="en-US"/>
        </w:rPr>
        <w:t xml:space="preserve">and for factor scores </w:t>
      </w:r>
      <w:r w:rsidRPr="00940744">
        <w:rPr>
          <w:rFonts w:asciiTheme="minorHAnsi" w:hAnsiTheme="minorHAnsi" w:cstheme="minorHAnsi"/>
          <w:lang w:val="en-US"/>
        </w:rPr>
        <w:t>associated to unitary increase of DII, along with relevant p-values. Significant associations (p&lt;0.05) are highlighted in bold.</w:t>
      </w:r>
      <w:r w:rsidR="00281476">
        <w:rPr>
          <w:rFonts w:asciiTheme="minorHAnsi" w:hAnsiTheme="minorHAnsi" w:cstheme="minorHAnsi"/>
          <w:lang w:val="en-US"/>
        </w:rPr>
        <w:t xml:space="preserve"> </w:t>
      </w:r>
      <w:r w:rsidRPr="00940744">
        <w:rPr>
          <w:rFonts w:asciiTheme="minorHAnsi" w:hAnsiTheme="minorHAnsi" w:cstheme="minorHAnsi"/>
          <w:lang w:val="en-US"/>
        </w:rPr>
        <w:t>Abbreviations: PA = leisure-time physical activity; CVD = cardiovascular disease</w:t>
      </w:r>
      <w:r>
        <w:rPr>
          <w:rFonts w:asciiTheme="minorHAnsi" w:hAnsiTheme="minorHAnsi" w:cstheme="minorHAnsi"/>
          <w:lang w:val="en-US"/>
        </w:rPr>
        <w:t>.</w:t>
      </w:r>
    </w:p>
    <w:p w14:paraId="3AA9814A" w14:textId="77777777" w:rsidR="00DA5E34" w:rsidRDefault="00DA5E34" w:rsidP="00B15D6E">
      <w:pPr>
        <w:spacing w:line="276" w:lineRule="auto"/>
        <w:jc w:val="center"/>
        <w:rPr>
          <w:rFonts w:asciiTheme="minorHAnsi" w:hAnsiTheme="minorHAnsi" w:cstheme="minorHAnsi"/>
          <w:b/>
          <w:bCs/>
          <w:lang w:val="en-US"/>
        </w:rPr>
      </w:pPr>
    </w:p>
    <w:p w14:paraId="736EFCA2" w14:textId="77777777" w:rsidR="00DA5E34" w:rsidRDefault="00DA5E34" w:rsidP="00B15D6E">
      <w:pPr>
        <w:spacing w:line="276" w:lineRule="auto"/>
        <w:jc w:val="center"/>
        <w:rPr>
          <w:rFonts w:asciiTheme="minorHAnsi" w:hAnsiTheme="minorHAnsi" w:cstheme="minorHAnsi"/>
          <w:b/>
          <w:bCs/>
          <w:lang w:val="en-US"/>
        </w:rPr>
      </w:pPr>
    </w:p>
    <w:p w14:paraId="162B53A5" w14:textId="77777777" w:rsidR="00DA5E34" w:rsidRDefault="00DA5E34" w:rsidP="00B15D6E">
      <w:pPr>
        <w:spacing w:line="276" w:lineRule="auto"/>
        <w:jc w:val="center"/>
        <w:rPr>
          <w:rFonts w:asciiTheme="minorHAnsi" w:hAnsiTheme="minorHAnsi" w:cstheme="minorHAnsi"/>
          <w:b/>
          <w:bCs/>
          <w:lang w:val="en-US"/>
        </w:rPr>
      </w:pPr>
    </w:p>
    <w:p w14:paraId="5B0E51ED" w14:textId="77777777" w:rsidR="00DA5E34" w:rsidRDefault="00DA5E34" w:rsidP="00B15D6E">
      <w:pPr>
        <w:spacing w:line="276" w:lineRule="auto"/>
        <w:jc w:val="center"/>
        <w:rPr>
          <w:rFonts w:asciiTheme="minorHAnsi" w:hAnsiTheme="minorHAnsi" w:cstheme="minorHAnsi"/>
          <w:b/>
          <w:bCs/>
          <w:lang w:val="en-US"/>
        </w:rPr>
      </w:pPr>
    </w:p>
    <w:p w14:paraId="6B069222" w14:textId="77777777" w:rsidR="00D56426" w:rsidRDefault="00D56426" w:rsidP="00DA5E34">
      <w:pPr>
        <w:spacing w:line="360" w:lineRule="auto"/>
        <w:rPr>
          <w:rFonts w:asciiTheme="minorHAnsi" w:hAnsiTheme="minorHAnsi" w:cstheme="minorHAnsi"/>
          <w:b/>
          <w:bCs/>
          <w:lang w:val="en-US"/>
        </w:rPr>
      </w:pPr>
    </w:p>
    <w:p w14:paraId="3D9EDEBD" w14:textId="77777777" w:rsidR="00B15D6E" w:rsidRDefault="00B15D6E" w:rsidP="00282C55">
      <w:pPr>
        <w:spacing w:line="360" w:lineRule="auto"/>
        <w:jc w:val="center"/>
        <w:rPr>
          <w:rFonts w:asciiTheme="minorHAnsi" w:hAnsiTheme="minorHAnsi" w:cstheme="minorHAnsi"/>
          <w:b/>
          <w:bCs/>
          <w:lang w:val="en-US"/>
        </w:rPr>
        <w:sectPr w:rsidR="00B15D6E" w:rsidSect="00B15D6E">
          <w:pgSz w:w="16838" w:h="11906" w:orient="landscape"/>
          <w:pgMar w:top="1134" w:right="1134" w:bottom="1134" w:left="1418" w:header="709" w:footer="709" w:gutter="0"/>
          <w:cols w:space="708"/>
          <w:docGrid w:linePitch="360"/>
        </w:sectPr>
      </w:pPr>
    </w:p>
    <w:p w14:paraId="2DA2D96C" w14:textId="4FC7C35E" w:rsidR="007270A1" w:rsidRDefault="00CC415E" w:rsidP="00282C55">
      <w:pPr>
        <w:spacing w:line="360" w:lineRule="auto"/>
        <w:jc w:val="center"/>
        <w:rPr>
          <w:rFonts w:asciiTheme="minorHAnsi" w:hAnsiTheme="minorHAnsi" w:cstheme="minorHAnsi"/>
          <w:lang w:val="en-US"/>
        </w:rPr>
      </w:pPr>
      <w:r w:rsidRPr="00282C55">
        <w:rPr>
          <w:rFonts w:asciiTheme="minorHAnsi" w:hAnsiTheme="minorHAnsi" w:cstheme="minorHAnsi"/>
          <w:b/>
          <w:bCs/>
          <w:lang w:val="en-US"/>
        </w:rPr>
        <w:lastRenderedPageBreak/>
        <w:t>Figure S2.</w:t>
      </w:r>
      <w:r w:rsidRPr="00282C55">
        <w:rPr>
          <w:rFonts w:asciiTheme="minorHAnsi" w:hAnsiTheme="minorHAnsi" w:cstheme="minorHAnsi"/>
          <w:lang w:val="en-US"/>
        </w:rPr>
        <w:t xml:space="preserve"> Scree plot of exploratory </w:t>
      </w:r>
      <w:proofErr w:type="spellStart"/>
      <w:r w:rsidRPr="00282C55">
        <w:rPr>
          <w:rFonts w:asciiTheme="minorHAnsi" w:hAnsiTheme="minorHAnsi" w:cstheme="minorHAnsi"/>
          <w:lang w:val="en-US"/>
        </w:rPr>
        <w:t>polychoric</w:t>
      </w:r>
      <w:proofErr w:type="spellEnd"/>
      <w:r w:rsidRPr="00282C55">
        <w:rPr>
          <w:rFonts w:asciiTheme="minorHAnsi" w:hAnsiTheme="minorHAnsi" w:cstheme="minorHAnsi"/>
          <w:lang w:val="en-US"/>
        </w:rPr>
        <w:t xml:space="preserve"> </w:t>
      </w:r>
      <w:r w:rsidR="00EF0C7E" w:rsidRPr="00282C55">
        <w:rPr>
          <w:rFonts w:asciiTheme="minorHAnsi" w:hAnsiTheme="minorHAnsi" w:cstheme="minorHAnsi"/>
          <w:lang w:val="en-US"/>
        </w:rPr>
        <w:t>factor analysis.</w:t>
      </w:r>
    </w:p>
    <w:p w14:paraId="55B2C97C" w14:textId="77777777" w:rsidR="00D45F4F" w:rsidRDefault="00D45F4F" w:rsidP="00282C55">
      <w:pPr>
        <w:spacing w:line="360" w:lineRule="auto"/>
        <w:jc w:val="center"/>
        <w:rPr>
          <w:rFonts w:asciiTheme="minorHAnsi" w:hAnsiTheme="minorHAnsi" w:cstheme="minorHAnsi"/>
          <w:lang w:val="en-US"/>
        </w:rPr>
      </w:pPr>
    </w:p>
    <w:p w14:paraId="0D071E62" w14:textId="1C0958DD" w:rsidR="005E234E" w:rsidRPr="00282C55" w:rsidRDefault="005E234E" w:rsidP="00282C55">
      <w:pPr>
        <w:spacing w:line="360" w:lineRule="auto"/>
        <w:jc w:val="center"/>
        <w:rPr>
          <w:rFonts w:asciiTheme="minorHAnsi" w:hAnsiTheme="minorHAnsi" w:cstheme="minorHAnsi"/>
          <w:lang w:val="en-US"/>
        </w:rPr>
      </w:pPr>
      <w:r w:rsidRPr="00282C55">
        <w:rPr>
          <w:rFonts w:asciiTheme="minorHAnsi" w:hAnsiTheme="minorHAnsi" w:cstheme="minorHAnsi"/>
          <w:noProof/>
          <w:lang w:val="en-US"/>
        </w:rPr>
        <w:drawing>
          <wp:inline distT="0" distB="0" distL="0" distR="0" wp14:anchorId="2DFAAD71" wp14:editId="3AF8FCBF">
            <wp:extent cx="6120130" cy="4582795"/>
            <wp:effectExtent l="19050" t="19050" r="13970" b="273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582795"/>
                    </a:xfrm>
                    <a:prstGeom prst="rect">
                      <a:avLst/>
                    </a:prstGeom>
                    <a:noFill/>
                    <a:ln>
                      <a:solidFill>
                        <a:schemeClr val="accent1"/>
                      </a:solidFill>
                    </a:ln>
                  </pic:spPr>
                </pic:pic>
              </a:graphicData>
            </a:graphic>
          </wp:inline>
        </w:drawing>
      </w:r>
    </w:p>
    <w:p w14:paraId="365D2D6D" w14:textId="002B6A64" w:rsidR="005E234E" w:rsidRPr="00282C55" w:rsidRDefault="005E234E" w:rsidP="00282C55">
      <w:pPr>
        <w:spacing w:line="360" w:lineRule="auto"/>
        <w:jc w:val="both"/>
        <w:rPr>
          <w:rFonts w:asciiTheme="minorHAnsi" w:hAnsiTheme="minorHAnsi" w:cstheme="minorHAnsi"/>
          <w:lang w:val="en-US"/>
        </w:rPr>
      </w:pPr>
      <w:r w:rsidRPr="00282C55">
        <w:rPr>
          <w:rFonts w:asciiTheme="minorHAnsi" w:hAnsiTheme="minorHAnsi" w:cstheme="minorHAnsi"/>
          <w:lang w:val="en-US"/>
        </w:rPr>
        <w:t xml:space="preserve">Scree plot of the actual data shows a flattening of the curve after factor </w:t>
      </w:r>
      <w:r w:rsidR="003B1097" w:rsidRPr="00282C55">
        <w:rPr>
          <w:rFonts w:asciiTheme="minorHAnsi" w:hAnsiTheme="minorHAnsi" w:cstheme="minorHAnsi"/>
          <w:lang w:val="en-US"/>
        </w:rPr>
        <w:t xml:space="preserve">nr = </w:t>
      </w:r>
      <w:proofErr w:type="gramStart"/>
      <w:r w:rsidRPr="00282C55">
        <w:rPr>
          <w:rFonts w:asciiTheme="minorHAnsi" w:hAnsiTheme="minorHAnsi" w:cstheme="minorHAnsi"/>
          <w:lang w:val="en-US"/>
        </w:rPr>
        <w:t>2, and</w:t>
      </w:r>
      <w:proofErr w:type="gramEnd"/>
      <w:r w:rsidRPr="00282C55">
        <w:rPr>
          <w:rFonts w:asciiTheme="minorHAnsi" w:hAnsiTheme="minorHAnsi" w:cstheme="minorHAnsi"/>
          <w:lang w:val="en-US"/>
        </w:rPr>
        <w:t xml:space="preserve"> approaches the curve of random generated data </w:t>
      </w:r>
      <w:r w:rsidR="003B1097" w:rsidRPr="00282C55">
        <w:rPr>
          <w:rFonts w:asciiTheme="minorHAnsi" w:hAnsiTheme="minorHAnsi" w:cstheme="minorHAnsi"/>
          <w:lang w:val="en-US"/>
        </w:rPr>
        <w:t>for factor nr = 3, which further justified the choice to compute two factors.</w:t>
      </w:r>
    </w:p>
    <w:p w14:paraId="1C9D29DD" w14:textId="545BD6B7" w:rsidR="009F0193" w:rsidRPr="00282C55" w:rsidRDefault="009F0193" w:rsidP="00282C55">
      <w:pPr>
        <w:spacing w:line="360" w:lineRule="auto"/>
        <w:jc w:val="center"/>
        <w:rPr>
          <w:rFonts w:asciiTheme="minorHAnsi" w:hAnsiTheme="minorHAnsi" w:cstheme="minorHAnsi"/>
          <w:lang w:val="en-US"/>
        </w:rPr>
      </w:pPr>
    </w:p>
    <w:p w14:paraId="62490D3C" w14:textId="278DA013" w:rsidR="009F0193" w:rsidRPr="00282C55" w:rsidRDefault="009F0193" w:rsidP="00282C55">
      <w:pPr>
        <w:spacing w:line="360" w:lineRule="auto"/>
        <w:jc w:val="center"/>
        <w:rPr>
          <w:rFonts w:asciiTheme="minorHAnsi" w:hAnsiTheme="minorHAnsi" w:cstheme="minorHAnsi"/>
          <w:lang w:val="en-US"/>
        </w:rPr>
      </w:pPr>
    </w:p>
    <w:p w14:paraId="7F42B43E" w14:textId="3D09A955" w:rsidR="009F0193" w:rsidRPr="00282C55" w:rsidRDefault="009F0193" w:rsidP="00282C55">
      <w:pPr>
        <w:spacing w:line="360" w:lineRule="auto"/>
        <w:jc w:val="center"/>
        <w:rPr>
          <w:rFonts w:asciiTheme="minorHAnsi" w:hAnsiTheme="minorHAnsi" w:cstheme="minorHAnsi"/>
          <w:lang w:val="en-US"/>
        </w:rPr>
      </w:pPr>
    </w:p>
    <w:p w14:paraId="36B1F0A1" w14:textId="636926A7" w:rsidR="009F0193" w:rsidRPr="00282C55" w:rsidRDefault="009F0193" w:rsidP="00282C55">
      <w:pPr>
        <w:spacing w:line="360" w:lineRule="auto"/>
        <w:jc w:val="center"/>
        <w:rPr>
          <w:rFonts w:asciiTheme="minorHAnsi" w:hAnsiTheme="minorHAnsi" w:cstheme="minorHAnsi"/>
          <w:lang w:val="en-US"/>
        </w:rPr>
      </w:pPr>
    </w:p>
    <w:p w14:paraId="53FCD086" w14:textId="64133B07" w:rsidR="009F0193" w:rsidRDefault="009F0193" w:rsidP="00282C55">
      <w:pPr>
        <w:spacing w:line="360" w:lineRule="auto"/>
        <w:jc w:val="center"/>
        <w:rPr>
          <w:rFonts w:asciiTheme="minorHAnsi" w:hAnsiTheme="minorHAnsi" w:cstheme="minorHAnsi"/>
          <w:lang w:val="en-US"/>
        </w:rPr>
      </w:pPr>
    </w:p>
    <w:p w14:paraId="50CC6005" w14:textId="4B8C8FE9" w:rsidR="00B15D6E" w:rsidRDefault="00B15D6E" w:rsidP="00282C55">
      <w:pPr>
        <w:spacing w:line="360" w:lineRule="auto"/>
        <w:jc w:val="center"/>
        <w:rPr>
          <w:rFonts w:asciiTheme="minorHAnsi" w:hAnsiTheme="minorHAnsi" w:cstheme="minorHAnsi"/>
          <w:lang w:val="en-US"/>
        </w:rPr>
      </w:pPr>
    </w:p>
    <w:p w14:paraId="6A79AD4B" w14:textId="58F9F34E" w:rsidR="00B15D6E" w:rsidRDefault="00B15D6E" w:rsidP="00282C55">
      <w:pPr>
        <w:spacing w:line="360" w:lineRule="auto"/>
        <w:jc w:val="center"/>
        <w:rPr>
          <w:rFonts w:asciiTheme="minorHAnsi" w:hAnsiTheme="minorHAnsi" w:cstheme="minorHAnsi"/>
          <w:lang w:val="en-US"/>
        </w:rPr>
      </w:pPr>
    </w:p>
    <w:p w14:paraId="07F7E81B" w14:textId="77777777" w:rsidR="00B15D6E" w:rsidRPr="00282C55" w:rsidRDefault="00B15D6E" w:rsidP="00282C55">
      <w:pPr>
        <w:spacing w:line="360" w:lineRule="auto"/>
        <w:jc w:val="center"/>
        <w:rPr>
          <w:rFonts w:asciiTheme="minorHAnsi" w:hAnsiTheme="minorHAnsi" w:cstheme="minorHAnsi"/>
          <w:lang w:val="en-US"/>
        </w:rPr>
      </w:pPr>
    </w:p>
    <w:p w14:paraId="7EC1425F" w14:textId="5B7BD47B" w:rsidR="00A00CA9" w:rsidRDefault="00A00CA9" w:rsidP="00282C55">
      <w:pPr>
        <w:spacing w:line="360" w:lineRule="auto"/>
        <w:jc w:val="center"/>
        <w:rPr>
          <w:rFonts w:asciiTheme="minorHAnsi" w:hAnsiTheme="minorHAnsi" w:cstheme="minorHAnsi"/>
          <w:lang w:val="en-US"/>
        </w:rPr>
      </w:pPr>
    </w:p>
    <w:p w14:paraId="38936121" w14:textId="22944905" w:rsidR="007270A1" w:rsidRDefault="007270A1" w:rsidP="00282C55">
      <w:pPr>
        <w:spacing w:line="360" w:lineRule="auto"/>
        <w:jc w:val="center"/>
        <w:rPr>
          <w:rFonts w:asciiTheme="minorHAnsi" w:hAnsiTheme="minorHAnsi" w:cstheme="minorHAnsi"/>
          <w:lang w:val="en-US"/>
        </w:rPr>
      </w:pPr>
    </w:p>
    <w:p w14:paraId="2DDF99A6" w14:textId="57203059" w:rsidR="009F0193" w:rsidRDefault="009F0193" w:rsidP="00224C0C">
      <w:pPr>
        <w:spacing w:line="360" w:lineRule="auto"/>
        <w:jc w:val="center"/>
        <w:rPr>
          <w:rFonts w:asciiTheme="minorHAnsi" w:hAnsiTheme="minorHAnsi" w:cstheme="minorHAnsi"/>
          <w:lang w:val="en-US"/>
        </w:rPr>
      </w:pPr>
      <w:r w:rsidRPr="00282C55">
        <w:rPr>
          <w:rFonts w:asciiTheme="minorHAnsi" w:hAnsiTheme="minorHAnsi" w:cstheme="minorHAnsi"/>
          <w:b/>
          <w:bCs/>
          <w:lang w:val="en-US"/>
        </w:rPr>
        <w:lastRenderedPageBreak/>
        <w:t>Figure S3.</w:t>
      </w:r>
      <w:r w:rsidRPr="00282C55">
        <w:rPr>
          <w:rFonts w:asciiTheme="minorHAnsi" w:hAnsiTheme="minorHAnsi" w:cstheme="minorHAnsi"/>
          <w:lang w:val="en-US"/>
        </w:rPr>
        <w:t xml:space="preserve"> Cluster plot of the two factors computed in the </w:t>
      </w:r>
      <w:proofErr w:type="spellStart"/>
      <w:r w:rsidRPr="00282C55">
        <w:rPr>
          <w:rFonts w:asciiTheme="minorHAnsi" w:hAnsiTheme="minorHAnsi" w:cstheme="minorHAnsi"/>
          <w:lang w:val="en-US"/>
        </w:rPr>
        <w:t>polychoric</w:t>
      </w:r>
      <w:proofErr w:type="spellEnd"/>
      <w:r w:rsidRPr="00282C55">
        <w:rPr>
          <w:rFonts w:asciiTheme="minorHAnsi" w:hAnsiTheme="minorHAnsi" w:cstheme="minorHAnsi"/>
          <w:lang w:val="en-US"/>
        </w:rPr>
        <w:t xml:space="preserve"> factor analysis</w:t>
      </w:r>
      <w:r w:rsidR="00EA5298">
        <w:rPr>
          <w:rFonts w:asciiTheme="minorHAnsi" w:hAnsiTheme="minorHAnsi" w:cstheme="minorHAnsi"/>
          <w:lang w:val="en-US"/>
        </w:rPr>
        <w:t>.</w:t>
      </w:r>
    </w:p>
    <w:p w14:paraId="2C985005" w14:textId="77777777" w:rsidR="007270A1" w:rsidRPr="00282C55" w:rsidRDefault="007270A1" w:rsidP="00224C0C">
      <w:pPr>
        <w:spacing w:line="360" w:lineRule="auto"/>
        <w:jc w:val="center"/>
        <w:rPr>
          <w:rFonts w:asciiTheme="minorHAnsi" w:hAnsiTheme="minorHAnsi" w:cstheme="minorHAnsi"/>
          <w:lang w:val="en-US"/>
        </w:rPr>
      </w:pPr>
    </w:p>
    <w:p w14:paraId="253010AF" w14:textId="44BBF676" w:rsidR="009F0193" w:rsidRPr="00282C55" w:rsidRDefault="009F0193" w:rsidP="00282C55">
      <w:pPr>
        <w:spacing w:line="360" w:lineRule="auto"/>
        <w:jc w:val="center"/>
        <w:rPr>
          <w:rFonts w:asciiTheme="minorHAnsi" w:hAnsiTheme="minorHAnsi" w:cstheme="minorHAnsi"/>
          <w:lang w:val="en-US"/>
        </w:rPr>
      </w:pPr>
      <w:r w:rsidRPr="00282C55">
        <w:rPr>
          <w:rFonts w:asciiTheme="minorHAnsi" w:hAnsiTheme="minorHAnsi" w:cstheme="minorHAnsi"/>
          <w:noProof/>
          <w:lang w:val="en-US"/>
        </w:rPr>
        <w:drawing>
          <wp:inline distT="0" distB="0" distL="0" distR="0" wp14:anchorId="38B6B9CE" wp14:editId="43C6DDBF">
            <wp:extent cx="5207000" cy="5732145"/>
            <wp:effectExtent l="19050" t="19050" r="12700" b="209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0" cy="5732145"/>
                    </a:xfrm>
                    <a:prstGeom prst="rect">
                      <a:avLst/>
                    </a:prstGeom>
                    <a:noFill/>
                    <a:ln>
                      <a:solidFill>
                        <a:schemeClr val="accent1"/>
                      </a:solidFill>
                    </a:ln>
                  </pic:spPr>
                </pic:pic>
              </a:graphicData>
            </a:graphic>
          </wp:inline>
        </w:drawing>
      </w:r>
    </w:p>
    <w:p w14:paraId="16EA55BE" w14:textId="1F27E698" w:rsidR="009F0193" w:rsidRPr="00282C55" w:rsidRDefault="009F0193" w:rsidP="00282C55">
      <w:pPr>
        <w:spacing w:line="360" w:lineRule="auto"/>
        <w:jc w:val="both"/>
        <w:rPr>
          <w:rFonts w:asciiTheme="minorHAnsi" w:hAnsiTheme="minorHAnsi" w:cstheme="minorHAnsi"/>
          <w:lang w:val="en-US"/>
        </w:rPr>
      </w:pPr>
      <w:r w:rsidRPr="00282C55">
        <w:rPr>
          <w:rFonts w:asciiTheme="minorHAnsi" w:hAnsiTheme="minorHAnsi" w:cstheme="minorHAnsi"/>
          <w:lang w:val="en-US"/>
        </w:rPr>
        <w:t xml:space="preserve">Here we report a visual display of the results of the </w:t>
      </w:r>
      <w:r w:rsidR="00EA5298">
        <w:rPr>
          <w:rFonts w:asciiTheme="minorHAnsi" w:hAnsiTheme="minorHAnsi" w:cstheme="minorHAnsi"/>
          <w:lang w:val="en-US"/>
        </w:rPr>
        <w:t>analysis</w:t>
      </w:r>
      <w:r w:rsidRPr="00282C55">
        <w:rPr>
          <w:rFonts w:asciiTheme="minorHAnsi" w:hAnsiTheme="minorHAnsi" w:cstheme="minorHAnsi"/>
          <w:lang w:val="en-US"/>
        </w:rPr>
        <w:t>. All loadings with an absolute value greater than 0.3 are represented as an edge. Factors showed a Pearson correlation of 0.72</w:t>
      </w:r>
      <w:r w:rsidR="007D0C29">
        <w:rPr>
          <w:rFonts w:asciiTheme="minorHAnsi" w:hAnsiTheme="minorHAnsi" w:cstheme="minorHAnsi"/>
          <w:lang w:val="en-US"/>
        </w:rPr>
        <w:t xml:space="preserve"> (since they were extracted through oblique rotation).</w:t>
      </w:r>
    </w:p>
    <w:p w14:paraId="4218781C" w14:textId="3E6EDB19" w:rsidR="009F0193" w:rsidRPr="00282C55" w:rsidRDefault="009F0193" w:rsidP="00282C55">
      <w:pPr>
        <w:spacing w:line="360" w:lineRule="auto"/>
        <w:jc w:val="both"/>
        <w:rPr>
          <w:rFonts w:asciiTheme="minorHAnsi" w:hAnsiTheme="minorHAnsi" w:cstheme="minorHAnsi"/>
          <w:lang w:val="en-US"/>
        </w:rPr>
      </w:pPr>
      <w:r w:rsidRPr="00282C55">
        <w:rPr>
          <w:rFonts w:asciiTheme="minorHAnsi" w:hAnsiTheme="minorHAnsi" w:cstheme="minorHAnsi"/>
          <w:lang w:val="en-US"/>
        </w:rPr>
        <w:t xml:space="preserve">Legend: MR1 = </w:t>
      </w:r>
      <w:r w:rsidR="00C5069E">
        <w:rPr>
          <w:rFonts w:asciiTheme="minorHAnsi" w:hAnsiTheme="minorHAnsi" w:cstheme="minorHAnsi"/>
          <w:lang w:val="en-US"/>
        </w:rPr>
        <w:t>“somatic” factor</w:t>
      </w:r>
      <w:r w:rsidRPr="00282C55">
        <w:rPr>
          <w:rFonts w:asciiTheme="minorHAnsi" w:hAnsiTheme="minorHAnsi" w:cstheme="minorHAnsi"/>
          <w:lang w:val="en-US"/>
        </w:rPr>
        <w:t xml:space="preserve">; MR2 = </w:t>
      </w:r>
      <w:r w:rsidR="00C5069E">
        <w:rPr>
          <w:rFonts w:asciiTheme="minorHAnsi" w:hAnsiTheme="minorHAnsi" w:cstheme="minorHAnsi"/>
          <w:lang w:val="en-US"/>
        </w:rPr>
        <w:t>“</w:t>
      </w:r>
      <w:r w:rsidRPr="00282C55">
        <w:rPr>
          <w:rFonts w:asciiTheme="minorHAnsi" w:hAnsiTheme="minorHAnsi" w:cstheme="minorHAnsi"/>
          <w:lang w:val="en-US"/>
        </w:rPr>
        <w:t>cognitive</w:t>
      </w:r>
      <w:r w:rsidR="00C5069E">
        <w:rPr>
          <w:rFonts w:asciiTheme="minorHAnsi" w:hAnsiTheme="minorHAnsi" w:cstheme="minorHAnsi"/>
          <w:lang w:val="en-US"/>
        </w:rPr>
        <w:t>”</w:t>
      </w:r>
      <w:r w:rsidRPr="00282C55">
        <w:rPr>
          <w:rFonts w:asciiTheme="minorHAnsi" w:hAnsiTheme="minorHAnsi" w:cstheme="minorHAnsi"/>
          <w:lang w:val="en-US"/>
        </w:rPr>
        <w:t xml:space="preserve"> </w:t>
      </w:r>
      <w:r w:rsidR="00C5069E">
        <w:rPr>
          <w:rFonts w:asciiTheme="minorHAnsi" w:hAnsiTheme="minorHAnsi" w:cstheme="minorHAnsi"/>
          <w:lang w:val="en-US"/>
        </w:rPr>
        <w:t>factor</w:t>
      </w:r>
      <w:r w:rsidRPr="00282C55">
        <w:rPr>
          <w:rFonts w:asciiTheme="minorHAnsi" w:hAnsiTheme="minorHAnsi" w:cstheme="minorHAnsi"/>
          <w:lang w:val="en-US"/>
        </w:rPr>
        <w:t xml:space="preserve">; item 1 = anhedonia; item 2 = low mood; item 3 = altered sleeping; item 4 = tiredness, low energy; item 5 = altered appetite/eating; item 7 = impaired concentration; item 8 = altered movements/speaking; item 9 = suicidal ideation. Note: feeling of failure </w:t>
      </w:r>
      <w:r w:rsidR="00024E06">
        <w:rPr>
          <w:rFonts w:asciiTheme="minorHAnsi" w:hAnsiTheme="minorHAnsi" w:cstheme="minorHAnsi"/>
          <w:lang w:val="en-US"/>
        </w:rPr>
        <w:t xml:space="preserve">(item 6) </w:t>
      </w:r>
      <w:r w:rsidRPr="00282C55">
        <w:rPr>
          <w:rFonts w:asciiTheme="minorHAnsi" w:hAnsiTheme="minorHAnsi" w:cstheme="minorHAnsi"/>
          <w:lang w:val="en-US"/>
        </w:rPr>
        <w:t>was not assessed and hence not included in the analysis.</w:t>
      </w:r>
    </w:p>
    <w:p w14:paraId="7B031192" w14:textId="2A6F1DB4" w:rsidR="00282C55" w:rsidRDefault="00282C55" w:rsidP="00282C55">
      <w:pPr>
        <w:spacing w:line="360" w:lineRule="auto"/>
        <w:jc w:val="both"/>
        <w:rPr>
          <w:rFonts w:asciiTheme="minorHAnsi" w:hAnsiTheme="minorHAnsi" w:cstheme="minorHAnsi"/>
          <w:b/>
          <w:bCs/>
          <w:lang w:val="en-US"/>
        </w:rPr>
      </w:pPr>
    </w:p>
    <w:p w14:paraId="03D357BD" w14:textId="24B48A7B" w:rsidR="00224C0C" w:rsidRDefault="00224C0C" w:rsidP="00282C55">
      <w:pPr>
        <w:spacing w:line="360" w:lineRule="auto"/>
        <w:jc w:val="both"/>
        <w:rPr>
          <w:rFonts w:asciiTheme="minorHAnsi" w:hAnsiTheme="minorHAnsi" w:cstheme="minorHAnsi"/>
          <w:b/>
          <w:bCs/>
          <w:lang w:val="en-US"/>
        </w:rPr>
      </w:pPr>
    </w:p>
    <w:p w14:paraId="16E70C93" w14:textId="7B44BA05" w:rsidR="007270A1" w:rsidRDefault="007270A1" w:rsidP="007270A1">
      <w:pPr>
        <w:spacing w:line="360" w:lineRule="auto"/>
        <w:jc w:val="center"/>
        <w:rPr>
          <w:rFonts w:asciiTheme="minorHAnsi" w:hAnsiTheme="minorHAnsi" w:cstheme="minorHAnsi"/>
          <w:b/>
          <w:bCs/>
          <w:lang w:val="en-US"/>
        </w:rPr>
      </w:pPr>
      <w:r>
        <w:rPr>
          <w:rFonts w:asciiTheme="minorHAnsi" w:hAnsiTheme="minorHAnsi" w:cstheme="minorHAnsi"/>
          <w:b/>
          <w:bCs/>
          <w:lang w:val="en-US"/>
        </w:rPr>
        <w:lastRenderedPageBreak/>
        <w:t>Figure S</w:t>
      </w:r>
      <w:r w:rsidR="007E2A9A">
        <w:rPr>
          <w:rFonts w:asciiTheme="minorHAnsi" w:hAnsiTheme="minorHAnsi" w:cstheme="minorHAnsi"/>
          <w:b/>
          <w:bCs/>
          <w:lang w:val="en-US"/>
        </w:rPr>
        <w:t>4</w:t>
      </w:r>
      <w:r>
        <w:rPr>
          <w:rFonts w:asciiTheme="minorHAnsi" w:hAnsiTheme="minorHAnsi" w:cstheme="minorHAnsi"/>
          <w:b/>
          <w:bCs/>
          <w:lang w:val="en-US"/>
        </w:rPr>
        <w:t>. Scatter plot of somatic depressive symptoms (MR1</w:t>
      </w:r>
      <w:r w:rsidR="00D45F4F">
        <w:rPr>
          <w:rFonts w:asciiTheme="minorHAnsi" w:hAnsiTheme="minorHAnsi" w:cstheme="minorHAnsi"/>
          <w:b/>
          <w:bCs/>
          <w:lang w:val="en-US"/>
        </w:rPr>
        <w:t>)</w:t>
      </w:r>
      <w:r>
        <w:rPr>
          <w:rFonts w:asciiTheme="minorHAnsi" w:hAnsiTheme="minorHAnsi" w:cstheme="minorHAnsi"/>
          <w:b/>
          <w:bCs/>
          <w:lang w:val="en-US"/>
        </w:rPr>
        <w:t xml:space="preserve"> factor vs DII.</w:t>
      </w:r>
    </w:p>
    <w:p w14:paraId="38DA1455" w14:textId="7F0B4A4C" w:rsidR="007270A1" w:rsidRDefault="007270A1" w:rsidP="007270A1">
      <w:pPr>
        <w:spacing w:line="360" w:lineRule="auto"/>
        <w:jc w:val="both"/>
        <w:rPr>
          <w:rFonts w:asciiTheme="minorHAnsi" w:hAnsiTheme="minorHAnsi" w:cstheme="minorHAnsi"/>
          <w:b/>
          <w:bCs/>
          <w:lang w:val="en-US"/>
        </w:rPr>
      </w:pPr>
      <w:r>
        <w:rPr>
          <w:rFonts w:asciiTheme="minorHAnsi" w:hAnsiTheme="minorHAnsi" w:cstheme="minorHAnsi"/>
          <w:b/>
          <w:bCs/>
          <w:lang w:val="en-US"/>
        </w:rPr>
        <w:t>a)</w:t>
      </w:r>
    </w:p>
    <w:p w14:paraId="214ACBCF" w14:textId="05D03F74" w:rsidR="007270A1" w:rsidRDefault="00B53CB9" w:rsidP="007270A1">
      <w:pPr>
        <w:spacing w:line="360" w:lineRule="auto"/>
        <w:jc w:val="center"/>
        <w:rPr>
          <w:rFonts w:asciiTheme="minorHAnsi" w:hAnsiTheme="minorHAnsi" w:cstheme="minorHAnsi"/>
          <w:b/>
          <w:bCs/>
          <w:lang w:val="en-US"/>
        </w:rPr>
      </w:pPr>
      <w:r>
        <w:rPr>
          <w:noProof/>
        </w:rPr>
        <w:drawing>
          <wp:inline distT="0" distB="0" distL="0" distR="0" wp14:anchorId="24C6A571" wp14:editId="506E3166">
            <wp:extent cx="4237200" cy="3859200"/>
            <wp:effectExtent l="19050" t="19050" r="11430" b="273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7200" cy="3859200"/>
                    </a:xfrm>
                    <a:prstGeom prst="rect">
                      <a:avLst/>
                    </a:prstGeom>
                    <a:noFill/>
                    <a:ln>
                      <a:solidFill>
                        <a:schemeClr val="accent1"/>
                      </a:solidFill>
                    </a:ln>
                  </pic:spPr>
                </pic:pic>
              </a:graphicData>
            </a:graphic>
          </wp:inline>
        </w:drawing>
      </w:r>
    </w:p>
    <w:p w14:paraId="31518A96" w14:textId="3B8BA925" w:rsidR="007270A1" w:rsidRDefault="007270A1" w:rsidP="007270A1">
      <w:pPr>
        <w:spacing w:line="360" w:lineRule="auto"/>
        <w:rPr>
          <w:rFonts w:asciiTheme="minorHAnsi" w:hAnsiTheme="minorHAnsi" w:cstheme="minorHAnsi"/>
          <w:b/>
          <w:bCs/>
          <w:lang w:val="en-US"/>
        </w:rPr>
      </w:pPr>
      <w:r>
        <w:rPr>
          <w:rFonts w:asciiTheme="minorHAnsi" w:hAnsiTheme="minorHAnsi" w:cstheme="minorHAnsi"/>
          <w:b/>
          <w:bCs/>
          <w:lang w:val="en-US"/>
        </w:rPr>
        <w:t>b)</w:t>
      </w:r>
    </w:p>
    <w:p w14:paraId="1568A269" w14:textId="3514F752" w:rsidR="007270A1" w:rsidRDefault="00B53CB9" w:rsidP="00B53CB9">
      <w:pPr>
        <w:spacing w:line="360" w:lineRule="auto"/>
        <w:jc w:val="center"/>
        <w:rPr>
          <w:rFonts w:asciiTheme="minorHAnsi" w:hAnsiTheme="minorHAnsi" w:cstheme="minorHAnsi"/>
          <w:b/>
          <w:bCs/>
          <w:lang w:val="en-US"/>
        </w:rPr>
      </w:pPr>
      <w:r>
        <w:rPr>
          <w:noProof/>
        </w:rPr>
        <w:drawing>
          <wp:inline distT="0" distB="0" distL="0" distR="0" wp14:anchorId="0BD88EA2" wp14:editId="345D9368">
            <wp:extent cx="4237200" cy="3859200"/>
            <wp:effectExtent l="19050" t="19050" r="11430" b="273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7200" cy="3859200"/>
                    </a:xfrm>
                    <a:prstGeom prst="rect">
                      <a:avLst/>
                    </a:prstGeom>
                    <a:noFill/>
                    <a:ln>
                      <a:solidFill>
                        <a:schemeClr val="accent1"/>
                      </a:solidFill>
                    </a:ln>
                  </pic:spPr>
                </pic:pic>
              </a:graphicData>
            </a:graphic>
          </wp:inline>
        </w:drawing>
      </w:r>
    </w:p>
    <w:p w14:paraId="64D89D6B" w14:textId="77777777" w:rsidR="00B95691" w:rsidRDefault="00B95691" w:rsidP="007270A1">
      <w:pPr>
        <w:spacing w:line="360" w:lineRule="auto"/>
        <w:rPr>
          <w:rFonts w:asciiTheme="minorHAnsi" w:hAnsiTheme="minorHAnsi" w:cstheme="minorHAnsi"/>
          <w:b/>
          <w:bCs/>
          <w:lang w:val="en-US"/>
        </w:rPr>
      </w:pPr>
    </w:p>
    <w:p w14:paraId="4D799040" w14:textId="1B9D769E" w:rsidR="007270A1" w:rsidRDefault="00B95691" w:rsidP="007270A1">
      <w:pPr>
        <w:spacing w:line="360" w:lineRule="auto"/>
        <w:rPr>
          <w:rFonts w:asciiTheme="minorHAnsi" w:hAnsiTheme="minorHAnsi" w:cstheme="minorHAnsi"/>
          <w:b/>
          <w:bCs/>
          <w:lang w:val="en-US"/>
        </w:rPr>
      </w:pPr>
      <w:r>
        <w:rPr>
          <w:rFonts w:asciiTheme="minorHAnsi" w:hAnsiTheme="minorHAnsi" w:cstheme="minorHAnsi"/>
          <w:b/>
          <w:bCs/>
          <w:lang w:val="en-US"/>
        </w:rPr>
        <w:lastRenderedPageBreak/>
        <w:t>c</w:t>
      </w:r>
      <w:r w:rsidR="007270A1">
        <w:rPr>
          <w:rFonts w:asciiTheme="minorHAnsi" w:hAnsiTheme="minorHAnsi" w:cstheme="minorHAnsi"/>
          <w:b/>
          <w:bCs/>
          <w:lang w:val="en-US"/>
        </w:rPr>
        <w:t>)</w:t>
      </w:r>
    </w:p>
    <w:p w14:paraId="02DC4326" w14:textId="76456786" w:rsidR="00B95691" w:rsidRDefault="00B53CB9" w:rsidP="00B95691">
      <w:pPr>
        <w:spacing w:line="360" w:lineRule="auto"/>
        <w:jc w:val="center"/>
        <w:rPr>
          <w:rFonts w:asciiTheme="minorHAnsi" w:hAnsiTheme="minorHAnsi" w:cstheme="minorHAnsi"/>
          <w:b/>
          <w:bCs/>
          <w:lang w:val="en-US"/>
        </w:rPr>
      </w:pPr>
      <w:r>
        <w:rPr>
          <w:noProof/>
        </w:rPr>
        <w:drawing>
          <wp:inline distT="0" distB="0" distL="0" distR="0" wp14:anchorId="48C0AC76" wp14:editId="502A04A4">
            <wp:extent cx="4705350" cy="4286250"/>
            <wp:effectExtent l="19050" t="19050" r="19050" b="190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5350" cy="4286250"/>
                    </a:xfrm>
                    <a:prstGeom prst="rect">
                      <a:avLst/>
                    </a:prstGeom>
                    <a:noFill/>
                    <a:ln>
                      <a:solidFill>
                        <a:schemeClr val="accent1"/>
                      </a:solidFill>
                    </a:ln>
                  </pic:spPr>
                </pic:pic>
              </a:graphicData>
            </a:graphic>
          </wp:inline>
        </w:drawing>
      </w:r>
    </w:p>
    <w:p w14:paraId="2A70FE92" w14:textId="38A45DC8" w:rsidR="00B95691" w:rsidRDefault="00B95691" w:rsidP="00B95691">
      <w:pPr>
        <w:spacing w:line="360" w:lineRule="auto"/>
        <w:jc w:val="center"/>
        <w:rPr>
          <w:rFonts w:asciiTheme="minorHAnsi" w:hAnsiTheme="minorHAnsi" w:cstheme="minorHAnsi"/>
          <w:b/>
          <w:bCs/>
          <w:lang w:val="en-US"/>
        </w:rPr>
      </w:pPr>
    </w:p>
    <w:p w14:paraId="49327A71" w14:textId="32B606DC" w:rsidR="00B95691" w:rsidRPr="009D0064" w:rsidRDefault="00B95691" w:rsidP="00B95691">
      <w:pPr>
        <w:spacing w:line="360" w:lineRule="auto"/>
        <w:jc w:val="both"/>
        <w:rPr>
          <w:rFonts w:asciiTheme="minorHAnsi" w:hAnsiTheme="minorHAnsi" w:cstheme="minorHAnsi"/>
          <w:lang w:val="en-US"/>
        </w:rPr>
      </w:pPr>
      <w:r w:rsidRPr="009D0064">
        <w:rPr>
          <w:rFonts w:asciiTheme="minorHAnsi" w:hAnsiTheme="minorHAnsi" w:cstheme="minorHAnsi"/>
          <w:lang w:val="en-US"/>
        </w:rPr>
        <w:t xml:space="preserve">Linear interpolation of data is reported for </w:t>
      </w:r>
      <w:r w:rsidRPr="009D0064">
        <w:rPr>
          <w:rFonts w:asciiTheme="minorHAnsi" w:hAnsiTheme="minorHAnsi" w:cstheme="minorHAnsi"/>
          <w:b/>
          <w:bCs/>
          <w:lang w:val="en-US"/>
        </w:rPr>
        <w:t>a)</w:t>
      </w:r>
      <w:r w:rsidRPr="009D0064">
        <w:rPr>
          <w:rFonts w:asciiTheme="minorHAnsi" w:hAnsiTheme="minorHAnsi" w:cstheme="minorHAnsi"/>
          <w:lang w:val="en-US"/>
        </w:rPr>
        <w:t xml:space="preserve"> the total sample (N=13,301), </w:t>
      </w:r>
      <w:r>
        <w:rPr>
          <w:rFonts w:asciiTheme="minorHAnsi" w:hAnsiTheme="minorHAnsi" w:cstheme="minorHAnsi"/>
          <w:b/>
          <w:bCs/>
          <w:lang w:val="en-US"/>
        </w:rPr>
        <w:t>b</w:t>
      </w:r>
      <w:r w:rsidRPr="009D0064">
        <w:rPr>
          <w:rFonts w:asciiTheme="minorHAnsi" w:hAnsiTheme="minorHAnsi" w:cstheme="minorHAnsi"/>
          <w:b/>
          <w:bCs/>
          <w:lang w:val="en-US"/>
        </w:rPr>
        <w:t>)</w:t>
      </w:r>
      <w:r w:rsidRPr="009D0064">
        <w:rPr>
          <w:rFonts w:asciiTheme="minorHAnsi" w:hAnsiTheme="minorHAnsi" w:cstheme="minorHAnsi"/>
          <w:lang w:val="en-US"/>
        </w:rPr>
        <w:t xml:space="preserve"> </w:t>
      </w:r>
      <w:r w:rsidR="00D45F4F">
        <w:rPr>
          <w:rFonts w:asciiTheme="minorHAnsi" w:hAnsiTheme="minorHAnsi" w:cstheme="minorHAnsi"/>
          <w:lang w:val="en-US"/>
        </w:rPr>
        <w:t xml:space="preserve">separate </w:t>
      </w:r>
      <w:r w:rsidRPr="009D0064">
        <w:rPr>
          <w:rFonts w:asciiTheme="minorHAnsi" w:hAnsiTheme="minorHAnsi" w:cstheme="minorHAnsi"/>
          <w:lang w:val="en-US"/>
        </w:rPr>
        <w:t xml:space="preserve">genders and </w:t>
      </w:r>
      <w:r>
        <w:rPr>
          <w:rFonts w:asciiTheme="minorHAnsi" w:hAnsiTheme="minorHAnsi" w:cstheme="minorHAnsi"/>
          <w:b/>
          <w:bCs/>
          <w:lang w:val="en-US"/>
        </w:rPr>
        <w:t>c</w:t>
      </w:r>
      <w:r w:rsidRPr="009D0064">
        <w:rPr>
          <w:rFonts w:asciiTheme="minorHAnsi" w:hAnsiTheme="minorHAnsi" w:cstheme="minorHAnsi"/>
          <w:b/>
          <w:bCs/>
          <w:lang w:val="en-US"/>
        </w:rPr>
        <w:t>)</w:t>
      </w:r>
      <w:r w:rsidRPr="009D0064">
        <w:rPr>
          <w:rFonts w:asciiTheme="minorHAnsi" w:hAnsiTheme="minorHAnsi" w:cstheme="minorHAnsi"/>
          <w:lang w:val="en-US"/>
        </w:rPr>
        <w:t xml:space="preserve"> </w:t>
      </w:r>
      <w:r>
        <w:rPr>
          <w:rFonts w:asciiTheme="minorHAnsi" w:hAnsiTheme="minorHAnsi" w:cstheme="minorHAnsi"/>
          <w:lang w:val="en-US"/>
        </w:rPr>
        <w:t xml:space="preserve">prevalent </w:t>
      </w:r>
      <w:r w:rsidRPr="009D0064">
        <w:rPr>
          <w:rFonts w:asciiTheme="minorHAnsi" w:hAnsiTheme="minorHAnsi" w:cstheme="minorHAnsi"/>
          <w:lang w:val="en-US"/>
        </w:rPr>
        <w:t>health condition</w:t>
      </w:r>
      <w:r>
        <w:rPr>
          <w:rFonts w:asciiTheme="minorHAnsi" w:hAnsiTheme="minorHAnsi" w:cstheme="minorHAnsi"/>
          <w:lang w:val="en-US"/>
        </w:rPr>
        <w:t xml:space="preserve">s or </w:t>
      </w:r>
      <w:r w:rsidRPr="009D0064">
        <w:rPr>
          <w:rFonts w:asciiTheme="minorHAnsi" w:hAnsiTheme="minorHAnsi" w:cstheme="minorHAnsi"/>
          <w:lang w:val="en-US"/>
        </w:rPr>
        <w:t>use of antidepressants, along with their 95% Confidence Interval (grey shade).</w:t>
      </w:r>
      <w:r>
        <w:rPr>
          <w:rFonts w:asciiTheme="minorHAnsi" w:hAnsiTheme="minorHAnsi" w:cstheme="minorHAnsi"/>
          <w:lang w:val="en-US"/>
        </w:rPr>
        <w:t xml:space="preserve"> Multimorbidity was defined as meeting two or more of the other conditions.</w:t>
      </w:r>
    </w:p>
    <w:p w14:paraId="14AEA457" w14:textId="0AE3598D" w:rsidR="00B95691" w:rsidRDefault="00B95691" w:rsidP="00B95691">
      <w:pPr>
        <w:spacing w:line="360" w:lineRule="auto"/>
        <w:jc w:val="center"/>
        <w:rPr>
          <w:rFonts w:asciiTheme="minorHAnsi" w:hAnsiTheme="minorHAnsi" w:cstheme="minorHAnsi"/>
          <w:b/>
          <w:bCs/>
          <w:lang w:val="en-US"/>
        </w:rPr>
      </w:pPr>
    </w:p>
    <w:p w14:paraId="4EEF35B0" w14:textId="49EB7502" w:rsidR="00B95691" w:rsidRDefault="00B95691" w:rsidP="00B95691">
      <w:pPr>
        <w:spacing w:line="360" w:lineRule="auto"/>
        <w:jc w:val="center"/>
        <w:rPr>
          <w:rFonts w:asciiTheme="minorHAnsi" w:hAnsiTheme="minorHAnsi" w:cstheme="minorHAnsi"/>
          <w:b/>
          <w:bCs/>
          <w:lang w:val="en-US"/>
        </w:rPr>
      </w:pPr>
    </w:p>
    <w:p w14:paraId="68F49FEC" w14:textId="0BA8048B" w:rsidR="00B95691" w:rsidRDefault="00B95691" w:rsidP="00B95691">
      <w:pPr>
        <w:spacing w:line="360" w:lineRule="auto"/>
        <w:jc w:val="center"/>
        <w:rPr>
          <w:rFonts w:asciiTheme="minorHAnsi" w:hAnsiTheme="minorHAnsi" w:cstheme="minorHAnsi"/>
          <w:b/>
          <w:bCs/>
          <w:lang w:val="en-US"/>
        </w:rPr>
      </w:pPr>
    </w:p>
    <w:p w14:paraId="47C2F9E0" w14:textId="1DF8D4C1" w:rsidR="00B95691" w:rsidRDefault="00B95691" w:rsidP="00B95691">
      <w:pPr>
        <w:spacing w:line="360" w:lineRule="auto"/>
        <w:jc w:val="center"/>
        <w:rPr>
          <w:rFonts w:asciiTheme="minorHAnsi" w:hAnsiTheme="minorHAnsi" w:cstheme="minorHAnsi"/>
          <w:b/>
          <w:bCs/>
          <w:lang w:val="en-US"/>
        </w:rPr>
      </w:pPr>
    </w:p>
    <w:p w14:paraId="6E06A370" w14:textId="0FB8E9CA" w:rsidR="00B95691" w:rsidRDefault="00B95691" w:rsidP="00B95691">
      <w:pPr>
        <w:spacing w:line="360" w:lineRule="auto"/>
        <w:jc w:val="center"/>
        <w:rPr>
          <w:rFonts w:asciiTheme="minorHAnsi" w:hAnsiTheme="minorHAnsi" w:cstheme="minorHAnsi"/>
          <w:b/>
          <w:bCs/>
          <w:lang w:val="en-US"/>
        </w:rPr>
      </w:pPr>
    </w:p>
    <w:p w14:paraId="43EDA5A7" w14:textId="0EF8C526" w:rsidR="00B95691" w:rsidRDefault="00B95691" w:rsidP="00B95691">
      <w:pPr>
        <w:spacing w:line="360" w:lineRule="auto"/>
        <w:jc w:val="center"/>
        <w:rPr>
          <w:rFonts w:asciiTheme="minorHAnsi" w:hAnsiTheme="minorHAnsi" w:cstheme="minorHAnsi"/>
          <w:b/>
          <w:bCs/>
          <w:lang w:val="en-US"/>
        </w:rPr>
      </w:pPr>
    </w:p>
    <w:p w14:paraId="78AFEF3C" w14:textId="1079C5FD" w:rsidR="00B95691" w:rsidRDefault="00B95691" w:rsidP="00B95691">
      <w:pPr>
        <w:spacing w:line="360" w:lineRule="auto"/>
        <w:jc w:val="center"/>
        <w:rPr>
          <w:rFonts w:asciiTheme="minorHAnsi" w:hAnsiTheme="minorHAnsi" w:cstheme="minorHAnsi"/>
          <w:b/>
          <w:bCs/>
          <w:lang w:val="en-US"/>
        </w:rPr>
      </w:pPr>
    </w:p>
    <w:p w14:paraId="2AAD31AF" w14:textId="5157D7F2" w:rsidR="00B95691" w:rsidRDefault="00B95691" w:rsidP="00B95691">
      <w:pPr>
        <w:spacing w:line="360" w:lineRule="auto"/>
        <w:jc w:val="center"/>
        <w:rPr>
          <w:rFonts w:asciiTheme="minorHAnsi" w:hAnsiTheme="minorHAnsi" w:cstheme="minorHAnsi"/>
          <w:b/>
          <w:bCs/>
          <w:lang w:val="en-US"/>
        </w:rPr>
      </w:pPr>
    </w:p>
    <w:p w14:paraId="320442CB" w14:textId="68834474" w:rsidR="00B95691" w:rsidRDefault="00B95691" w:rsidP="00B95691">
      <w:pPr>
        <w:spacing w:line="360" w:lineRule="auto"/>
        <w:jc w:val="center"/>
        <w:rPr>
          <w:rFonts w:asciiTheme="minorHAnsi" w:hAnsiTheme="minorHAnsi" w:cstheme="minorHAnsi"/>
          <w:b/>
          <w:bCs/>
          <w:lang w:val="en-US"/>
        </w:rPr>
      </w:pPr>
    </w:p>
    <w:p w14:paraId="0EE606C3" w14:textId="299E1A8B" w:rsidR="00B95691" w:rsidRDefault="00B95691" w:rsidP="00B95691">
      <w:pPr>
        <w:spacing w:line="360" w:lineRule="auto"/>
        <w:jc w:val="center"/>
        <w:rPr>
          <w:rFonts w:asciiTheme="minorHAnsi" w:hAnsiTheme="minorHAnsi" w:cstheme="minorHAnsi"/>
          <w:b/>
          <w:bCs/>
          <w:lang w:val="en-US"/>
        </w:rPr>
      </w:pPr>
    </w:p>
    <w:p w14:paraId="316D06B6" w14:textId="3EA74125" w:rsidR="00B95691" w:rsidRDefault="00B95691" w:rsidP="00B95691">
      <w:pPr>
        <w:spacing w:line="360" w:lineRule="auto"/>
        <w:jc w:val="center"/>
        <w:rPr>
          <w:rFonts w:asciiTheme="minorHAnsi" w:hAnsiTheme="minorHAnsi" w:cstheme="minorHAnsi"/>
          <w:b/>
          <w:bCs/>
          <w:lang w:val="en-US"/>
        </w:rPr>
      </w:pPr>
    </w:p>
    <w:p w14:paraId="317AF7CB" w14:textId="5580E7EF" w:rsidR="00B95691" w:rsidRDefault="00B95691" w:rsidP="00B95691">
      <w:pPr>
        <w:spacing w:line="360" w:lineRule="auto"/>
        <w:jc w:val="center"/>
        <w:rPr>
          <w:rFonts w:asciiTheme="minorHAnsi" w:hAnsiTheme="minorHAnsi" w:cstheme="minorHAnsi"/>
          <w:b/>
          <w:bCs/>
          <w:lang w:val="en-US"/>
        </w:rPr>
      </w:pPr>
    </w:p>
    <w:p w14:paraId="173E45F4" w14:textId="712B7BAE" w:rsidR="00B95691" w:rsidRDefault="00B95691" w:rsidP="00B95691">
      <w:pPr>
        <w:spacing w:line="360" w:lineRule="auto"/>
        <w:jc w:val="center"/>
        <w:rPr>
          <w:rFonts w:asciiTheme="minorHAnsi" w:hAnsiTheme="minorHAnsi" w:cstheme="minorHAnsi"/>
          <w:b/>
          <w:bCs/>
          <w:lang w:val="en-US"/>
        </w:rPr>
      </w:pPr>
      <w:r>
        <w:rPr>
          <w:rFonts w:asciiTheme="minorHAnsi" w:hAnsiTheme="minorHAnsi" w:cstheme="minorHAnsi"/>
          <w:b/>
          <w:bCs/>
          <w:lang w:val="en-US"/>
        </w:rPr>
        <w:lastRenderedPageBreak/>
        <w:t>Figure S</w:t>
      </w:r>
      <w:r w:rsidR="007E2A9A">
        <w:rPr>
          <w:rFonts w:asciiTheme="minorHAnsi" w:hAnsiTheme="minorHAnsi" w:cstheme="minorHAnsi"/>
          <w:b/>
          <w:bCs/>
          <w:lang w:val="en-US"/>
        </w:rPr>
        <w:t>5</w:t>
      </w:r>
      <w:r>
        <w:rPr>
          <w:rFonts w:asciiTheme="minorHAnsi" w:hAnsiTheme="minorHAnsi" w:cstheme="minorHAnsi"/>
          <w:b/>
          <w:bCs/>
          <w:lang w:val="en-US"/>
        </w:rPr>
        <w:t>. Scatter plot of cognitive depressive symptoms (MR2</w:t>
      </w:r>
      <w:r w:rsidR="00D45F4F">
        <w:rPr>
          <w:rFonts w:asciiTheme="minorHAnsi" w:hAnsiTheme="minorHAnsi" w:cstheme="minorHAnsi"/>
          <w:b/>
          <w:bCs/>
          <w:lang w:val="en-US"/>
        </w:rPr>
        <w:t>)</w:t>
      </w:r>
      <w:r>
        <w:rPr>
          <w:rFonts w:asciiTheme="minorHAnsi" w:hAnsiTheme="minorHAnsi" w:cstheme="minorHAnsi"/>
          <w:b/>
          <w:bCs/>
          <w:lang w:val="en-US"/>
        </w:rPr>
        <w:t xml:space="preserve"> factor vs DII.</w:t>
      </w:r>
    </w:p>
    <w:p w14:paraId="4D4E96B6" w14:textId="51D5FCB5" w:rsidR="00B95691" w:rsidRDefault="00B95691" w:rsidP="00B95691">
      <w:pPr>
        <w:spacing w:line="360" w:lineRule="auto"/>
        <w:jc w:val="both"/>
        <w:rPr>
          <w:rFonts w:asciiTheme="minorHAnsi" w:hAnsiTheme="minorHAnsi" w:cstheme="minorHAnsi"/>
          <w:b/>
          <w:bCs/>
          <w:lang w:val="en-US"/>
        </w:rPr>
      </w:pPr>
      <w:r>
        <w:rPr>
          <w:rFonts w:asciiTheme="minorHAnsi" w:hAnsiTheme="minorHAnsi" w:cstheme="minorHAnsi"/>
          <w:b/>
          <w:bCs/>
          <w:lang w:val="en-US"/>
        </w:rPr>
        <w:t>a)</w:t>
      </w:r>
    </w:p>
    <w:p w14:paraId="4B9FCF1A" w14:textId="4A672BDE" w:rsidR="007270A1" w:rsidRDefault="00D93750" w:rsidP="007270A1">
      <w:pPr>
        <w:spacing w:line="360" w:lineRule="auto"/>
        <w:jc w:val="center"/>
        <w:rPr>
          <w:rFonts w:asciiTheme="minorHAnsi" w:hAnsiTheme="minorHAnsi" w:cstheme="minorHAnsi"/>
          <w:b/>
          <w:bCs/>
          <w:lang w:val="en-US"/>
        </w:rPr>
      </w:pPr>
      <w:r>
        <w:rPr>
          <w:noProof/>
        </w:rPr>
        <w:drawing>
          <wp:inline distT="0" distB="0" distL="0" distR="0" wp14:anchorId="6FEDD1FA" wp14:editId="257229E4">
            <wp:extent cx="4237200" cy="3859200"/>
            <wp:effectExtent l="19050" t="19050" r="11430" b="273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7200" cy="3859200"/>
                    </a:xfrm>
                    <a:prstGeom prst="rect">
                      <a:avLst/>
                    </a:prstGeom>
                    <a:noFill/>
                    <a:ln>
                      <a:solidFill>
                        <a:schemeClr val="accent1"/>
                      </a:solidFill>
                    </a:ln>
                  </pic:spPr>
                </pic:pic>
              </a:graphicData>
            </a:graphic>
          </wp:inline>
        </w:drawing>
      </w:r>
    </w:p>
    <w:p w14:paraId="3BA8D792" w14:textId="77777777" w:rsidR="00D93750" w:rsidRDefault="00D93750" w:rsidP="00B95691">
      <w:pPr>
        <w:spacing w:line="360" w:lineRule="auto"/>
        <w:jc w:val="both"/>
        <w:rPr>
          <w:rFonts w:asciiTheme="minorHAnsi" w:hAnsiTheme="minorHAnsi" w:cstheme="minorHAnsi"/>
          <w:b/>
          <w:bCs/>
          <w:lang w:val="en-US"/>
        </w:rPr>
      </w:pPr>
    </w:p>
    <w:p w14:paraId="524E857A" w14:textId="27BDE938" w:rsidR="007270A1" w:rsidRDefault="00B95691" w:rsidP="00B95691">
      <w:pPr>
        <w:spacing w:line="360" w:lineRule="auto"/>
        <w:jc w:val="both"/>
        <w:rPr>
          <w:rFonts w:asciiTheme="minorHAnsi" w:hAnsiTheme="minorHAnsi" w:cstheme="minorHAnsi"/>
          <w:b/>
          <w:bCs/>
          <w:lang w:val="en-US"/>
        </w:rPr>
      </w:pPr>
      <w:r>
        <w:rPr>
          <w:rFonts w:asciiTheme="minorHAnsi" w:hAnsiTheme="minorHAnsi" w:cstheme="minorHAnsi"/>
          <w:b/>
          <w:bCs/>
          <w:lang w:val="en-US"/>
        </w:rPr>
        <w:t>b</w:t>
      </w:r>
      <w:r w:rsidR="007270A1">
        <w:rPr>
          <w:rFonts w:asciiTheme="minorHAnsi" w:hAnsiTheme="minorHAnsi" w:cstheme="minorHAnsi"/>
          <w:b/>
          <w:bCs/>
          <w:lang w:val="en-US"/>
        </w:rPr>
        <w:t>)</w:t>
      </w:r>
    </w:p>
    <w:p w14:paraId="29637ACE" w14:textId="49FF532F" w:rsidR="007270A1" w:rsidRDefault="00ED44CD" w:rsidP="00ED44CD">
      <w:pPr>
        <w:spacing w:line="360" w:lineRule="auto"/>
        <w:jc w:val="center"/>
        <w:rPr>
          <w:rFonts w:asciiTheme="minorHAnsi" w:hAnsiTheme="minorHAnsi" w:cstheme="minorHAnsi"/>
          <w:b/>
          <w:bCs/>
          <w:lang w:val="en-US"/>
        </w:rPr>
      </w:pPr>
      <w:r>
        <w:rPr>
          <w:noProof/>
        </w:rPr>
        <w:drawing>
          <wp:inline distT="0" distB="0" distL="0" distR="0" wp14:anchorId="038547FF" wp14:editId="21C847CD">
            <wp:extent cx="4237200" cy="3859200"/>
            <wp:effectExtent l="19050" t="19050" r="11430" b="273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7200" cy="3859200"/>
                    </a:xfrm>
                    <a:prstGeom prst="rect">
                      <a:avLst/>
                    </a:prstGeom>
                    <a:noFill/>
                    <a:ln>
                      <a:solidFill>
                        <a:schemeClr val="accent1"/>
                      </a:solidFill>
                    </a:ln>
                  </pic:spPr>
                </pic:pic>
              </a:graphicData>
            </a:graphic>
          </wp:inline>
        </w:drawing>
      </w:r>
    </w:p>
    <w:p w14:paraId="5FDF87B0" w14:textId="77777777" w:rsidR="00B95691" w:rsidRDefault="00B95691" w:rsidP="00B95691">
      <w:pPr>
        <w:spacing w:line="360" w:lineRule="auto"/>
        <w:jc w:val="both"/>
        <w:rPr>
          <w:rFonts w:asciiTheme="minorHAnsi" w:hAnsiTheme="minorHAnsi" w:cstheme="minorHAnsi"/>
          <w:b/>
          <w:bCs/>
          <w:lang w:val="en-US"/>
        </w:rPr>
      </w:pPr>
      <w:r>
        <w:rPr>
          <w:rFonts w:asciiTheme="minorHAnsi" w:hAnsiTheme="minorHAnsi" w:cstheme="minorHAnsi"/>
          <w:b/>
          <w:bCs/>
          <w:lang w:val="en-US"/>
        </w:rPr>
        <w:lastRenderedPageBreak/>
        <w:t>c)</w:t>
      </w:r>
    </w:p>
    <w:p w14:paraId="52F6EAED" w14:textId="31085115" w:rsidR="007270A1" w:rsidRDefault="00D93750" w:rsidP="00D93750">
      <w:pPr>
        <w:spacing w:line="360" w:lineRule="auto"/>
        <w:jc w:val="center"/>
        <w:rPr>
          <w:rFonts w:asciiTheme="minorHAnsi" w:hAnsiTheme="minorHAnsi" w:cstheme="minorHAnsi"/>
          <w:b/>
          <w:bCs/>
          <w:lang w:val="en-US"/>
        </w:rPr>
      </w:pPr>
      <w:r>
        <w:rPr>
          <w:noProof/>
        </w:rPr>
        <w:drawing>
          <wp:inline distT="0" distB="0" distL="0" distR="0" wp14:anchorId="5F4C0642" wp14:editId="5F376AA1">
            <wp:extent cx="4705350" cy="4286250"/>
            <wp:effectExtent l="19050" t="19050" r="19050" b="190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05350" cy="4286250"/>
                    </a:xfrm>
                    <a:prstGeom prst="rect">
                      <a:avLst/>
                    </a:prstGeom>
                    <a:noFill/>
                    <a:ln>
                      <a:solidFill>
                        <a:schemeClr val="accent1"/>
                      </a:solidFill>
                    </a:ln>
                  </pic:spPr>
                </pic:pic>
              </a:graphicData>
            </a:graphic>
          </wp:inline>
        </w:drawing>
      </w:r>
    </w:p>
    <w:p w14:paraId="659F6D92" w14:textId="77777777" w:rsidR="007270A1" w:rsidRDefault="007270A1" w:rsidP="007270A1">
      <w:pPr>
        <w:spacing w:line="360" w:lineRule="auto"/>
        <w:jc w:val="both"/>
        <w:rPr>
          <w:rFonts w:asciiTheme="minorHAnsi" w:hAnsiTheme="minorHAnsi" w:cstheme="minorHAnsi"/>
          <w:b/>
          <w:bCs/>
          <w:lang w:val="en-US"/>
        </w:rPr>
      </w:pPr>
    </w:p>
    <w:p w14:paraId="160A3EBA" w14:textId="74E22326" w:rsidR="00862E95" w:rsidRPr="00B95691" w:rsidRDefault="00B95691" w:rsidP="00862E95">
      <w:pPr>
        <w:spacing w:line="360" w:lineRule="auto"/>
        <w:jc w:val="both"/>
        <w:rPr>
          <w:rFonts w:asciiTheme="minorHAnsi" w:hAnsiTheme="minorHAnsi" w:cstheme="minorHAnsi"/>
          <w:lang w:val="en-US"/>
        </w:rPr>
      </w:pPr>
      <w:r w:rsidRPr="009D0064">
        <w:rPr>
          <w:rFonts w:asciiTheme="minorHAnsi" w:hAnsiTheme="minorHAnsi" w:cstheme="minorHAnsi"/>
          <w:lang w:val="en-US"/>
        </w:rPr>
        <w:t xml:space="preserve">Linear interpolation of data is reported for </w:t>
      </w:r>
      <w:r w:rsidRPr="009D0064">
        <w:rPr>
          <w:rFonts w:asciiTheme="minorHAnsi" w:hAnsiTheme="minorHAnsi" w:cstheme="minorHAnsi"/>
          <w:b/>
          <w:bCs/>
          <w:lang w:val="en-US"/>
        </w:rPr>
        <w:t>a)</w:t>
      </w:r>
      <w:r w:rsidRPr="009D0064">
        <w:rPr>
          <w:rFonts w:asciiTheme="minorHAnsi" w:hAnsiTheme="minorHAnsi" w:cstheme="minorHAnsi"/>
          <w:lang w:val="en-US"/>
        </w:rPr>
        <w:t xml:space="preserve"> the total sample (N=13,301), </w:t>
      </w:r>
      <w:r>
        <w:rPr>
          <w:rFonts w:asciiTheme="minorHAnsi" w:hAnsiTheme="minorHAnsi" w:cstheme="minorHAnsi"/>
          <w:b/>
          <w:bCs/>
          <w:lang w:val="en-US"/>
        </w:rPr>
        <w:t>b</w:t>
      </w:r>
      <w:r w:rsidRPr="009D0064">
        <w:rPr>
          <w:rFonts w:asciiTheme="minorHAnsi" w:hAnsiTheme="minorHAnsi" w:cstheme="minorHAnsi"/>
          <w:b/>
          <w:bCs/>
          <w:lang w:val="en-US"/>
        </w:rPr>
        <w:t>)</w:t>
      </w:r>
      <w:r w:rsidRPr="009D0064">
        <w:rPr>
          <w:rFonts w:asciiTheme="minorHAnsi" w:hAnsiTheme="minorHAnsi" w:cstheme="minorHAnsi"/>
          <w:lang w:val="en-US"/>
        </w:rPr>
        <w:t xml:space="preserve"> </w:t>
      </w:r>
      <w:r w:rsidR="00D45F4F">
        <w:rPr>
          <w:rFonts w:asciiTheme="minorHAnsi" w:hAnsiTheme="minorHAnsi" w:cstheme="minorHAnsi"/>
          <w:lang w:val="en-US"/>
        </w:rPr>
        <w:t xml:space="preserve">separate </w:t>
      </w:r>
      <w:r w:rsidRPr="009D0064">
        <w:rPr>
          <w:rFonts w:asciiTheme="minorHAnsi" w:hAnsiTheme="minorHAnsi" w:cstheme="minorHAnsi"/>
          <w:lang w:val="en-US"/>
        </w:rPr>
        <w:t xml:space="preserve">genders and </w:t>
      </w:r>
      <w:r>
        <w:rPr>
          <w:rFonts w:asciiTheme="minorHAnsi" w:hAnsiTheme="minorHAnsi" w:cstheme="minorHAnsi"/>
          <w:b/>
          <w:bCs/>
          <w:lang w:val="en-US"/>
        </w:rPr>
        <w:t>c</w:t>
      </w:r>
      <w:r w:rsidRPr="009D0064">
        <w:rPr>
          <w:rFonts w:asciiTheme="minorHAnsi" w:hAnsiTheme="minorHAnsi" w:cstheme="minorHAnsi"/>
          <w:b/>
          <w:bCs/>
          <w:lang w:val="en-US"/>
        </w:rPr>
        <w:t>)</w:t>
      </w:r>
      <w:r w:rsidRPr="009D0064">
        <w:rPr>
          <w:rFonts w:asciiTheme="minorHAnsi" w:hAnsiTheme="minorHAnsi" w:cstheme="minorHAnsi"/>
          <w:lang w:val="en-US"/>
        </w:rPr>
        <w:t xml:space="preserve"> </w:t>
      </w:r>
      <w:r>
        <w:rPr>
          <w:rFonts w:asciiTheme="minorHAnsi" w:hAnsiTheme="minorHAnsi" w:cstheme="minorHAnsi"/>
          <w:lang w:val="en-US"/>
        </w:rPr>
        <w:t xml:space="preserve">prevalent </w:t>
      </w:r>
      <w:r w:rsidRPr="009D0064">
        <w:rPr>
          <w:rFonts w:asciiTheme="minorHAnsi" w:hAnsiTheme="minorHAnsi" w:cstheme="minorHAnsi"/>
          <w:lang w:val="en-US"/>
        </w:rPr>
        <w:t>health condition</w:t>
      </w:r>
      <w:r>
        <w:rPr>
          <w:rFonts w:asciiTheme="minorHAnsi" w:hAnsiTheme="minorHAnsi" w:cstheme="minorHAnsi"/>
          <w:lang w:val="en-US"/>
        </w:rPr>
        <w:t xml:space="preserve">s or </w:t>
      </w:r>
      <w:r w:rsidRPr="009D0064">
        <w:rPr>
          <w:rFonts w:asciiTheme="minorHAnsi" w:hAnsiTheme="minorHAnsi" w:cstheme="minorHAnsi"/>
          <w:lang w:val="en-US"/>
        </w:rPr>
        <w:t>use of antidepressants, along with their 95% Confidence Interval (grey shade).</w:t>
      </w:r>
      <w:r>
        <w:rPr>
          <w:rFonts w:asciiTheme="minorHAnsi" w:hAnsiTheme="minorHAnsi" w:cstheme="minorHAnsi"/>
          <w:lang w:val="en-US"/>
        </w:rPr>
        <w:t xml:space="preserve"> Multimorbidity was defined as meeting two or more of the other conditions.</w:t>
      </w:r>
    </w:p>
    <w:p w14:paraId="02300F0A" w14:textId="77777777" w:rsidR="009D0064" w:rsidRDefault="009D0064" w:rsidP="00282C55">
      <w:pPr>
        <w:spacing w:line="360" w:lineRule="auto"/>
        <w:jc w:val="both"/>
        <w:rPr>
          <w:rFonts w:asciiTheme="minorHAnsi" w:hAnsiTheme="minorHAnsi" w:cstheme="minorHAnsi"/>
          <w:b/>
          <w:bCs/>
          <w:lang w:val="en-US"/>
        </w:rPr>
      </w:pPr>
    </w:p>
    <w:p w14:paraId="6F244BA3" w14:textId="77777777" w:rsidR="009D0064" w:rsidRDefault="009D0064" w:rsidP="00282C55">
      <w:pPr>
        <w:spacing w:line="360" w:lineRule="auto"/>
        <w:jc w:val="both"/>
        <w:rPr>
          <w:rFonts w:asciiTheme="minorHAnsi" w:hAnsiTheme="minorHAnsi" w:cstheme="minorHAnsi"/>
          <w:b/>
          <w:bCs/>
          <w:lang w:val="en-US"/>
        </w:rPr>
      </w:pPr>
    </w:p>
    <w:p w14:paraId="067C8052" w14:textId="51097818" w:rsidR="009D0064" w:rsidRDefault="009D0064" w:rsidP="00282C55">
      <w:pPr>
        <w:spacing w:line="360" w:lineRule="auto"/>
        <w:jc w:val="both"/>
        <w:rPr>
          <w:rFonts w:asciiTheme="minorHAnsi" w:hAnsiTheme="minorHAnsi" w:cstheme="minorHAnsi"/>
          <w:b/>
          <w:bCs/>
          <w:lang w:val="en-US"/>
        </w:rPr>
      </w:pPr>
    </w:p>
    <w:p w14:paraId="73510E3A" w14:textId="079BBB4A" w:rsidR="00B95691" w:rsidRDefault="00B95691" w:rsidP="00282C55">
      <w:pPr>
        <w:spacing w:line="360" w:lineRule="auto"/>
        <w:jc w:val="both"/>
        <w:rPr>
          <w:rFonts w:asciiTheme="minorHAnsi" w:hAnsiTheme="minorHAnsi" w:cstheme="minorHAnsi"/>
          <w:b/>
          <w:bCs/>
          <w:lang w:val="en-US"/>
        </w:rPr>
      </w:pPr>
    </w:p>
    <w:p w14:paraId="52FBF994" w14:textId="77777777" w:rsidR="00D0379D" w:rsidRDefault="00D0379D" w:rsidP="00D0379D">
      <w:pPr>
        <w:spacing w:line="276" w:lineRule="auto"/>
        <w:jc w:val="both"/>
        <w:rPr>
          <w:rFonts w:asciiTheme="minorHAnsi" w:hAnsiTheme="minorHAnsi" w:cstheme="minorHAnsi"/>
          <w:lang w:val="en-US"/>
        </w:rPr>
      </w:pPr>
    </w:p>
    <w:p w14:paraId="1F2B9CA3" w14:textId="77777777" w:rsidR="00DA5E34" w:rsidRDefault="00DA5E34" w:rsidP="00D0379D">
      <w:pPr>
        <w:spacing w:line="276" w:lineRule="auto"/>
        <w:jc w:val="both"/>
        <w:rPr>
          <w:rFonts w:asciiTheme="minorHAnsi" w:hAnsiTheme="minorHAnsi" w:cstheme="minorHAnsi"/>
          <w:lang w:val="en-US"/>
        </w:rPr>
      </w:pPr>
    </w:p>
    <w:p w14:paraId="488801DC" w14:textId="27A279E9" w:rsidR="00DA5E34" w:rsidRDefault="00DA5E34" w:rsidP="00D0379D">
      <w:pPr>
        <w:spacing w:line="276" w:lineRule="auto"/>
        <w:jc w:val="both"/>
        <w:rPr>
          <w:rFonts w:asciiTheme="minorHAnsi" w:hAnsiTheme="minorHAnsi" w:cstheme="minorHAnsi"/>
          <w:lang w:val="en-US"/>
        </w:rPr>
        <w:sectPr w:rsidR="00DA5E34" w:rsidSect="00DA5E34">
          <w:pgSz w:w="11906" w:h="16838"/>
          <w:pgMar w:top="1418" w:right="1134" w:bottom="1134" w:left="1134" w:header="709" w:footer="709" w:gutter="0"/>
          <w:cols w:space="708"/>
          <w:docGrid w:linePitch="360"/>
        </w:sectPr>
      </w:pPr>
    </w:p>
    <w:p w14:paraId="36597857" w14:textId="5195DE11" w:rsidR="00EC0515" w:rsidRPr="00282C55" w:rsidRDefault="00EC0515" w:rsidP="00282C55">
      <w:pPr>
        <w:spacing w:line="360" w:lineRule="auto"/>
        <w:jc w:val="both"/>
        <w:rPr>
          <w:rFonts w:asciiTheme="minorHAnsi" w:hAnsiTheme="minorHAnsi" w:cstheme="minorHAnsi"/>
          <w:lang w:val="en-US"/>
        </w:rPr>
      </w:pPr>
      <w:r w:rsidRPr="00282C55">
        <w:rPr>
          <w:rFonts w:asciiTheme="minorHAnsi" w:hAnsiTheme="minorHAnsi" w:cstheme="minorHAnsi"/>
          <w:b/>
          <w:bCs/>
          <w:lang w:val="en-US"/>
        </w:rPr>
        <w:lastRenderedPageBreak/>
        <w:t>Table S</w:t>
      </w:r>
      <w:r w:rsidR="006626BE">
        <w:rPr>
          <w:rFonts w:asciiTheme="minorHAnsi" w:hAnsiTheme="minorHAnsi" w:cstheme="minorHAnsi"/>
          <w:b/>
          <w:bCs/>
          <w:lang w:val="en-US"/>
        </w:rPr>
        <w:t>3</w:t>
      </w:r>
      <w:r w:rsidR="00EC5B82" w:rsidRPr="00282C55">
        <w:rPr>
          <w:rFonts w:asciiTheme="minorHAnsi" w:hAnsiTheme="minorHAnsi" w:cstheme="minorHAnsi"/>
          <w:b/>
          <w:bCs/>
          <w:lang w:val="en-US"/>
        </w:rPr>
        <w:t>.</w:t>
      </w:r>
      <w:r w:rsidR="00EC5B82" w:rsidRPr="00282C55">
        <w:rPr>
          <w:rFonts w:asciiTheme="minorHAnsi" w:hAnsiTheme="minorHAnsi" w:cstheme="minorHAnsi"/>
          <w:lang w:val="en-US"/>
        </w:rPr>
        <w:t xml:space="preserve"> </w:t>
      </w:r>
      <w:r w:rsidR="00D45F4F" w:rsidRPr="00D45F4F">
        <w:rPr>
          <w:rFonts w:asciiTheme="minorHAnsi" w:hAnsiTheme="minorHAnsi" w:cstheme="minorHAnsi"/>
          <w:lang w:val="en-US"/>
        </w:rPr>
        <w:t>Proportio</w:t>
      </w:r>
      <w:r w:rsidR="00D45F4F">
        <w:rPr>
          <w:rFonts w:asciiTheme="minorHAnsi" w:hAnsiTheme="minorHAnsi" w:cstheme="minorHAnsi"/>
          <w:lang w:val="en-US"/>
        </w:rPr>
        <w:t>n of total effect (PTE) explained by</w:t>
      </w:r>
      <w:r w:rsidR="00EC5B82" w:rsidRPr="00D45F4F">
        <w:rPr>
          <w:rFonts w:asciiTheme="minorHAnsi" w:hAnsiTheme="minorHAnsi" w:cstheme="minorHAnsi"/>
          <w:lang w:val="en-US"/>
        </w:rPr>
        <w:t xml:space="preserve"> INFLA-score</w:t>
      </w:r>
      <w:r w:rsidR="00141AD7" w:rsidRPr="00D45F4F">
        <w:rPr>
          <w:rFonts w:asciiTheme="minorHAnsi" w:hAnsiTheme="minorHAnsi" w:cstheme="minorHAnsi"/>
          <w:lang w:val="en-US"/>
        </w:rPr>
        <w:t xml:space="preserve"> </w:t>
      </w:r>
      <w:r w:rsidR="00141AD7" w:rsidRPr="00282C55">
        <w:rPr>
          <w:rFonts w:asciiTheme="minorHAnsi" w:hAnsiTheme="minorHAnsi" w:cstheme="minorHAnsi"/>
          <w:lang w:val="en-US"/>
        </w:rPr>
        <w:fldChar w:fldCharType="begin" w:fldLock="1"/>
      </w:r>
      <w:r w:rsidR="00F01247" w:rsidRPr="00D45F4F">
        <w:rPr>
          <w:rFonts w:asciiTheme="minorHAnsi" w:hAnsiTheme="minorHAnsi" w:cstheme="minorHAnsi"/>
          <w:lang w:val="en-US"/>
        </w:rPr>
        <w:instrText>ADDIN CSL_CITATION {"citationItems":[{"id":"ITEM-1","itemData":{"DOI":"10.1160/TH15-06-0487","ISSN":"03406245","PMID":"26355794","abstract":"The association of polyphenol content of human diet with low-grade\\ninflammation is not yet fully understood. It was the objective of this\\nstudy to evaluate the association of flavonoid and lignan intake with\\nfrequently used and easily applicable in clinical practice low-grade\\ninflammation biomarkers, in a novel holistic approach. A total of 5,948\\nwomen and 5,965 men ( aged &gt;= 35years) were analysed from the Moli-sani\\ncohort, randomly recruited from the general population. The EPIC-FFQ was\\nused for dietary assessment. Flavonol, flavone, flavanone, flavanol,\\nanthocyanin, isoflavone and lignan intakes were calculated using Eurofir\\neBASIS and the polyphenol antioxidant content (PAC)-score was\\nconstructed to assess the total content of diet in these nutrients. CRP\\nlevels, WBC and PLT count and granulocyte to lymphocyte ratio were\\nconceived as low-grade inflammation biomarkers. INFLA-score was\\nconstructed summarizing synergistic effects of these biomarkers. The\\nINFLA-score was negatively associated with PAC-score in different levels\\nof adjustment, in both genders (for all beta-coef&lt;0, P&lt;0.05). 10 units\\nincrease in PAC-score was associated with 5-8 % decrease in the\\nlikelihood of higher low-grade inflammation status (i.e. higher quartile\\nof INFLA-score) in men and women (odds ratio {[}ORs] 0.92 to 0.95,\\np&lt;0.05). The total variation of INFLA-score that was explained by\\nPAC-score was estimated to be 16.7 % in women and 9.1 % in men (%\\nR-2=16.7 and 9.1). In conclusion, polyphenol content of diet evaluated\\nin a holistic approach was negatively associated with a score of\\nlow-grade inflammation biomarkers in a large population based study. For\\nthe first time low-grade inflammation was evaluated in a holistic way\\nthrough INFLA-score and was associated with polyphenol content of diet.","author":[{"dropping-particle":"","family":"Pounis","given":"George","non-dropping-particle":"","parse-names":false,"suffix":""},{"dropping-particle":"","family":"Bonaccio","given":"Marialaura","non-dropping-particle":"","parse-names":false,"suffix":""},{"dropping-particle":"","family":"Castelnuovo","given":"Augusto","non-dropping-particle":"Di","parse-names":false,"suffix":""},{"dropping-particle":"","family":"Costanzo","given":"Simona","non-dropping-particle":"","parse-names":false,"suffix":""},{"dropping-particle":"","family":"Curtis","given":"Amalia","non-dropping-particle":"De","parse-names":false,"suffix":""},{"dropping-particle":"","family":"Persichillo","given":"Mariarosaria","non-dropping-particle":"","parse-names":false,"suffix":""},{"dropping-particle":"","family":"Sieri","given":"Sabina","non-dropping-particle":"","parse-names":false,"suffix":""},{"dropping-particle":"","family":"Donati","given":"Maria Benedetta","non-dropping-particle":"","parse-</w:instrText>
      </w:r>
      <w:r w:rsidR="00F01247">
        <w:rPr>
          <w:rFonts w:asciiTheme="minorHAnsi" w:hAnsiTheme="minorHAnsi" w:cstheme="minorHAnsi"/>
          <w:lang w:val="en-US"/>
        </w:rPr>
        <w:instrText>names":false,"suffix":""},{"dropping-particle":"","family":"Cerletti","given":"Chiara","non-dropping-particle":"","parse-names":false,"suffix":""},{"dropping-particle":"","family":"Gaetano","given":"Giovanni","non-dropping-particle":"De","parse-names":false,"suffix":""},{"dropping-particle":"","family":"Iacoviello","given":"Licia","non-dropping-particle":"","parse-names":false,"suffix":""}],"container-title":"Thrombosis and Haemostasis","id":"ITEM-1","issue":"2","issued":{"date-parts":[["2016"]]},"page":"344-352","title":"Polyphenol intake is associated with low-grade inflammation, using a novel data analysis from the Moli-sani study","type":"article-journal","volume":"115"},"uris":["http://www.mendeley.com/documents/?uuid=f9430fc9-eeb1-4600-a33a-8308ba0693d2"]}],"mendeley":{"formattedCitation":"[8]","plainTextFormattedCitation":"[8]","previouslyFormattedCitation":"[8]"},"properties":{"noteIndex":0},"schema":"https://github.com/citation-style-language/schema/raw/master/csl-citation.json"}</w:instrText>
      </w:r>
      <w:r w:rsidR="00141AD7" w:rsidRPr="00282C55">
        <w:rPr>
          <w:rFonts w:asciiTheme="minorHAnsi" w:hAnsiTheme="minorHAnsi" w:cstheme="minorHAnsi"/>
          <w:lang w:val="en-US"/>
        </w:rPr>
        <w:fldChar w:fldCharType="separate"/>
      </w:r>
      <w:r w:rsidR="000979C1" w:rsidRPr="00282C55">
        <w:rPr>
          <w:rFonts w:asciiTheme="minorHAnsi" w:hAnsiTheme="minorHAnsi" w:cstheme="minorHAnsi"/>
          <w:noProof/>
          <w:lang w:val="en-US"/>
        </w:rPr>
        <w:t>[8]</w:t>
      </w:r>
      <w:r w:rsidR="00141AD7" w:rsidRPr="00282C55">
        <w:rPr>
          <w:rFonts w:asciiTheme="minorHAnsi" w:hAnsiTheme="minorHAnsi" w:cstheme="minorHAnsi"/>
          <w:lang w:val="en-US"/>
        </w:rPr>
        <w:fldChar w:fldCharType="end"/>
      </w:r>
      <w:r w:rsidR="00141AD7" w:rsidRPr="00282C55">
        <w:rPr>
          <w:rFonts w:asciiTheme="minorHAnsi" w:hAnsiTheme="minorHAnsi" w:cstheme="minorHAnsi"/>
          <w:lang w:val="en-US"/>
        </w:rPr>
        <w:t xml:space="preserve"> </w:t>
      </w:r>
      <w:r w:rsidR="00EC5B82" w:rsidRPr="00282C55">
        <w:rPr>
          <w:rFonts w:asciiTheme="minorHAnsi" w:hAnsiTheme="minorHAnsi" w:cstheme="minorHAnsi"/>
          <w:lang w:val="en-US"/>
        </w:rPr>
        <w:t>and its component biomarkers in the association between dietary inflammatory index (DII)</w:t>
      </w:r>
      <w:r w:rsidR="00A81377">
        <w:rPr>
          <w:rFonts w:asciiTheme="minorHAnsi" w:hAnsiTheme="minorHAnsi" w:cstheme="minorHAnsi"/>
          <w:lang w:val="en-US"/>
        </w:rPr>
        <w:t xml:space="preserve">, </w:t>
      </w:r>
      <w:r w:rsidR="00EC5B82" w:rsidRPr="00282C55">
        <w:rPr>
          <w:rFonts w:asciiTheme="minorHAnsi" w:hAnsiTheme="minorHAnsi" w:cstheme="minorHAnsi"/>
          <w:b/>
          <w:bCs/>
          <w:lang w:val="en-US"/>
        </w:rPr>
        <w:t>a)</w:t>
      </w:r>
      <w:r w:rsidR="00EC5B82" w:rsidRPr="00282C55">
        <w:rPr>
          <w:rFonts w:asciiTheme="minorHAnsi" w:hAnsiTheme="minorHAnsi" w:cstheme="minorHAnsi"/>
          <w:lang w:val="en-US"/>
        </w:rPr>
        <w:t xml:space="preserve"> somatic and </w:t>
      </w:r>
      <w:r w:rsidR="00EC5B82" w:rsidRPr="00282C55">
        <w:rPr>
          <w:rFonts w:asciiTheme="minorHAnsi" w:hAnsiTheme="minorHAnsi" w:cstheme="minorHAnsi"/>
          <w:b/>
          <w:bCs/>
          <w:lang w:val="en-US"/>
        </w:rPr>
        <w:t>b)</w:t>
      </w:r>
      <w:r w:rsidR="00EC5B82" w:rsidRPr="00282C55">
        <w:rPr>
          <w:rFonts w:asciiTheme="minorHAnsi" w:hAnsiTheme="minorHAnsi" w:cstheme="minorHAnsi"/>
          <w:lang w:val="en-US"/>
        </w:rPr>
        <w:t xml:space="preserve"> cognitive</w:t>
      </w:r>
      <w:r w:rsidR="00A14C00">
        <w:rPr>
          <w:rFonts w:asciiTheme="minorHAnsi" w:hAnsiTheme="minorHAnsi" w:cstheme="minorHAnsi"/>
          <w:lang w:val="en-US"/>
        </w:rPr>
        <w:t xml:space="preserve"> </w:t>
      </w:r>
      <w:r w:rsidR="002E793D">
        <w:rPr>
          <w:rFonts w:asciiTheme="minorHAnsi" w:hAnsiTheme="minorHAnsi" w:cstheme="minorHAnsi"/>
          <w:lang w:val="en-US"/>
        </w:rPr>
        <w:t xml:space="preserve">symptoms </w:t>
      </w:r>
      <w:r w:rsidR="00A14C00">
        <w:rPr>
          <w:rFonts w:asciiTheme="minorHAnsi" w:hAnsiTheme="minorHAnsi" w:cstheme="minorHAnsi"/>
          <w:lang w:val="en-US"/>
        </w:rPr>
        <w:t>factor</w:t>
      </w:r>
      <w:r w:rsidR="00EC5B82" w:rsidRPr="00282C55">
        <w:rPr>
          <w:rFonts w:asciiTheme="minorHAnsi" w:hAnsiTheme="minorHAnsi" w:cstheme="minorHAnsi"/>
          <w:lang w:val="en-US"/>
        </w:rPr>
        <w:t>.</w:t>
      </w:r>
    </w:p>
    <w:p w14:paraId="61B7D034" w14:textId="6D580410" w:rsidR="00322019" w:rsidRPr="00282C55" w:rsidRDefault="00322019" w:rsidP="00675996">
      <w:pPr>
        <w:spacing w:line="480" w:lineRule="auto"/>
        <w:jc w:val="both"/>
        <w:rPr>
          <w:rFonts w:asciiTheme="minorHAnsi" w:hAnsiTheme="minorHAnsi" w:cstheme="minorHAnsi"/>
          <w:b/>
          <w:bCs/>
          <w:lang w:val="en-US"/>
        </w:rPr>
      </w:pPr>
      <w:r w:rsidRPr="00282C55">
        <w:rPr>
          <w:rFonts w:asciiTheme="minorHAnsi" w:hAnsiTheme="minorHAnsi" w:cstheme="minorHAnsi"/>
          <w:b/>
          <w:bCs/>
          <w:lang w:val="en-US"/>
        </w:rPr>
        <w:t>a)</w:t>
      </w: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277"/>
        <w:gridCol w:w="1739"/>
        <w:gridCol w:w="1835"/>
        <w:gridCol w:w="1823"/>
        <w:gridCol w:w="1829"/>
      </w:tblGrid>
      <w:tr w:rsidR="00504C4D" w:rsidRPr="00282C55" w14:paraId="157BAC7F" w14:textId="77777777" w:rsidTr="00504C4D">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210A82E6" w14:textId="77777777" w:rsidR="00504C4D" w:rsidRPr="00282C55" w:rsidRDefault="00504C4D" w:rsidP="00D0379D">
            <w:pPr>
              <w:spacing w:line="360" w:lineRule="auto"/>
              <w:jc w:val="center"/>
              <w:rPr>
                <w:rFonts w:asciiTheme="minorHAnsi" w:eastAsia="Times New Roman" w:hAnsiTheme="minorHAnsi" w:cstheme="minorHAnsi"/>
                <w:lang w:val="en-US" w:eastAsia="en-GB"/>
              </w:rPr>
            </w:pPr>
            <w:r w:rsidRPr="00282C55">
              <w:rPr>
                <w:rFonts w:asciiTheme="minorHAnsi" w:eastAsia="Times New Roman" w:hAnsiTheme="minorHAnsi" w:cstheme="minorHAnsi"/>
                <w:lang w:val="en-US" w:eastAsia="en-GB"/>
              </w:rPr>
              <w:t>Model</w:t>
            </w:r>
          </w:p>
        </w:tc>
        <w:tc>
          <w:tcPr>
            <w:tcW w:w="2277" w:type="dxa"/>
            <w:tcBorders>
              <w:top w:val="single" w:sz="4" w:space="0" w:color="auto"/>
              <w:left w:val="single" w:sz="4" w:space="0" w:color="auto"/>
              <w:bottom w:val="single" w:sz="4" w:space="0" w:color="auto"/>
              <w:right w:val="single" w:sz="4" w:space="0" w:color="auto"/>
            </w:tcBorders>
            <w:noWrap/>
            <w:vAlign w:val="center"/>
            <w:hideMark/>
          </w:tcPr>
          <w:p w14:paraId="2B4C652F"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INFLA-score</w:t>
            </w:r>
          </w:p>
          <w:p w14:paraId="2CD27552"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PTE [CI 95%]</w:t>
            </w:r>
          </w:p>
          <w:p w14:paraId="20EB9BF0"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(p-value)</w:t>
            </w:r>
          </w:p>
        </w:tc>
        <w:tc>
          <w:tcPr>
            <w:tcW w:w="1739" w:type="dxa"/>
            <w:tcBorders>
              <w:top w:val="single" w:sz="4" w:space="0" w:color="auto"/>
              <w:left w:val="single" w:sz="4" w:space="0" w:color="auto"/>
              <w:bottom w:val="single" w:sz="4" w:space="0" w:color="auto"/>
              <w:right w:val="single" w:sz="4" w:space="0" w:color="auto"/>
            </w:tcBorders>
            <w:vAlign w:val="center"/>
            <w:hideMark/>
          </w:tcPr>
          <w:p w14:paraId="09CA152A"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CRP</w:t>
            </w:r>
          </w:p>
          <w:p w14:paraId="289AB0F8"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PTE [CI 95%]</w:t>
            </w:r>
          </w:p>
          <w:p w14:paraId="5183E339"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(p-value)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BB0E656"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Plt</w:t>
            </w:r>
          </w:p>
          <w:p w14:paraId="5C8148E8"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PTE [CI 95%]</w:t>
            </w:r>
          </w:p>
          <w:p w14:paraId="66D6DA0D"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(p-value)</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B780288"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WBC</w:t>
            </w:r>
          </w:p>
          <w:p w14:paraId="26060522"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PTE [CI 95%]</w:t>
            </w:r>
          </w:p>
          <w:p w14:paraId="4FFFA824"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(p-value)</w:t>
            </w:r>
          </w:p>
        </w:tc>
        <w:tc>
          <w:tcPr>
            <w:tcW w:w="1829" w:type="dxa"/>
            <w:tcBorders>
              <w:top w:val="single" w:sz="4" w:space="0" w:color="auto"/>
              <w:left w:val="single" w:sz="4" w:space="0" w:color="auto"/>
              <w:bottom w:val="single" w:sz="4" w:space="0" w:color="auto"/>
              <w:right w:val="single" w:sz="4" w:space="0" w:color="auto"/>
            </w:tcBorders>
            <w:vAlign w:val="center"/>
            <w:hideMark/>
          </w:tcPr>
          <w:p w14:paraId="1DE24F29"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GLR</w:t>
            </w:r>
          </w:p>
          <w:p w14:paraId="0E03A8D2"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PTE [CI 95%]</w:t>
            </w:r>
          </w:p>
          <w:p w14:paraId="3D703A5C"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(p-value)</w:t>
            </w:r>
          </w:p>
        </w:tc>
      </w:tr>
      <w:tr w:rsidR="00504C4D" w:rsidRPr="00282C55" w14:paraId="172DDA5E" w14:textId="77777777" w:rsidTr="00504C4D">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44954C25" w14:textId="77777777" w:rsidR="00504C4D" w:rsidRPr="00282C55" w:rsidRDefault="00504C4D" w:rsidP="00D0379D">
            <w:pPr>
              <w:spacing w:line="360" w:lineRule="auto"/>
              <w:jc w:val="center"/>
              <w:rPr>
                <w:rFonts w:asciiTheme="minorHAnsi" w:eastAsia="Times New Roman" w:hAnsiTheme="minorHAnsi" w:cstheme="minorHAnsi"/>
                <w:lang w:val="en-US" w:eastAsia="en-GB"/>
              </w:rPr>
            </w:pPr>
            <w:r w:rsidRPr="00282C55">
              <w:rPr>
                <w:rFonts w:asciiTheme="minorHAnsi" w:eastAsia="Times New Roman" w:hAnsiTheme="minorHAnsi" w:cstheme="minorHAnsi"/>
                <w:lang w:val="en-US" w:eastAsia="en-GB"/>
              </w:rPr>
              <w:t>N</w:t>
            </w:r>
          </w:p>
        </w:tc>
        <w:tc>
          <w:tcPr>
            <w:tcW w:w="2277" w:type="dxa"/>
            <w:tcBorders>
              <w:top w:val="single" w:sz="4" w:space="0" w:color="auto"/>
              <w:left w:val="single" w:sz="4" w:space="0" w:color="auto"/>
              <w:bottom w:val="single" w:sz="4" w:space="0" w:color="auto"/>
              <w:right w:val="single" w:sz="4" w:space="0" w:color="auto"/>
            </w:tcBorders>
            <w:noWrap/>
            <w:vAlign w:val="center"/>
            <w:hideMark/>
          </w:tcPr>
          <w:p w14:paraId="2E96F046" w14:textId="77777777" w:rsidR="00504C4D" w:rsidRPr="00282C55" w:rsidRDefault="00504C4D" w:rsidP="00D0379D">
            <w:pPr>
              <w:spacing w:line="360" w:lineRule="auto"/>
              <w:jc w:val="center"/>
              <w:rPr>
                <w:rFonts w:asciiTheme="minorHAnsi" w:eastAsia="Times New Roman" w:hAnsiTheme="minorHAnsi" w:cstheme="minorHAnsi"/>
                <w:b/>
                <w:bCs/>
                <w:lang w:eastAsia="en-GB"/>
              </w:rPr>
            </w:pPr>
            <w:r w:rsidRPr="00282C55">
              <w:rPr>
                <w:rFonts w:asciiTheme="minorHAnsi" w:eastAsia="Times New Roman" w:hAnsiTheme="minorHAnsi" w:cstheme="minorHAnsi"/>
                <w:b/>
                <w:bCs/>
                <w:lang w:eastAsia="en-GB"/>
              </w:rPr>
              <w:t>4.66%</w:t>
            </w:r>
          </w:p>
          <w:p w14:paraId="6F8C762F" w14:textId="77777777" w:rsidR="00504C4D" w:rsidRPr="00282C55" w:rsidRDefault="00504C4D" w:rsidP="00D0379D">
            <w:pPr>
              <w:spacing w:line="360" w:lineRule="auto"/>
              <w:jc w:val="center"/>
              <w:rPr>
                <w:rFonts w:asciiTheme="minorHAnsi" w:eastAsia="Times New Roman" w:hAnsiTheme="minorHAnsi" w:cstheme="minorHAnsi"/>
                <w:b/>
                <w:bCs/>
                <w:lang w:eastAsia="en-GB"/>
              </w:rPr>
            </w:pPr>
            <w:r w:rsidRPr="00282C55">
              <w:rPr>
                <w:rFonts w:asciiTheme="minorHAnsi" w:eastAsia="Times New Roman" w:hAnsiTheme="minorHAnsi" w:cstheme="minorHAnsi"/>
                <w:b/>
                <w:bCs/>
                <w:lang w:eastAsia="en-GB"/>
              </w:rPr>
              <w:t>[1.65 – 14.00] %</w:t>
            </w:r>
          </w:p>
          <w:p w14:paraId="7A9ED139" w14:textId="77777777" w:rsidR="00504C4D" w:rsidRPr="00282C55" w:rsidRDefault="00504C4D" w:rsidP="00D0379D">
            <w:pPr>
              <w:spacing w:line="360" w:lineRule="auto"/>
              <w:jc w:val="center"/>
              <w:rPr>
                <w:rFonts w:asciiTheme="minorHAnsi" w:eastAsia="Times New Roman" w:hAnsiTheme="minorHAnsi" w:cstheme="minorHAnsi"/>
                <w:b/>
                <w:bCs/>
                <w:lang w:eastAsia="en-GB"/>
              </w:rPr>
            </w:pPr>
            <w:r w:rsidRPr="00282C55">
              <w:rPr>
                <w:rFonts w:asciiTheme="minorHAnsi" w:eastAsia="Times New Roman" w:hAnsiTheme="minorHAnsi" w:cstheme="minorHAnsi"/>
                <w:b/>
                <w:bCs/>
                <w:lang w:eastAsia="en-GB"/>
              </w:rPr>
              <w:t>(&lt; 2.0 × 10</w:t>
            </w:r>
            <w:r w:rsidRPr="00282C55">
              <w:rPr>
                <w:rFonts w:asciiTheme="minorHAnsi" w:eastAsia="Times New Roman" w:hAnsiTheme="minorHAnsi" w:cstheme="minorHAnsi"/>
                <w:b/>
                <w:bCs/>
                <w:vertAlign w:val="superscript"/>
                <w:lang w:eastAsia="en-GB"/>
              </w:rPr>
              <w:t>-16</w:t>
            </w:r>
            <w:r w:rsidRPr="00282C55">
              <w:rPr>
                <w:rFonts w:asciiTheme="minorHAnsi" w:eastAsia="Times New Roman" w:hAnsiTheme="minorHAnsi" w:cstheme="minorHAnsi"/>
                <w:b/>
                <w:bCs/>
                <w:lang w:eastAsia="en-GB"/>
              </w:rPr>
              <w:t>)</w:t>
            </w:r>
          </w:p>
        </w:tc>
        <w:tc>
          <w:tcPr>
            <w:tcW w:w="1739" w:type="dxa"/>
            <w:tcBorders>
              <w:top w:val="single" w:sz="4" w:space="0" w:color="auto"/>
              <w:left w:val="single" w:sz="4" w:space="0" w:color="auto"/>
              <w:bottom w:val="single" w:sz="4" w:space="0" w:color="auto"/>
              <w:right w:val="single" w:sz="4" w:space="0" w:color="auto"/>
            </w:tcBorders>
            <w:vAlign w:val="center"/>
            <w:hideMark/>
          </w:tcPr>
          <w:p w14:paraId="39CD6421"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2.43%</w:t>
            </w:r>
          </w:p>
          <w:p w14:paraId="17871989"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 – 9.00] %</w:t>
            </w:r>
          </w:p>
          <w:p w14:paraId="34EB648D"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(0.10)</w:t>
            </w:r>
          </w:p>
        </w:tc>
        <w:tc>
          <w:tcPr>
            <w:tcW w:w="1835" w:type="dxa"/>
            <w:tcBorders>
              <w:top w:val="single" w:sz="4" w:space="0" w:color="auto"/>
              <w:left w:val="single" w:sz="4" w:space="0" w:color="auto"/>
              <w:bottom w:val="single" w:sz="4" w:space="0" w:color="auto"/>
              <w:right w:val="single" w:sz="4" w:space="0" w:color="auto"/>
            </w:tcBorders>
            <w:vAlign w:val="center"/>
            <w:hideMark/>
          </w:tcPr>
          <w:p w14:paraId="457D4F83"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w:t>
            </w:r>
          </w:p>
          <w:p w14:paraId="736029B5"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 – 1.00] %</w:t>
            </w:r>
          </w:p>
          <w:p w14:paraId="4B2CEBC8"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(0.40)</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55E2835" w14:textId="77777777" w:rsidR="00504C4D" w:rsidRPr="00282C55" w:rsidRDefault="00504C4D" w:rsidP="00D0379D">
            <w:pPr>
              <w:spacing w:line="360" w:lineRule="auto"/>
              <w:jc w:val="center"/>
              <w:rPr>
                <w:rFonts w:asciiTheme="minorHAnsi" w:eastAsia="Times New Roman" w:hAnsiTheme="minorHAnsi" w:cstheme="minorHAnsi"/>
                <w:b/>
                <w:bCs/>
                <w:lang w:eastAsia="en-GB"/>
              </w:rPr>
            </w:pPr>
            <w:r w:rsidRPr="00282C55">
              <w:rPr>
                <w:rFonts w:asciiTheme="minorHAnsi" w:eastAsia="Times New Roman" w:hAnsiTheme="minorHAnsi" w:cstheme="minorHAnsi"/>
                <w:b/>
                <w:bCs/>
                <w:lang w:eastAsia="en-GB"/>
              </w:rPr>
              <w:t>2.03%</w:t>
            </w:r>
          </w:p>
          <w:p w14:paraId="583936D8" w14:textId="77777777" w:rsidR="00504C4D" w:rsidRPr="00282C55" w:rsidRDefault="00504C4D" w:rsidP="00D0379D">
            <w:pPr>
              <w:spacing w:line="360" w:lineRule="auto"/>
              <w:jc w:val="center"/>
              <w:rPr>
                <w:rFonts w:asciiTheme="minorHAnsi" w:eastAsia="Times New Roman" w:hAnsiTheme="minorHAnsi" w:cstheme="minorHAnsi"/>
                <w:b/>
                <w:bCs/>
                <w:lang w:eastAsia="en-GB"/>
              </w:rPr>
            </w:pPr>
            <w:r w:rsidRPr="00282C55">
              <w:rPr>
                <w:rFonts w:asciiTheme="minorHAnsi" w:eastAsia="Times New Roman" w:hAnsiTheme="minorHAnsi" w:cstheme="minorHAnsi"/>
                <w:b/>
                <w:bCs/>
                <w:lang w:eastAsia="en-GB"/>
              </w:rPr>
              <w:t>[0.27 – 7.00] %</w:t>
            </w:r>
          </w:p>
          <w:p w14:paraId="25F9E226"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b/>
                <w:bCs/>
                <w:lang w:eastAsia="en-GB"/>
              </w:rPr>
              <w:t>(0.01)</w:t>
            </w:r>
          </w:p>
        </w:tc>
        <w:tc>
          <w:tcPr>
            <w:tcW w:w="1829" w:type="dxa"/>
            <w:tcBorders>
              <w:top w:val="single" w:sz="4" w:space="0" w:color="auto"/>
              <w:left w:val="single" w:sz="4" w:space="0" w:color="auto"/>
              <w:bottom w:val="single" w:sz="4" w:space="0" w:color="auto"/>
              <w:right w:val="single" w:sz="4" w:space="0" w:color="auto"/>
            </w:tcBorders>
            <w:vAlign w:val="center"/>
            <w:hideMark/>
          </w:tcPr>
          <w:p w14:paraId="7E6591EF"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2.01%</w:t>
            </w:r>
          </w:p>
          <w:p w14:paraId="199C7EA1"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 – 7.00] %</w:t>
            </w:r>
          </w:p>
          <w:p w14:paraId="23B2A342"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(0.06)</w:t>
            </w:r>
          </w:p>
        </w:tc>
      </w:tr>
      <w:tr w:rsidR="00504C4D" w:rsidRPr="00282C55" w14:paraId="5EBE1E31" w14:textId="77777777" w:rsidTr="00504C4D">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551F1540" w14:textId="77777777" w:rsidR="00504C4D" w:rsidRPr="00282C55" w:rsidRDefault="00504C4D" w:rsidP="00D0379D">
            <w:pPr>
              <w:spacing w:line="360" w:lineRule="auto"/>
              <w:jc w:val="center"/>
              <w:rPr>
                <w:rFonts w:asciiTheme="minorHAnsi" w:eastAsia="Times New Roman" w:hAnsiTheme="minorHAnsi" w:cstheme="minorHAnsi"/>
                <w:lang w:val="en-US" w:eastAsia="en-GB"/>
              </w:rPr>
            </w:pPr>
            <w:r w:rsidRPr="00282C55">
              <w:rPr>
                <w:rFonts w:asciiTheme="minorHAnsi" w:eastAsia="Times New Roman" w:hAnsiTheme="minorHAnsi" w:cstheme="minorHAnsi"/>
                <w:lang w:val="en-US" w:eastAsia="en-GB"/>
              </w:rPr>
              <w:t>Y</w:t>
            </w:r>
          </w:p>
        </w:tc>
        <w:tc>
          <w:tcPr>
            <w:tcW w:w="2277" w:type="dxa"/>
            <w:tcBorders>
              <w:top w:val="single" w:sz="4" w:space="0" w:color="auto"/>
              <w:left w:val="single" w:sz="4" w:space="0" w:color="auto"/>
              <w:bottom w:val="single" w:sz="4" w:space="0" w:color="auto"/>
              <w:right w:val="single" w:sz="4" w:space="0" w:color="auto"/>
            </w:tcBorders>
            <w:noWrap/>
            <w:vAlign w:val="center"/>
            <w:hideMark/>
          </w:tcPr>
          <w:p w14:paraId="247F0E92" w14:textId="77777777" w:rsidR="00504C4D" w:rsidRPr="00282C55" w:rsidRDefault="00504C4D" w:rsidP="00D0379D">
            <w:pPr>
              <w:spacing w:line="360" w:lineRule="auto"/>
              <w:jc w:val="center"/>
              <w:rPr>
                <w:rFonts w:asciiTheme="minorHAnsi" w:eastAsia="Times New Roman" w:hAnsiTheme="minorHAnsi" w:cstheme="minorHAnsi"/>
                <w:b/>
                <w:bCs/>
                <w:lang w:eastAsia="en-GB"/>
              </w:rPr>
            </w:pPr>
            <w:r w:rsidRPr="00282C55">
              <w:rPr>
                <w:rFonts w:asciiTheme="minorHAnsi" w:eastAsia="Times New Roman" w:hAnsiTheme="minorHAnsi" w:cstheme="minorHAnsi"/>
                <w:b/>
                <w:bCs/>
                <w:lang w:eastAsia="en-GB"/>
              </w:rPr>
              <w:t>2.66%</w:t>
            </w:r>
          </w:p>
          <w:p w14:paraId="395EB41B" w14:textId="77777777" w:rsidR="00504C4D" w:rsidRPr="00282C55" w:rsidRDefault="00504C4D" w:rsidP="00D0379D">
            <w:pPr>
              <w:spacing w:line="360" w:lineRule="auto"/>
              <w:jc w:val="center"/>
              <w:rPr>
                <w:rFonts w:asciiTheme="minorHAnsi" w:eastAsia="Times New Roman" w:hAnsiTheme="minorHAnsi" w:cstheme="minorHAnsi"/>
                <w:b/>
                <w:bCs/>
                <w:lang w:eastAsia="en-GB"/>
              </w:rPr>
            </w:pPr>
            <w:r w:rsidRPr="00282C55">
              <w:rPr>
                <w:rFonts w:asciiTheme="minorHAnsi" w:eastAsia="Times New Roman" w:hAnsiTheme="minorHAnsi" w:cstheme="minorHAnsi"/>
                <w:b/>
                <w:bCs/>
                <w:lang w:eastAsia="en-GB"/>
              </w:rPr>
              <w:t>[0.44 – 8.00] %</w:t>
            </w:r>
          </w:p>
          <w:p w14:paraId="01304B13" w14:textId="77777777" w:rsidR="00504C4D" w:rsidRPr="00282C55" w:rsidRDefault="00504C4D" w:rsidP="00D0379D">
            <w:pPr>
              <w:spacing w:line="360" w:lineRule="auto"/>
              <w:jc w:val="center"/>
              <w:rPr>
                <w:rFonts w:asciiTheme="minorHAnsi" w:eastAsia="Times New Roman" w:hAnsiTheme="minorHAnsi" w:cstheme="minorHAnsi"/>
                <w:b/>
                <w:bCs/>
                <w:lang w:eastAsia="en-GB"/>
              </w:rPr>
            </w:pPr>
            <w:r w:rsidRPr="00282C55">
              <w:rPr>
                <w:rFonts w:asciiTheme="minorHAnsi" w:eastAsia="Times New Roman" w:hAnsiTheme="minorHAnsi" w:cstheme="minorHAnsi"/>
                <w:b/>
                <w:bCs/>
                <w:lang w:eastAsia="en-GB"/>
              </w:rPr>
              <w:t>(0.02)</w:t>
            </w:r>
          </w:p>
        </w:tc>
        <w:tc>
          <w:tcPr>
            <w:tcW w:w="1739" w:type="dxa"/>
            <w:tcBorders>
              <w:top w:val="single" w:sz="4" w:space="0" w:color="auto"/>
              <w:left w:val="single" w:sz="4" w:space="0" w:color="auto"/>
              <w:bottom w:val="single" w:sz="4" w:space="0" w:color="auto"/>
              <w:right w:val="single" w:sz="4" w:space="0" w:color="auto"/>
            </w:tcBorders>
            <w:vAlign w:val="center"/>
            <w:hideMark/>
          </w:tcPr>
          <w:p w14:paraId="34BCD485"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0.69%</w:t>
            </w:r>
          </w:p>
          <w:p w14:paraId="4B31CA22"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 – 4.00] %</w:t>
            </w:r>
          </w:p>
          <w:p w14:paraId="50245B32"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(0.54)</w:t>
            </w:r>
          </w:p>
        </w:tc>
        <w:tc>
          <w:tcPr>
            <w:tcW w:w="1835" w:type="dxa"/>
            <w:tcBorders>
              <w:top w:val="single" w:sz="4" w:space="0" w:color="auto"/>
              <w:left w:val="single" w:sz="4" w:space="0" w:color="auto"/>
              <w:bottom w:val="single" w:sz="4" w:space="0" w:color="auto"/>
              <w:right w:val="single" w:sz="4" w:space="0" w:color="auto"/>
            </w:tcBorders>
            <w:vAlign w:val="center"/>
            <w:hideMark/>
          </w:tcPr>
          <w:p w14:paraId="1DCB716C"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w:t>
            </w:r>
          </w:p>
          <w:p w14:paraId="20CAF110"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 – 1.00] %</w:t>
            </w:r>
          </w:p>
          <w:p w14:paraId="248EA877"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(0.49)</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FE192CF"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0.53%</w:t>
            </w:r>
          </w:p>
          <w:p w14:paraId="5BC9BDCE"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 – 3.00] %</w:t>
            </w:r>
          </w:p>
          <w:p w14:paraId="658360EC"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(0.22)</w:t>
            </w:r>
          </w:p>
        </w:tc>
        <w:tc>
          <w:tcPr>
            <w:tcW w:w="1829" w:type="dxa"/>
            <w:tcBorders>
              <w:top w:val="single" w:sz="4" w:space="0" w:color="auto"/>
              <w:left w:val="single" w:sz="4" w:space="0" w:color="auto"/>
              <w:bottom w:val="single" w:sz="4" w:space="0" w:color="auto"/>
              <w:right w:val="single" w:sz="4" w:space="0" w:color="auto"/>
            </w:tcBorders>
            <w:vAlign w:val="center"/>
            <w:hideMark/>
          </w:tcPr>
          <w:p w14:paraId="7C2A3CCF"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1.33%</w:t>
            </w:r>
          </w:p>
          <w:p w14:paraId="7B6BD3CC"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 – 6.00] %</w:t>
            </w:r>
          </w:p>
          <w:p w14:paraId="72A92A06"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(0.23)</w:t>
            </w:r>
          </w:p>
        </w:tc>
      </w:tr>
    </w:tbl>
    <w:p w14:paraId="223B22C5" w14:textId="1D90DD31" w:rsidR="00BB7387" w:rsidRPr="00282C55" w:rsidRDefault="00322019" w:rsidP="00675996">
      <w:pPr>
        <w:spacing w:line="480" w:lineRule="auto"/>
        <w:jc w:val="both"/>
        <w:rPr>
          <w:rFonts w:asciiTheme="minorHAnsi" w:hAnsiTheme="minorHAnsi" w:cstheme="minorHAnsi"/>
          <w:b/>
          <w:bCs/>
          <w:lang w:val="en-US"/>
        </w:rPr>
      </w:pPr>
      <w:r w:rsidRPr="00282C55">
        <w:rPr>
          <w:rFonts w:asciiTheme="minorHAnsi" w:hAnsiTheme="minorHAnsi" w:cstheme="minorHAnsi"/>
          <w:b/>
          <w:bCs/>
          <w:lang w:val="en-US"/>
        </w:rPr>
        <w:t>b)</w:t>
      </w: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277"/>
        <w:gridCol w:w="1739"/>
        <w:gridCol w:w="1835"/>
        <w:gridCol w:w="1823"/>
        <w:gridCol w:w="1829"/>
      </w:tblGrid>
      <w:tr w:rsidR="00504C4D" w:rsidRPr="00282C55" w14:paraId="2C6C02FB" w14:textId="77777777" w:rsidTr="00504C4D">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205768D5" w14:textId="77777777" w:rsidR="00504C4D" w:rsidRPr="00282C55" w:rsidRDefault="00504C4D" w:rsidP="00D0379D">
            <w:pPr>
              <w:spacing w:line="360" w:lineRule="auto"/>
              <w:jc w:val="center"/>
              <w:rPr>
                <w:rFonts w:asciiTheme="minorHAnsi" w:eastAsia="Times New Roman" w:hAnsiTheme="minorHAnsi" w:cstheme="minorHAnsi"/>
                <w:lang w:val="en-US" w:eastAsia="en-GB"/>
              </w:rPr>
            </w:pPr>
            <w:r w:rsidRPr="00282C55">
              <w:rPr>
                <w:rFonts w:asciiTheme="minorHAnsi" w:eastAsia="Times New Roman" w:hAnsiTheme="minorHAnsi" w:cstheme="minorHAnsi"/>
                <w:lang w:val="en-US" w:eastAsia="en-GB"/>
              </w:rPr>
              <w:t>Model</w:t>
            </w:r>
          </w:p>
        </w:tc>
        <w:tc>
          <w:tcPr>
            <w:tcW w:w="2277" w:type="dxa"/>
            <w:tcBorders>
              <w:top w:val="single" w:sz="4" w:space="0" w:color="auto"/>
              <w:left w:val="single" w:sz="4" w:space="0" w:color="auto"/>
              <w:bottom w:val="single" w:sz="4" w:space="0" w:color="auto"/>
              <w:right w:val="single" w:sz="4" w:space="0" w:color="auto"/>
            </w:tcBorders>
            <w:noWrap/>
            <w:vAlign w:val="center"/>
            <w:hideMark/>
          </w:tcPr>
          <w:p w14:paraId="545D6A73"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INFLA-score</w:t>
            </w:r>
          </w:p>
          <w:p w14:paraId="1EC9AB06"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PTE [CI 95%]</w:t>
            </w:r>
          </w:p>
          <w:p w14:paraId="39B2D893"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(p-value)</w:t>
            </w:r>
          </w:p>
        </w:tc>
        <w:tc>
          <w:tcPr>
            <w:tcW w:w="1739" w:type="dxa"/>
            <w:tcBorders>
              <w:top w:val="single" w:sz="4" w:space="0" w:color="auto"/>
              <w:left w:val="single" w:sz="4" w:space="0" w:color="auto"/>
              <w:bottom w:val="single" w:sz="4" w:space="0" w:color="auto"/>
              <w:right w:val="single" w:sz="4" w:space="0" w:color="auto"/>
            </w:tcBorders>
            <w:vAlign w:val="center"/>
            <w:hideMark/>
          </w:tcPr>
          <w:p w14:paraId="1D2B5F9D"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CRP</w:t>
            </w:r>
          </w:p>
          <w:p w14:paraId="23FFC634"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PTE [CI 95%]</w:t>
            </w:r>
          </w:p>
          <w:p w14:paraId="26638D43"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(p-value)</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42F0B0C"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Plt</w:t>
            </w:r>
          </w:p>
          <w:p w14:paraId="2BC79EAE"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PTE [CI 95%]</w:t>
            </w:r>
          </w:p>
          <w:p w14:paraId="241F5274"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(p-value)</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0AAEC6D"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WBC</w:t>
            </w:r>
          </w:p>
          <w:p w14:paraId="183D0BF5"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PTE [CI 95%]</w:t>
            </w:r>
          </w:p>
          <w:p w14:paraId="7900813B"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(p-value)</w:t>
            </w:r>
          </w:p>
        </w:tc>
        <w:tc>
          <w:tcPr>
            <w:tcW w:w="1829" w:type="dxa"/>
            <w:tcBorders>
              <w:top w:val="single" w:sz="4" w:space="0" w:color="auto"/>
              <w:left w:val="single" w:sz="4" w:space="0" w:color="auto"/>
              <w:bottom w:val="single" w:sz="4" w:space="0" w:color="auto"/>
              <w:right w:val="single" w:sz="4" w:space="0" w:color="auto"/>
            </w:tcBorders>
            <w:vAlign w:val="center"/>
            <w:hideMark/>
          </w:tcPr>
          <w:p w14:paraId="236A9C5C"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GLR</w:t>
            </w:r>
          </w:p>
          <w:p w14:paraId="4BFD4CDD"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PTE [CI 95%]</w:t>
            </w:r>
          </w:p>
          <w:p w14:paraId="4F7A9326"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(p-value)</w:t>
            </w:r>
          </w:p>
        </w:tc>
      </w:tr>
      <w:tr w:rsidR="00504C4D" w:rsidRPr="00282C55" w14:paraId="5C449043" w14:textId="77777777" w:rsidTr="00504C4D">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46BB196C" w14:textId="77777777" w:rsidR="00504C4D" w:rsidRPr="00282C55" w:rsidRDefault="00504C4D" w:rsidP="00D0379D">
            <w:pPr>
              <w:spacing w:line="360" w:lineRule="auto"/>
              <w:jc w:val="center"/>
              <w:rPr>
                <w:rFonts w:asciiTheme="minorHAnsi" w:eastAsia="Times New Roman" w:hAnsiTheme="minorHAnsi" w:cstheme="minorHAnsi"/>
                <w:lang w:val="en-US" w:eastAsia="en-GB"/>
              </w:rPr>
            </w:pPr>
            <w:r w:rsidRPr="00282C55">
              <w:rPr>
                <w:rFonts w:asciiTheme="minorHAnsi" w:eastAsia="Times New Roman" w:hAnsiTheme="minorHAnsi" w:cstheme="minorHAnsi"/>
                <w:lang w:val="en-US" w:eastAsia="en-GB"/>
              </w:rPr>
              <w:t>N</w:t>
            </w:r>
          </w:p>
        </w:tc>
        <w:tc>
          <w:tcPr>
            <w:tcW w:w="2277" w:type="dxa"/>
            <w:tcBorders>
              <w:top w:val="single" w:sz="4" w:space="0" w:color="auto"/>
              <w:left w:val="single" w:sz="4" w:space="0" w:color="auto"/>
              <w:bottom w:val="single" w:sz="4" w:space="0" w:color="auto"/>
              <w:right w:val="single" w:sz="4" w:space="0" w:color="auto"/>
            </w:tcBorders>
            <w:noWrap/>
            <w:vAlign w:val="center"/>
            <w:hideMark/>
          </w:tcPr>
          <w:p w14:paraId="12CB0D98"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w:t>
            </w:r>
          </w:p>
          <w:p w14:paraId="12D52D07"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 – 2.00] %</w:t>
            </w:r>
          </w:p>
          <w:p w14:paraId="172D30D9"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(0.29)</w:t>
            </w:r>
          </w:p>
        </w:tc>
        <w:tc>
          <w:tcPr>
            <w:tcW w:w="1739" w:type="dxa"/>
            <w:tcBorders>
              <w:top w:val="single" w:sz="4" w:space="0" w:color="auto"/>
              <w:left w:val="single" w:sz="4" w:space="0" w:color="auto"/>
              <w:bottom w:val="single" w:sz="4" w:space="0" w:color="auto"/>
              <w:right w:val="single" w:sz="4" w:space="0" w:color="auto"/>
            </w:tcBorders>
            <w:vAlign w:val="center"/>
            <w:hideMark/>
          </w:tcPr>
          <w:p w14:paraId="3BB7BD5D"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w:t>
            </w:r>
          </w:p>
          <w:p w14:paraId="12E86C09"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 – 0.00] %</w:t>
            </w:r>
          </w:p>
          <w:p w14:paraId="7985412D"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(0.11)</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8224620"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0.65%</w:t>
            </w:r>
          </w:p>
          <w:p w14:paraId="25E8E6F5"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 – 4.00] %</w:t>
            </w:r>
          </w:p>
          <w:p w14:paraId="72F11AB8"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(0.38)</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69AFD41"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w:t>
            </w:r>
          </w:p>
          <w:p w14:paraId="22F27C8F"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 – 1.00] %</w:t>
            </w:r>
          </w:p>
          <w:p w14:paraId="4BA13A89"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(0.43)</w:t>
            </w:r>
          </w:p>
        </w:tc>
        <w:tc>
          <w:tcPr>
            <w:tcW w:w="1829" w:type="dxa"/>
            <w:tcBorders>
              <w:top w:val="single" w:sz="4" w:space="0" w:color="auto"/>
              <w:left w:val="single" w:sz="4" w:space="0" w:color="auto"/>
              <w:bottom w:val="single" w:sz="4" w:space="0" w:color="auto"/>
              <w:right w:val="single" w:sz="4" w:space="0" w:color="auto"/>
            </w:tcBorders>
            <w:vAlign w:val="center"/>
            <w:hideMark/>
          </w:tcPr>
          <w:p w14:paraId="034F89A4"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1.26%</w:t>
            </w:r>
          </w:p>
          <w:p w14:paraId="1D601353"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 – 7.00] %</w:t>
            </w:r>
          </w:p>
          <w:p w14:paraId="09D21A38"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(0.26)</w:t>
            </w:r>
          </w:p>
        </w:tc>
      </w:tr>
      <w:tr w:rsidR="00504C4D" w:rsidRPr="00282C55" w14:paraId="71DB5ED2" w14:textId="77777777" w:rsidTr="00504C4D">
        <w:trPr>
          <w:trHeight w:val="20"/>
          <w:jc w:val="center"/>
        </w:trPr>
        <w:tc>
          <w:tcPr>
            <w:tcW w:w="849" w:type="dxa"/>
            <w:tcBorders>
              <w:top w:val="single" w:sz="4" w:space="0" w:color="auto"/>
              <w:left w:val="single" w:sz="4" w:space="0" w:color="auto"/>
              <w:bottom w:val="single" w:sz="4" w:space="0" w:color="auto"/>
              <w:right w:val="single" w:sz="4" w:space="0" w:color="auto"/>
            </w:tcBorders>
            <w:noWrap/>
            <w:vAlign w:val="center"/>
            <w:hideMark/>
          </w:tcPr>
          <w:p w14:paraId="4D5F43D7" w14:textId="77777777" w:rsidR="00504C4D" w:rsidRPr="00282C55" w:rsidRDefault="00504C4D" w:rsidP="00D0379D">
            <w:pPr>
              <w:spacing w:line="360" w:lineRule="auto"/>
              <w:jc w:val="center"/>
              <w:rPr>
                <w:rFonts w:asciiTheme="minorHAnsi" w:eastAsia="Times New Roman" w:hAnsiTheme="minorHAnsi" w:cstheme="minorHAnsi"/>
                <w:lang w:val="en-US" w:eastAsia="en-GB"/>
              </w:rPr>
            </w:pPr>
            <w:r w:rsidRPr="00282C55">
              <w:rPr>
                <w:rFonts w:asciiTheme="minorHAnsi" w:eastAsia="Times New Roman" w:hAnsiTheme="minorHAnsi" w:cstheme="minorHAnsi"/>
                <w:lang w:val="en-US" w:eastAsia="en-GB"/>
              </w:rPr>
              <w:t>Y</w:t>
            </w:r>
          </w:p>
        </w:tc>
        <w:tc>
          <w:tcPr>
            <w:tcW w:w="2277" w:type="dxa"/>
            <w:tcBorders>
              <w:top w:val="single" w:sz="4" w:space="0" w:color="auto"/>
              <w:left w:val="single" w:sz="4" w:space="0" w:color="auto"/>
              <w:bottom w:val="single" w:sz="4" w:space="0" w:color="auto"/>
              <w:right w:val="single" w:sz="4" w:space="0" w:color="auto"/>
            </w:tcBorders>
            <w:noWrap/>
            <w:vAlign w:val="center"/>
            <w:hideMark/>
          </w:tcPr>
          <w:p w14:paraId="5ABA5F5A"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w:t>
            </w:r>
          </w:p>
          <w:p w14:paraId="3AE8EE24"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 – 0.00] %</w:t>
            </w:r>
          </w:p>
          <w:p w14:paraId="1504AAE1"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(0.07)</w:t>
            </w:r>
          </w:p>
        </w:tc>
        <w:tc>
          <w:tcPr>
            <w:tcW w:w="1739" w:type="dxa"/>
            <w:tcBorders>
              <w:top w:val="single" w:sz="4" w:space="0" w:color="auto"/>
              <w:left w:val="single" w:sz="4" w:space="0" w:color="auto"/>
              <w:bottom w:val="single" w:sz="4" w:space="0" w:color="auto"/>
              <w:right w:val="single" w:sz="4" w:space="0" w:color="auto"/>
            </w:tcBorders>
            <w:vAlign w:val="center"/>
            <w:hideMark/>
          </w:tcPr>
          <w:p w14:paraId="6F1C3E5F"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w:t>
            </w:r>
          </w:p>
          <w:p w14:paraId="2991AB0A"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 – 3.00] %</w:t>
            </w:r>
          </w:p>
          <w:p w14:paraId="545B6118"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(0.70)</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0A8B3FA"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0.56%</w:t>
            </w:r>
          </w:p>
          <w:p w14:paraId="730D6AFD"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 – 4.00] %</w:t>
            </w:r>
          </w:p>
          <w:p w14:paraId="64CE5EB3"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(0.46)</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C13DD5B"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w:t>
            </w:r>
          </w:p>
          <w:p w14:paraId="011FCE38"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 – 1.00] %</w:t>
            </w:r>
          </w:p>
          <w:p w14:paraId="3C36EBDF"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(0.27)</w:t>
            </w:r>
          </w:p>
        </w:tc>
        <w:tc>
          <w:tcPr>
            <w:tcW w:w="1829" w:type="dxa"/>
            <w:tcBorders>
              <w:top w:val="single" w:sz="4" w:space="0" w:color="auto"/>
              <w:left w:val="single" w:sz="4" w:space="0" w:color="auto"/>
              <w:bottom w:val="single" w:sz="4" w:space="0" w:color="auto"/>
              <w:right w:val="single" w:sz="4" w:space="0" w:color="auto"/>
            </w:tcBorders>
            <w:vAlign w:val="center"/>
            <w:hideMark/>
          </w:tcPr>
          <w:p w14:paraId="2203A654"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1.07%</w:t>
            </w:r>
          </w:p>
          <w:p w14:paraId="01109B11"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[0.00 – 7.00] %</w:t>
            </w:r>
          </w:p>
          <w:p w14:paraId="751997A4" w14:textId="77777777" w:rsidR="00504C4D" w:rsidRPr="00282C55" w:rsidRDefault="00504C4D" w:rsidP="00D0379D">
            <w:pPr>
              <w:spacing w:line="360" w:lineRule="auto"/>
              <w:jc w:val="center"/>
              <w:rPr>
                <w:rFonts w:asciiTheme="minorHAnsi" w:eastAsia="Times New Roman" w:hAnsiTheme="minorHAnsi" w:cstheme="minorHAnsi"/>
                <w:lang w:eastAsia="en-GB"/>
              </w:rPr>
            </w:pPr>
            <w:r w:rsidRPr="00282C55">
              <w:rPr>
                <w:rFonts w:asciiTheme="minorHAnsi" w:eastAsia="Times New Roman" w:hAnsiTheme="minorHAnsi" w:cstheme="minorHAnsi"/>
                <w:lang w:eastAsia="en-GB"/>
              </w:rPr>
              <w:t>(0.47)</w:t>
            </w:r>
          </w:p>
        </w:tc>
      </w:tr>
    </w:tbl>
    <w:p w14:paraId="084EF71F" w14:textId="77777777" w:rsidR="009D0712" w:rsidRDefault="009D0712" w:rsidP="00282C55">
      <w:pPr>
        <w:spacing w:line="360" w:lineRule="auto"/>
        <w:jc w:val="both"/>
        <w:rPr>
          <w:rFonts w:asciiTheme="minorHAnsi" w:hAnsiTheme="minorHAnsi" w:cstheme="minorHAnsi"/>
          <w:lang w:val="en-US"/>
        </w:rPr>
      </w:pPr>
    </w:p>
    <w:p w14:paraId="2E7BADFF" w14:textId="1DC1DB48" w:rsidR="00322019" w:rsidRPr="00282C55" w:rsidRDefault="00D45F4F" w:rsidP="00282C55">
      <w:pPr>
        <w:spacing w:line="360" w:lineRule="auto"/>
        <w:jc w:val="both"/>
        <w:rPr>
          <w:rFonts w:asciiTheme="minorHAnsi" w:hAnsiTheme="minorHAnsi" w:cstheme="minorHAnsi"/>
          <w:lang w:val="en-US"/>
        </w:rPr>
      </w:pPr>
      <w:r>
        <w:rPr>
          <w:rFonts w:asciiTheme="minorHAnsi" w:hAnsiTheme="minorHAnsi" w:cstheme="minorHAnsi"/>
          <w:lang w:val="en-US"/>
        </w:rPr>
        <w:t xml:space="preserve">PTE </w:t>
      </w:r>
      <w:r w:rsidR="00322019" w:rsidRPr="00282C55">
        <w:rPr>
          <w:rFonts w:asciiTheme="minorHAnsi" w:hAnsiTheme="minorHAnsi" w:cstheme="minorHAnsi"/>
          <w:lang w:val="en-US"/>
        </w:rPr>
        <w:t>95% Confidence Interval (95CI) and p-values are reported for INFLA-score, c-reactive protein (CRP, log scale), platelet count (</w:t>
      </w:r>
      <w:proofErr w:type="spellStart"/>
      <w:r w:rsidR="00322019" w:rsidRPr="00282C55">
        <w:rPr>
          <w:rFonts w:asciiTheme="minorHAnsi" w:hAnsiTheme="minorHAnsi" w:cstheme="minorHAnsi"/>
          <w:lang w:val="en-US"/>
        </w:rPr>
        <w:t>Plt</w:t>
      </w:r>
      <w:proofErr w:type="spellEnd"/>
      <w:r w:rsidR="00322019" w:rsidRPr="00282C55">
        <w:rPr>
          <w:rFonts w:asciiTheme="minorHAnsi" w:hAnsiTheme="minorHAnsi" w:cstheme="minorHAnsi"/>
          <w:lang w:val="en-US"/>
        </w:rPr>
        <w:t xml:space="preserve">), white blood cell count (WBC, log scale) and granulocyte-to-lymphocyte ratio (GLR). Significant PTEs (p&lt;0.05) are highlighted in bold. Model “N” was adjusted for </w:t>
      </w:r>
      <w:r w:rsidR="00F43FDA">
        <w:rPr>
          <w:rFonts w:asciiTheme="minorHAnsi" w:hAnsiTheme="minorHAnsi" w:cstheme="minorHAnsi"/>
          <w:lang w:val="en-US"/>
        </w:rPr>
        <w:t xml:space="preserve">recruiting center, </w:t>
      </w:r>
      <w:proofErr w:type="gramStart"/>
      <w:r w:rsidR="00322019" w:rsidRPr="00282C55">
        <w:rPr>
          <w:rFonts w:asciiTheme="minorHAnsi" w:hAnsiTheme="minorHAnsi" w:cstheme="minorHAnsi"/>
          <w:lang w:val="en-US"/>
        </w:rPr>
        <w:t>sex</w:t>
      </w:r>
      <w:proofErr w:type="gramEnd"/>
      <w:r w:rsidR="00322019" w:rsidRPr="00282C55">
        <w:rPr>
          <w:rFonts w:asciiTheme="minorHAnsi" w:hAnsiTheme="minorHAnsi" w:cstheme="minorHAnsi"/>
          <w:lang w:val="en-US"/>
        </w:rPr>
        <w:t xml:space="preserve"> and age, whilst model “Y” was also adjusted for education, leisure-time physical activity, smoking status, drinking habits, diabetes, cancer, and cardiovascular disease. Note: PTEs and their confidence intervals were rounded to the second decimal place, therefore some of the limits may equal zero.</w:t>
      </w:r>
    </w:p>
    <w:p w14:paraId="735FB6B6" w14:textId="78C2FDDA" w:rsidR="00BB7387" w:rsidRPr="00C60516" w:rsidRDefault="00EC0515" w:rsidP="00282C55">
      <w:pPr>
        <w:widowControl w:val="0"/>
        <w:autoSpaceDE w:val="0"/>
        <w:autoSpaceDN w:val="0"/>
        <w:adjustRightInd w:val="0"/>
        <w:spacing w:line="360" w:lineRule="auto"/>
        <w:ind w:left="480" w:hanging="480"/>
        <w:rPr>
          <w:rFonts w:asciiTheme="minorHAnsi" w:hAnsiTheme="minorHAnsi" w:cstheme="minorHAnsi"/>
          <w:b/>
          <w:bCs/>
        </w:rPr>
      </w:pPr>
      <w:r w:rsidRPr="00C60516">
        <w:rPr>
          <w:rFonts w:asciiTheme="minorHAnsi" w:hAnsiTheme="minorHAnsi" w:cstheme="minorHAnsi"/>
          <w:b/>
          <w:bCs/>
        </w:rPr>
        <w:t>References</w:t>
      </w:r>
    </w:p>
    <w:p w14:paraId="081A781D" w14:textId="3A2D6FEF" w:rsidR="00F01247" w:rsidRPr="00F97B82" w:rsidRDefault="00BB7387" w:rsidP="00F01247">
      <w:pPr>
        <w:widowControl w:val="0"/>
        <w:autoSpaceDE w:val="0"/>
        <w:autoSpaceDN w:val="0"/>
        <w:adjustRightInd w:val="0"/>
        <w:spacing w:line="360" w:lineRule="auto"/>
        <w:rPr>
          <w:rFonts w:ascii="Calibri" w:hAnsi="Calibri" w:cs="Calibri"/>
          <w:noProof/>
          <w:lang w:val="en-US"/>
        </w:rPr>
      </w:pPr>
      <w:r w:rsidRPr="00282C55">
        <w:rPr>
          <w:rFonts w:asciiTheme="minorHAnsi" w:hAnsiTheme="minorHAnsi" w:cstheme="minorHAnsi"/>
          <w:lang w:val="en-US"/>
        </w:rPr>
        <w:fldChar w:fldCharType="begin" w:fldLock="1"/>
      </w:r>
      <w:r w:rsidRPr="00C60516">
        <w:rPr>
          <w:rFonts w:asciiTheme="minorHAnsi" w:hAnsiTheme="minorHAnsi" w:cstheme="minorHAnsi"/>
        </w:rPr>
        <w:instrText xml:space="preserve">ADDIN Mendeley Bibliography CSL_BIBLIOGRAPHY </w:instrText>
      </w:r>
      <w:r w:rsidRPr="00282C55">
        <w:rPr>
          <w:rFonts w:asciiTheme="minorHAnsi" w:hAnsiTheme="minorHAnsi" w:cstheme="minorHAnsi"/>
          <w:lang w:val="en-US"/>
        </w:rPr>
        <w:fldChar w:fldCharType="separate"/>
      </w:r>
      <w:r w:rsidR="00F01247" w:rsidRPr="00F01247">
        <w:rPr>
          <w:rFonts w:ascii="Calibri" w:hAnsi="Calibri" w:cs="Calibri"/>
          <w:noProof/>
        </w:rPr>
        <w:t xml:space="preserve">1. Santimone I, Di Castelnuovo A, De Curtis A, Spinelli M, Cugino D, Gianfagna F, et al. </w:t>
      </w:r>
      <w:r w:rsidR="00F01247" w:rsidRPr="00F97B82">
        <w:rPr>
          <w:rFonts w:ascii="Calibri" w:hAnsi="Calibri" w:cs="Calibri"/>
          <w:noProof/>
          <w:lang w:val="en-US"/>
        </w:rPr>
        <w:t>White blood cell count, sex and age are major determinants of heterogeneity of platelet indices in an adult general population: results from the MOLI-SANI project. Haematologica [Internet]. 2011 [cited 2018 Sep 8];96:1180–8. Available from: http://www.ncbi.nlm.nih.gov/pubmed/21546503</w:t>
      </w:r>
    </w:p>
    <w:p w14:paraId="7A7EADE6" w14:textId="77777777" w:rsidR="00F01247" w:rsidRPr="00F97B82" w:rsidRDefault="00F01247" w:rsidP="00F01247">
      <w:pPr>
        <w:widowControl w:val="0"/>
        <w:autoSpaceDE w:val="0"/>
        <w:autoSpaceDN w:val="0"/>
        <w:adjustRightInd w:val="0"/>
        <w:spacing w:line="360" w:lineRule="auto"/>
        <w:rPr>
          <w:rFonts w:ascii="Calibri" w:hAnsi="Calibri" w:cs="Calibri"/>
          <w:noProof/>
          <w:lang w:val="en-US"/>
        </w:rPr>
      </w:pPr>
      <w:r w:rsidRPr="00F97B82">
        <w:rPr>
          <w:rFonts w:ascii="Calibri" w:hAnsi="Calibri" w:cs="Calibri"/>
          <w:noProof/>
          <w:lang w:val="en-US"/>
        </w:rPr>
        <w:t>2. Ainsworth BE, Haskell WL, Whitt MC, Irwin ML, Swartz AM, Strath SJ, et al. Compendium of physical activities: an update of activity codes and MET intensities. Med Sci Sports Exerc [Internet]. 2000 [cited 2018 Sep 8];32:S498-504. Available from: http://www.ncbi.nlm.nih.gov/pubmed/10993420</w:t>
      </w:r>
    </w:p>
    <w:p w14:paraId="68E247B0" w14:textId="77777777" w:rsidR="00F01247" w:rsidRPr="00F97B82" w:rsidRDefault="00F01247" w:rsidP="00F01247">
      <w:pPr>
        <w:widowControl w:val="0"/>
        <w:autoSpaceDE w:val="0"/>
        <w:autoSpaceDN w:val="0"/>
        <w:adjustRightInd w:val="0"/>
        <w:spacing w:line="360" w:lineRule="auto"/>
        <w:rPr>
          <w:rFonts w:ascii="Calibri" w:hAnsi="Calibri" w:cs="Calibri"/>
          <w:noProof/>
          <w:lang w:val="en-US"/>
        </w:rPr>
      </w:pPr>
      <w:r w:rsidRPr="00F97B82">
        <w:rPr>
          <w:rFonts w:ascii="Calibri" w:hAnsi="Calibri" w:cs="Calibri"/>
          <w:noProof/>
          <w:lang w:val="en-US"/>
        </w:rPr>
        <w:t xml:space="preserve">3. Woolcott OO, Bergman RN. Relative fat mass (RFM) as a new estimator of whole-body fat percentage ─ A cross-sectional study in American adult individuals. Sci Rep. 2018;8:1–11. </w:t>
      </w:r>
    </w:p>
    <w:p w14:paraId="4BE523F2" w14:textId="77777777" w:rsidR="00F01247" w:rsidRPr="00F97B82" w:rsidRDefault="00F01247" w:rsidP="00F01247">
      <w:pPr>
        <w:widowControl w:val="0"/>
        <w:autoSpaceDE w:val="0"/>
        <w:autoSpaceDN w:val="0"/>
        <w:adjustRightInd w:val="0"/>
        <w:spacing w:line="360" w:lineRule="auto"/>
        <w:rPr>
          <w:rFonts w:ascii="Calibri" w:hAnsi="Calibri" w:cs="Calibri"/>
          <w:noProof/>
          <w:lang w:val="en-US"/>
        </w:rPr>
      </w:pPr>
      <w:r w:rsidRPr="00F97B82">
        <w:rPr>
          <w:rFonts w:ascii="Calibri" w:hAnsi="Calibri" w:cs="Calibri"/>
          <w:noProof/>
          <w:lang w:val="en-US"/>
        </w:rPr>
        <w:t>4. Pisani P, Faggiano F, Krogh V, Palli D, Vineis P, Berrino F. Relative validity and reproducibility of a food frequency dietary questionnaire for use in the Italian EPIC centres. Int J Epidemiol [Internet]. 1997 [cited 2018 Sep 8];26 Suppl 1:S152-60. Available from: http://www.ncbi.nlm.nih.gov/pubmed/9126543</w:t>
      </w:r>
    </w:p>
    <w:p w14:paraId="30A0E22B" w14:textId="77777777" w:rsidR="00F01247" w:rsidRPr="00F97B82" w:rsidRDefault="00F01247" w:rsidP="00F01247">
      <w:pPr>
        <w:widowControl w:val="0"/>
        <w:autoSpaceDE w:val="0"/>
        <w:autoSpaceDN w:val="0"/>
        <w:adjustRightInd w:val="0"/>
        <w:spacing w:line="360" w:lineRule="auto"/>
        <w:rPr>
          <w:rFonts w:ascii="Calibri" w:hAnsi="Calibri" w:cs="Calibri"/>
          <w:noProof/>
          <w:lang w:val="en-US"/>
        </w:rPr>
      </w:pPr>
      <w:r w:rsidRPr="00F01247">
        <w:rPr>
          <w:rFonts w:ascii="Calibri" w:hAnsi="Calibri" w:cs="Calibri"/>
          <w:noProof/>
        </w:rPr>
        <w:t xml:space="preserve">5. Costanzo S, Mukamal KJ, Di Castelnuovo A, Bonaccio M, Olivieri M, Persichillo M, et al. </w:t>
      </w:r>
      <w:r w:rsidRPr="00F97B82">
        <w:rPr>
          <w:rFonts w:ascii="Calibri" w:hAnsi="Calibri" w:cs="Calibri"/>
          <w:noProof/>
          <w:lang w:val="en-US"/>
        </w:rPr>
        <w:t xml:space="preserve">Alcohol consumption and hospitalization burden in an adult Italian population: prospective results from the Moli-sani study. Addiction. 2019;114:636–50. </w:t>
      </w:r>
    </w:p>
    <w:p w14:paraId="27114AA3" w14:textId="77777777" w:rsidR="00F01247" w:rsidRPr="00F97B82" w:rsidRDefault="00F01247" w:rsidP="00F01247">
      <w:pPr>
        <w:widowControl w:val="0"/>
        <w:autoSpaceDE w:val="0"/>
        <w:autoSpaceDN w:val="0"/>
        <w:adjustRightInd w:val="0"/>
        <w:spacing w:line="360" w:lineRule="auto"/>
        <w:rPr>
          <w:rFonts w:ascii="Calibri" w:hAnsi="Calibri" w:cs="Calibri"/>
          <w:noProof/>
          <w:lang w:val="en-US"/>
        </w:rPr>
      </w:pPr>
      <w:r w:rsidRPr="00F97B82">
        <w:rPr>
          <w:rFonts w:ascii="Calibri" w:hAnsi="Calibri" w:cs="Calibri"/>
          <w:noProof/>
          <w:lang w:val="en-US"/>
        </w:rPr>
        <w:t>6. Trichopoulou A, Costacou T, Bamia C, Trichopoulos D. Adherence to a Mediterranean Diet and Survival in a Greek Population. N Engl J Med [Internet]. 2003 [cited 2018 Sep 8];348:2599–608. Available from: http://www.ncbi.nlm.nih.gov/pubmed/12826634</w:t>
      </w:r>
    </w:p>
    <w:p w14:paraId="5D691FD6" w14:textId="77777777" w:rsidR="00F01247" w:rsidRPr="00F97B82" w:rsidRDefault="00F01247" w:rsidP="00F01247">
      <w:pPr>
        <w:widowControl w:val="0"/>
        <w:autoSpaceDE w:val="0"/>
        <w:autoSpaceDN w:val="0"/>
        <w:adjustRightInd w:val="0"/>
        <w:spacing w:line="360" w:lineRule="auto"/>
        <w:rPr>
          <w:rFonts w:ascii="Calibri" w:hAnsi="Calibri" w:cs="Calibri"/>
          <w:noProof/>
          <w:lang w:val="en-US"/>
        </w:rPr>
      </w:pPr>
      <w:r w:rsidRPr="00F97B82">
        <w:rPr>
          <w:rFonts w:ascii="Calibri" w:hAnsi="Calibri" w:cs="Calibri"/>
          <w:noProof/>
          <w:lang w:val="en-US"/>
        </w:rPr>
        <w:t xml:space="preserve">7. Connor KM, Davidson JRT. Development of a new resilience scale: the Connor-Davidson Resilience Scale (CD-RISC). Depress Anxiety. United States; 2003;18:76–82. </w:t>
      </w:r>
    </w:p>
    <w:p w14:paraId="24F73FAB" w14:textId="77777777" w:rsidR="00F01247" w:rsidRPr="00F97B82" w:rsidRDefault="00F01247" w:rsidP="00F01247">
      <w:pPr>
        <w:widowControl w:val="0"/>
        <w:autoSpaceDE w:val="0"/>
        <w:autoSpaceDN w:val="0"/>
        <w:adjustRightInd w:val="0"/>
        <w:spacing w:line="360" w:lineRule="auto"/>
        <w:rPr>
          <w:rFonts w:ascii="Calibri" w:hAnsi="Calibri" w:cs="Calibri"/>
          <w:noProof/>
          <w:lang w:val="en-US"/>
        </w:rPr>
      </w:pPr>
      <w:r w:rsidRPr="00F97B82">
        <w:rPr>
          <w:rFonts w:ascii="Calibri" w:hAnsi="Calibri" w:cs="Calibri"/>
          <w:noProof/>
          <w:lang w:val="en-US"/>
        </w:rPr>
        <w:t xml:space="preserve">8. Pounis G, Bonaccio M, Di Castelnuovo A, Costanzo S, De Curtis A, Persichillo M, et al. Polyphenol intake is associated with low-grade inflammation, using a novel data analysis from the Moli-sani study. Thromb Haemost. 2016;115:344–52. </w:t>
      </w:r>
    </w:p>
    <w:p w14:paraId="6AFCEEE4" w14:textId="5ACC8355" w:rsidR="00BB7387" w:rsidRPr="00282C55" w:rsidRDefault="00BB7387" w:rsidP="00F01247">
      <w:pPr>
        <w:widowControl w:val="0"/>
        <w:autoSpaceDE w:val="0"/>
        <w:autoSpaceDN w:val="0"/>
        <w:adjustRightInd w:val="0"/>
        <w:spacing w:line="360" w:lineRule="auto"/>
        <w:ind w:left="640" w:hanging="640"/>
        <w:rPr>
          <w:rFonts w:asciiTheme="minorHAnsi" w:hAnsiTheme="minorHAnsi" w:cstheme="minorHAnsi"/>
          <w:lang w:val="en-US"/>
        </w:rPr>
      </w:pPr>
      <w:r w:rsidRPr="00282C55">
        <w:rPr>
          <w:rFonts w:asciiTheme="minorHAnsi" w:hAnsiTheme="minorHAnsi" w:cstheme="minorHAnsi"/>
          <w:lang w:val="en-US"/>
        </w:rPr>
        <w:fldChar w:fldCharType="end"/>
      </w:r>
    </w:p>
    <w:p w14:paraId="62300DAF" w14:textId="1E1C556A" w:rsidR="00C14798" w:rsidRDefault="00C14798">
      <w:pPr>
        <w:rPr>
          <w:lang w:val="en-US"/>
        </w:rPr>
      </w:pPr>
    </w:p>
    <w:p w14:paraId="40058BAA" w14:textId="7C2BFABD" w:rsidR="00C66160" w:rsidRDefault="00C66160">
      <w:pPr>
        <w:rPr>
          <w:lang w:val="en-US"/>
        </w:rPr>
      </w:pPr>
    </w:p>
    <w:p w14:paraId="3E3F1979" w14:textId="77777777" w:rsidR="00F01247" w:rsidRDefault="00F01247">
      <w:pPr>
        <w:rPr>
          <w:lang w:val="en-US"/>
        </w:rPr>
      </w:pPr>
    </w:p>
    <w:p w14:paraId="38E52E8F" w14:textId="4B37E67C" w:rsidR="00C66160" w:rsidRDefault="00C66160">
      <w:pPr>
        <w:rPr>
          <w:lang w:val="en-US"/>
        </w:rPr>
      </w:pPr>
    </w:p>
    <w:p w14:paraId="3A920847" w14:textId="0F544E7C" w:rsidR="00C66160" w:rsidRDefault="00C66160">
      <w:pPr>
        <w:rPr>
          <w:lang w:val="en-US"/>
        </w:rPr>
      </w:pPr>
    </w:p>
    <w:p w14:paraId="3053917D" w14:textId="16D5DED9" w:rsidR="00C66160" w:rsidRDefault="00E02B7C" w:rsidP="00E02B7C">
      <w:pPr>
        <w:tabs>
          <w:tab w:val="left" w:pos="2325"/>
        </w:tabs>
        <w:rPr>
          <w:lang w:val="en-US"/>
        </w:rPr>
      </w:pPr>
      <w:r>
        <w:rPr>
          <w:lang w:val="en-US"/>
        </w:rPr>
        <w:tab/>
      </w:r>
    </w:p>
    <w:p w14:paraId="25D2D8B1" w14:textId="24CFB813" w:rsidR="00E02B7C" w:rsidRDefault="00E02B7C" w:rsidP="00E02B7C">
      <w:pPr>
        <w:tabs>
          <w:tab w:val="left" w:pos="2325"/>
        </w:tabs>
        <w:rPr>
          <w:lang w:val="en-US"/>
        </w:rPr>
      </w:pPr>
    </w:p>
    <w:p w14:paraId="73A2F91B" w14:textId="77777777" w:rsidR="00C66160" w:rsidRPr="00C66160" w:rsidRDefault="00C66160" w:rsidP="00C66160">
      <w:pPr>
        <w:spacing w:line="360" w:lineRule="auto"/>
        <w:rPr>
          <w:rFonts w:asciiTheme="minorHAnsi" w:hAnsiTheme="minorHAnsi" w:cstheme="minorHAnsi"/>
          <w:lang w:val="en-GB"/>
        </w:rPr>
      </w:pPr>
    </w:p>
    <w:sectPr w:rsidR="00C66160" w:rsidRPr="00C66160" w:rsidSect="00DA5E3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50A1C" w14:textId="77777777" w:rsidR="003C5BAF" w:rsidRDefault="003C5BAF" w:rsidP="00005BF0">
      <w:r>
        <w:separator/>
      </w:r>
    </w:p>
  </w:endnote>
  <w:endnote w:type="continuationSeparator" w:id="0">
    <w:p w14:paraId="633CD906" w14:textId="77777777" w:rsidR="003C5BAF" w:rsidRDefault="003C5BAF" w:rsidP="0000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246D4" w14:textId="77777777" w:rsidR="003C5BAF" w:rsidRDefault="003C5BAF" w:rsidP="00005BF0">
      <w:r>
        <w:separator/>
      </w:r>
    </w:p>
  </w:footnote>
  <w:footnote w:type="continuationSeparator" w:id="0">
    <w:p w14:paraId="5D3DD9DF" w14:textId="77777777" w:rsidR="003C5BAF" w:rsidRDefault="003C5BAF" w:rsidP="00005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1057"/>
    <w:rsid w:val="00005BF0"/>
    <w:rsid w:val="0001454F"/>
    <w:rsid w:val="00016C5C"/>
    <w:rsid w:val="00022C4E"/>
    <w:rsid w:val="00024E06"/>
    <w:rsid w:val="00037650"/>
    <w:rsid w:val="00042D1E"/>
    <w:rsid w:val="00062BCB"/>
    <w:rsid w:val="000979C1"/>
    <w:rsid w:val="00106721"/>
    <w:rsid w:val="00135D70"/>
    <w:rsid w:val="001362AD"/>
    <w:rsid w:val="00141AD7"/>
    <w:rsid w:val="001A155D"/>
    <w:rsid w:val="001C1666"/>
    <w:rsid w:val="001D48B4"/>
    <w:rsid w:val="001F7B56"/>
    <w:rsid w:val="00207E8D"/>
    <w:rsid w:val="00222829"/>
    <w:rsid w:val="00224C0C"/>
    <w:rsid w:val="00236785"/>
    <w:rsid w:val="00252C63"/>
    <w:rsid w:val="00253FE2"/>
    <w:rsid w:val="00281476"/>
    <w:rsid w:val="00282C55"/>
    <w:rsid w:val="002A3C66"/>
    <w:rsid w:val="002A5454"/>
    <w:rsid w:val="002E793D"/>
    <w:rsid w:val="002F37E8"/>
    <w:rsid w:val="00322019"/>
    <w:rsid w:val="00362751"/>
    <w:rsid w:val="003741D5"/>
    <w:rsid w:val="003B1097"/>
    <w:rsid w:val="003C5BAF"/>
    <w:rsid w:val="003C707C"/>
    <w:rsid w:val="0043760B"/>
    <w:rsid w:val="00440177"/>
    <w:rsid w:val="0046126D"/>
    <w:rsid w:val="004760C1"/>
    <w:rsid w:val="00504C4D"/>
    <w:rsid w:val="00510323"/>
    <w:rsid w:val="00534692"/>
    <w:rsid w:val="005402D8"/>
    <w:rsid w:val="00551C34"/>
    <w:rsid w:val="00573F5A"/>
    <w:rsid w:val="005A0433"/>
    <w:rsid w:val="005A13AF"/>
    <w:rsid w:val="005E1057"/>
    <w:rsid w:val="005E234E"/>
    <w:rsid w:val="005F04E7"/>
    <w:rsid w:val="00606689"/>
    <w:rsid w:val="0061245B"/>
    <w:rsid w:val="00635E6A"/>
    <w:rsid w:val="006429F4"/>
    <w:rsid w:val="006626BE"/>
    <w:rsid w:val="00670E91"/>
    <w:rsid w:val="00675996"/>
    <w:rsid w:val="006D5CDD"/>
    <w:rsid w:val="007270A1"/>
    <w:rsid w:val="0073722B"/>
    <w:rsid w:val="007C44F9"/>
    <w:rsid w:val="007D0C29"/>
    <w:rsid w:val="007E2A9A"/>
    <w:rsid w:val="007F62FC"/>
    <w:rsid w:val="00862E95"/>
    <w:rsid w:val="00867346"/>
    <w:rsid w:val="008D01A2"/>
    <w:rsid w:val="00944D22"/>
    <w:rsid w:val="00962339"/>
    <w:rsid w:val="009649EC"/>
    <w:rsid w:val="009D0064"/>
    <w:rsid w:val="009D0459"/>
    <w:rsid w:val="009D0712"/>
    <w:rsid w:val="009D1699"/>
    <w:rsid w:val="009F0193"/>
    <w:rsid w:val="009F43FC"/>
    <w:rsid w:val="009F5F8A"/>
    <w:rsid w:val="00A00CA9"/>
    <w:rsid w:val="00A14C00"/>
    <w:rsid w:val="00A667C3"/>
    <w:rsid w:val="00A81377"/>
    <w:rsid w:val="00A92D08"/>
    <w:rsid w:val="00AB06E2"/>
    <w:rsid w:val="00B15D6E"/>
    <w:rsid w:val="00B20F62"/>
    <w:rsid w:val="00B22568"/>
    <w:rsid w:val="00B53CB9"/>
    <w:rsid w:val="00B95691"/>
    <w:rsid w:val="00BB5180"/>
    <w:rsid w:val="00BB7387"/>
    <w:rsid w:val="00BE4376"/>
    <w:rsid w:val="00C14798"/>
    <w:rsid w:val="00C5069E"/>
    <w:rsid w:val="00C57D31"/>
    <w:rsid w:val="00C60516"/>
    <w:rsid w:val="00C66160"/>
    <w:rsid w:val="00CA3242"/>
    <w:rsid w:val="00CC415E"/>
    <w:rsid w:val="00D0379D"/>
    <w:rsid w:val="00D11A53"/>
    <w:rsid w:val="00D45F4F"/>
    <w:rsid w:val="00D47998"/>
    <w:rsid w:val="00D56426"/>
    <w:rsid w:val="00D93750"/>
    <w:rsid w:val="00DA5E34"/>
    <w:rsid w:val="00DE5B08"/>
    <w:rsid w:val="00E02B7C"/>
    <w:rsid w:val="00E07655"/>
    <w:rsid w:val="00E10945"/>
    <w:rsid w:val="00E7742F"/>
    <w:rsid w:val="00EA5298"/>
    <w:rsid w:val="00EB5DAF"/>
    <w:rsid w:val="00EC0515"/>
    <w:rsid w:val="00EC5B82"/>
    <w:rsid w:val="00EC6C55"/>
    <w:rsid w:val="00ED44CD"/>
    <w:rsid w:val="00EE1CA7"/>
    <w:rsid w:val="00EF0C7E"/>
    <w:rsid w:val="00F01247"/>
    <w:rsid w:val="00F43FDA"/>
    <w:rsid w:val="00F66385"/>
    <w:rsid w:val="00F97B82"/>
    <w:rsid w:val="00FA1B5E"/>
    <w:rsid w:val="00FB5885"/>
    <w:rsid w:val="00FC6B63"/>
    <w:rsid w:val="00FD36FE"/>
    <w:rsid w:val="00FF338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0510"/>
  <w15:docId w15:val="{566DBCF3-19A3-4756-A594-BC8FA007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996"/>
    <w:pPr>
      <w:spacing w:after="0" w:line="240" w:lineRule="auto"/>
    </w:pPr>
    <w:rPr>
      <w:rFonts w:ascii="Times New Roman" w:hAnsi="Times New Roman" w:cs="Times New Roman"/>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BF0"/>
    <w:pPr>
      <w:tabs>
        <w:tab w:val="center" w:pos="4819"/>
        <w:tab w:val="right" w:pos="9638"/>
      </w:tabs>
    </w:pPr>
  </w:style>
  <w:style w:type="character" w:customStyle="1" w:styleId="HeaderChar">
    <w:name w:val="Header Char"/>
    <w:basedOn w:val="DefaultParagraphFont"/>
    <w:link w:val="Header"/>
    <w:uiPriority w:val="99"/>
    <w:rsid w:val="00005BF0"/>
    <w:rPr>
      <w:rFonts w:ascii="Times New Roman" w:hAnsi="Times New Roman" w:cs="Times New Roman"/>
      <w:sz w:val="24"/>
      <w:szCs w:val="24"/>
      <w:lang w:val="it-IT" w:eastAsia="it-IT"/>
    </w:rPr>
  </w:style>
  <w:style w:type="paragraph" w:styleId="Footer">
    <w:name w:val="footer"/>
    <w:basedOn w:val="Normal"/>
    <w:link w:val="FooterChar"/>
    <w:uiPriority w:val="99"/>
    <w:unhideWhenUsed/>
    <w:rsid w:val="00005BF0"/>
    <w:pPr>
      <w:tabs>
        <w:tab w:val="center" w:pos="4819"/>
        <w:tab w:val="right" w:pos="9638"/>
      </w:tabs>
    </w:pPr>
  </w:style>
  <w:style w:type="character" w:customStyle="1" w:styleId="FooterChar">
    <w:name w:val="Footer Char"/>
    <w:basedOn w:val="DefaultParagraphFont"/>
    <w:link w:val="Footer"/>
    <w:uiPriority w:val="99"/>
    <w:rsid w:val="00005BF0"/>
    <w:rPr>
      <w:rFonts w:ascii="Times New Roman" w:hAnsi="Times New Roman" w:cs="Times New Roman"/>
      <w:sz w:val="24"/>
      <w:szCs w:val="24"/>
      <w:lang w:val="it-IT" w:eastAsia="it-IT"/>
    </w:rPr>
  </w:style>
  <w:style w:type="table" w:styleId="GridTable1Light">
    <w:name w:val="Grid Table 1 Light"/>
    <w:basedOn w:val="TableNormal"/>
    <w:uiPriority w:val="46"/>
    <w:rsid w:val="00022C4E"/>
    <w:pPr>
      <w:spacing w:after="0" w:line="240" w:lineRule="auto"/>
    </w:pPr>
    <w:rPr>
      <w:lang w:val="it-IT"/>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1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423B1CC-3678-428B-8604-57E0EBBC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7108</Words>
  <Characters>40521</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SANTONASTASO</dc:creator>
  <cp:keywords/>
  <dc:description/>
  <cp:lastModifiedBy>Olliver, Tania</cp:lastModifiedBy>
  <cp:revision>2</cp:revision>
  <dcterms:created xsi:type="dcterms:W3CDTF">2021-09-15T02:55:00Z</dcterms:created>
  <dcterms:modified xsi:type="dcterms:W3CDTF">2021-09-15T02:55:00Z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http://www.zotero.org/styles/brain-behavior-and-immunity</vt:lpwstr>
  </property>
  <property fmtid="{D5CDD505-2E9C-101B-9397-08002B2CF9AE}" pid="3" name="Mendeley Recent Style Name 0_1">
    <vt:lpwstr>Brain Behavior and Immunity</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http://www.zotero.org/styles/clinical-infectious-diseases</vt:lpwstr>
  </property>
  <property fmtid="{D5CDD505-2E9C-101B-9397-08002B2CF9AE}" pid="7" name="Mendeley Recent Style Name 2_1">
    <vt:lpwstr>Clinical Infectious Diseases</vt:lpwstr>
  </property>
  <property fmtid="{D5CDD505-2E9C-101B-9397-08002B2CF9AE}" pid="8" name="Mendeley Recent Style Id 3_1">
    <vt:lpwstr>http://www.zotero.org/styles/clinical-nutrition</vt:lpwstr>
  </property>
  <property fmtid="{D5CDD505-2E9C-101B-9397-08002B2CF9AE}" pid="9" name="Mendeley Recent Style Name 3_1">
    <vt:lpwstr>Clinical Nutrition</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http://www.zotero.org/styles/journal-of-affective-disorders</vt:lpwstr>
  </property>
  <property fmtid="{D5CDD505-2E9C-101B-9397-08002B2CF9AE}" pid="13" name="Mendeley Recent Style Name 5_1">
    <vt:lpwstr>Journal of Affective Disorders</vt:lpwstr>
  </property>
  <property fmtid="{D5CDD505-2E9C-101B-9397-08002B2CF9AE}" pid="14" name="Mendeley Recent Style Id 6_1">
    <vt:lpwstr>http://www.zotero.org/styles/journal-of-inflammation</vt:lpwstr>
  </property>
  <property fmtid="{D5CDD505-2E9C-101B-9397-08002B2CF9AE}" pid="15" name="Mendeley Recent Style Name 6_1">
    <vt:lpwstr>Journal of Inflammation</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http://www.zotero.org/styles/nature-communications</vt:lpwstr>
  </property>
  <property fmtid="{D5CDD505-2E9C-101B-9397-08002B2CF9AE}" pid="21" name="Mendeley Recent Style Name 9_1">
    <vt:lpwstr>Nature Communications</vt:lpwstr>
  </property>
  <property fmtid="{D5CDD505-2E9C-101B-9397-08002B2CF9AE}" pid="22" name="Mendeley Document_1">
    <vt:lpwstr>True</vt:lpwstr>
  </property>
  <property fmtid="{D5CDD505-2E9C-101B-9397-08002B2CF9AE}" pid="23" name="Mendeley Unique User Id_1">
    <vt:lpwstr>7789cf0e-4d78-3afc-a841-faba2dbdd52f</vt:lpwstr>
  </property>
  <property fmtid="{D5CDD505-2E9C-101B-9397-08002B2CF9AE}" pid="24" name="Mendeley Citation Style_1">
    <vt:lpwstr>http://www.zotero.org/styles/journal-of-inflammation</vt:lpwstr>
  </property>
</Properties>
</file>