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uto"/>
        <w:jc w:val="left"/>
        <w:rPr>
          <w:b/>
          <w:bCs/>
          <w:color w:val="000000"/>
          <w:sz w:val="20"/>
          <w:szCs w:val="20"/>
        </w:rPr>
      </w:pPr>
      <w:r>
        <w:rPr>
          <w:rFonts w:eastAsia="GlhydfAdvTTb5929f4c"/>
          <w:b/>
          <w:bCs/>
          <w:color w:val="000000"/>
          <w:kern w:val="0"/>
          <w:sz w:val="20"/>
          <w:szCs w:val="20"/>
          <w:lang w:bidi="ar"/>
        </w:rPr>
        <w:t>Supplementary Table 1 Characteristics of patients who failed to achieve SVR12</w:t>
      </w:r>
    </w:p>
    <w:tbl>
      <w:tblPr>
        <w:tblStyle w:val="3"/>
        <w:tblpPr w:leftFromText="180" w:rightFromText="180" w:vertAnchor="text" w:horzAnchor="page" w:tblpX="1110" w:tblpY="218"/>
        <w:tblOverlap w:val="never"/>
        <w:tblW w:w="101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757"/>
        <w:gridCol w:w="491"/>
        <w:gridCol w:w="666"/>
        <w:gridCol w:w="916"/>
        <w:gridCol w:w="1004"/>
        <w:gridCol w:w="894"/>
        <w:gridCol w:w="1124"/>
        <w:gridCol w:w="971"/>
        <w:gridCol w:w="545"/>
        <w:gridCol w:w="535"/>
        <w:gridCol w:w="523"/>
        <w:gridCol w:w="611"/>
        <w:gridCol w:w="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510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No.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/>
                <w:b/>
                <w:bCs/>
                <w:color w:val="000000"/>
                <w:sz w:val="16"/>
                <w:szCs w:val="16"/>
              </w:rPr>
              <w:t>Sex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1" w:type="dxa"/>
            <w:tcBorders>
              <w:left w:val="nil"/>
              <w:right w:val="nil"/>
            </w:tcBorders>
            <w:vAlign w:val="center"/>
          </w:tcPr>
          <w:p>
            <w:pPr>
              <w:spacing w:line="48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Age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HCV-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RNA</w:t>
            </w:r>
          </w:p>
        </w:tc>
        <w:tc>
          <w:tcPr>
            <w:tcW w:w="916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Genotype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Treatment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regimen</w:t>
            </w:r>
          </w:p>
        </w:tc>
        <w:tc>
          <w:tcPr>
            <w:tcW w:w="894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Cirrhosis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4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Treatment experienced</w:t>
            </w:r>
            <w:r>
              <w:rPr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HBV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coinfection</w:t>
            </w:r>
          </w:p>
        </w:tc>
        <w:tc>
          <w:tcPr>
            <w:tcW w:w="54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ALT</w:t>
            </w:r>
          </w:p>
        </w:tc>
        <w:tc>
          <w:tcPr>
            <w:tcW w:w="53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AST</w:t>
            </w:r>
          </w:p>
        </w:tc>
        <w:tc>
          <w:tcPr>
            <w:tcW w:w="523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PLT</w:t>
            </w:r>
          </w:p>
        </w:tc>
        <w:tc>
          <w:tcPr>
            <w:tcW w:w="611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APRI</w:t>
            </w:r>
          </w:p>
        </w:tc>
        <w:tc>
          <w:tcPr>
            <w:tcW w:w="622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FIB-4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510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57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491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6.20</w:t>
            </w:r>
          </w:p>
        </w:tc>
        <w:tc>
          <w:tcPr>
            <w:tcW w:w="916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3b</w:t>
            </w:r>
          </w:p>
        </w:tc>
        <w:tc>
          <w:tcPr>
            <w:tcW w:w="1004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SOF+RBV</w:t>
            </w:r>
          </w:p>
        </w:tc>
        <w:tc>
          <w:tcPr>
            <w:tcW w:w="894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24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971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54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53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52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</w:t>
            </w:r>
          </w:p>
        </w:tc>
        <w:tc>
          <w:tcPr>
            <w:tcW w:w="61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62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5.85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3b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SOF+RBV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253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1.93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UK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3b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SOF/VEL+RBV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UK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UK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UK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UK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5.23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3k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SOF/VEL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3.22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510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491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666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6.69</w:t>
            </w:r>
          </w:p>
        </w:tc>
        <w:tc>
          <w:tcPr>
            <w:tcW w:w="916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6a</w:t>
            </w:r>
          </w:p>
        </w:tc>
        <w:tc>
          <w:tcPr>
            <w:tcW w:w="100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SOF/VEL</w:t>
            </w:r>
          </w:p>
        </w:tc>
        <w:tc>
          <w:tcPr>
            <w:tcW w:w="89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971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545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52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</w:t>
            </w: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2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1.9</w:t>
            </w:r>
          </w:p>
        </w:tc>
      </w:tr>
    </w:tbl>
    <w:p>
      <w:pPr>
        <w:tabs>
          <w:tab w:val="left" w:pos="3028"/>
        </w:tabs>
        <w:spacing w:line="480" w:lineRule="auto"/>
        <w:jc w:val="left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Abbreviations: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kern w:val="0"/>
          <w:sz w:val="20"/>
          <w:szCs w:val="20"/>
        </w:rPr>
        <w:t>ALT, alanine aminotransaminase; APRI, aspartate aminotransferase to platelet ratio index; AST, aspartate aminotransferase; FIB-4, f</w:t>
      </w:r>
      <w:r>
        <w:rPr>
          <w:color w:val="000000"/>
          <w:sz w:val="20"/>
          <w:szCs w:val="20"/>
        </w:rPr>
        <w:t>ibrosis-4; HBV, hepatitis B virus</w:t>
      </w:r>
      <w:r>
        <w:rPr>
          <w:color w:val="000000"/>
          <w:kern w:val="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t xml:space="preserve">HCV, hepatitis C virus; </w:t>
      </w:r>
      <w:r>
        <w:rPr>
          <w:color w:val="000000"/>
          <w:kern w:val="0"/>
          <w:sz w:val="20"/>
          <w:szCs w:val="20"/>
        </w:rPr>
        <w:t>PLT, p</w:t>
      </w:r>
      <w:r>
        <w:rPr>
          <w:color w:val="000000"/>
          <w:sz w:val="20"/>
          <w:szCs w:val="20"/>
        </w:rPr>
        <w:t xml:space="preserve">latelet; RBV, ribavirin; RNA, ribonucleic acid; SOF, sofosbuvir; UK, </w:t>
      </w:r>
      <w:r>
        <w:rPr>
          <w:color w:val="000000"/>
          <w:kern w:val="0"/>
          <w:sz w:val="20"/>
          <w:szCs w:val="20"/>
        </w:rPr>
        <w:t xml:space="preserve">unknown; </w:t>
      </w:r>
      <w:r>
        <w:rPr>
          <w:color w:val="000000"/>
          <w:sz w:val="20"/>
          <w:szCs w:val="20"/>
        </w:rPr>
        <w:t xml:space="preserve">VEL, </w:t>
      </w:r>
      <w:r>
        <w:rPr>
          <w:color w:val="000000"/>
          <w:kern w:val="0"/>
          <w:sz w:val="20"/>
          <w:szCs w:val="20"/>
        </w:rPr>
        <w:t>velpatasvir.</w:t>
      </w:r>
    </w:p>
    <w:p>
      <w:pPr>
        <w:spacing w:line="480" w:lineRule="auto"/>
        <w:rPr>
          <w:color w:val="000000"/>
          <w:sz w:val="20"/>
          <w:szCs w:val="20"/>
        </w:rPr>
      </w:pPr>
      <w:r>
        <w:rPr>
          <w:color w:val="000000"/>
          <w:kern w:val="0"/>
          <w:sz w:val="20"/>
          <w:szCs w:val="20"/>
          <w:vertAlign w:val="superscript"/>
        </w:rPr>
        <w:t>a</w:t>
      </w:r>
      <w:r>
        <w:rPr>
          <w:color w:val="000000"/>
          <w:kern w:val="0"/>
          <w:sz w:val="20"/>
          <w:szCs w:val="20"/>
        </w:rPr>
        <w:t>: T</w:t>
      </w:r>
      <w:r>
        <w:rPr>
          <w:color w:val="000000"/>
          <w:sz w:val="20"/>
          <w:szCs w:val="20"/>
        </w:rPr>
        <w:t>reated with DAAs or interferon and ribavirin regimens.</w:t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3028"/>
        </w:tabs>
        <w:spacing w:line="480" w:lineRule="auto"/>
        <w:jc w:val="left"/>
        <w:rPr>
          <w:rFonts w:hint="eastAsia"/>
          <w:color w:val="000000"/>
          <w:sz w:val="20"/>
          <w:szCs w:val="20"/>
        </w:rPr>
      </w:pPr>
      <w:r>
        <w:rPr>
          <w:rFonts w:eastAsia="GlhydfAdvTTb5929f4c"/>
          <w:b/>
          <w:bCs/>
          <w:color w:val="000000"/>
          <w:kern w:val="0"/>
          <w:sz w:val="20"/>
          <w:szCs w:val="20"/>
          <w:lang w:bidi="ar"/>
        </w:rPr>
        <w:t xml:space="preserve">Supplementary </w:t>
      </w:r>
      <w:r>
        <w:rPr>
          <w:b/>
          <w:bCs/>
          <w:color w:val="000000"/>
          <w:sz w:val="20"/>
          <w:szCs w:val="20"/>
        </w:rPr>
        <w:t>Table 2 Fibrosis improvement evaluated by APRI and FIB-4 in patients with different characteristics</w:t>
      </w:r>
    </w:p>
    <w:tbl>
      <w:tblPr>
        <w:tblStyle w:val="3"/>
        <w:tblpPr w:leftFromText="180" w:rightFromText="180" w:vertAnchor="text" w:horzAnchor="page" w:tblpX="1690" w:tblpY="275"/>
        <w:tblOverlap w:val="never"/>
        <w:tblW w:w="89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7"/>
        <w:gridCol w:w="991"/>
        <w:gridCol w:w="1212"/>
        <w:gridCol w:w="1284"/>
        <w:gridCol w:w="804"/>
        <w:gridCol w:w="1200"/>
        <w:gridCol w:w="1332"/>
        <w:gridCol w:w="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9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  <w:vertAlign w:val="superscript"/>
              </w:rPr>
            </w:pPr>
            <w:r>
              <w:rPr>
                <w:color w:val="00000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175260</wp:posOffset>
                      </wp:positionV>
                      <wp:extent cx="893445" cy="635"/>
                      <wp:effectExtent l="0" t="0" r="0" b="0"/>
                      <wp:wrapNone/>
                      <wp:docPr id="3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344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3pt;margin-top:13.8pt;height:0.05pt;width:70.35pt;z-index:251659264;mso-width-relative:page;mso-height-relative:page;" filled="f" stroked="t" coordsize="21600,21600" o:gfxdata="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ktWlnWAAAACAEAAA8AAAAAAAAAAQAgAAAAIgAAAGRycy9kb3ducmV2LnhtbFBLAQIU&#10;ABQAAAAIAIdO4kByxmy59QEAAOUDAAAOAAAAAAAAAAEAIAAAACUBAABkcnMvZTJvRG9jLnhtbFBL&#10;BQYAAAAABgAGAFkBAACM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          FIB-4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Before treatment After treatment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 value</w:t>
            </w:r>
          </w:p>
        </w:tc>
        <w:tc>
          <w:tcPr>
            <w:tcW w:w="25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ind w:firstLine="960" w:firstLineChars="60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180340</wp:posOffset>
                      </wp:positionV>
                      <wp:extent cx="1005205" cy="635"/>
                      <wp:effectExtent l="0" t="0" r="0" b="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0520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8.25pt;margin-top:14.2pt;height:0.05pt;width:79.15pt;z-index:251659264;mso-width-relative:page;mso-height-relative:page;" filled="f" stroked="t" coordsize="21600,21600" o:gfxdata="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us2p31wAAAAgBAAAPAAAAAAAAAAEAIAAAACIAAABkcnMvZG93bnJldi54&#10;bWxQSwECFAAUAAAACACHTuJATjDJ+/sBAADwAwAADgAAAAAAAAABACAAAAAmAQAAZHJzL2Uyb0Rv&#10;Yy54bWxQSwUGAAAAAAYABgBZAQAAkw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b/>
                <w:bCs/>
                <w:color w:val="000000"/>
                <w:sz w:val="16"/>
                <w:szCs w:val="16"/>
              </w:rPr>
              <w:t>APRI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Before treatment After treatment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 value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/>
                <w:b/>
                <w:bCs/>
                <w:color w:val="000000"/>
                <w:sz w:val="16"/>
                <w:szCs w:val="16"/>
              </w:rPr>
              <w:t>Sex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121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4.25±4.57</w:t>
            </w:r>
          </w:p>
        </w:tc>
        <w:tc>
          <w:tcPr>
            <w:tcW w:w="128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2.36±2.51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2.77±3.20</w:t>
            </w: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0.66±0.80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2.17±1.77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1.66±1.40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1.21±1.06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0.41±0.36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Age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&lt;40y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1.86±1.83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1.12±0.71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1.47±1.47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0.35±0.24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≥40y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4.73±4.61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2.82±2.62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2.79±3.30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0.73±0.84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Cirrhosis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6.26±4.73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3.49±2.77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4.03±3.42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0.97±0.89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1.43±0.80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1.06±0.48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0.86±0.44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0.27±0.14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Viral load</w:t>
            </w:r>
            <w:r>
              <w:rPr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3.21±3.25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1.88±1.78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1.93±1.67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0.46±0.38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4.30±5.22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2.66±2.92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2.93±4.25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0.82±1.07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Treatment experienced</w:t>
            </w:r>
            <w:r>
              <w:rPr>
                <w:b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6.50±6.75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3.70±3.50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3.94±4.06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0.84±0.69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3.15±3.32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1.91±1.93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2.02±2.50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0.54±0.69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HBV</w:t>
            </w:r>
            <w:r>
              <w:rPr>
                <w:b/>
                <w:bCs/>
                <w:color w:val="000000"/>
                <w:sz w:val="16"/>
                <w:szCs w:val="16"/>
                <w:vertAlign w:val="superscript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coinfection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1.00±0.21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1.10±0.81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0.851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0.94±0.31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0.30±0.16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3.72±4.05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2.20±2.27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2.34±2.84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0.60±0.71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ALT level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elevated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3.27±3.44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2.02±2.10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2.36±2.88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0.57±0.70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normal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5.33±6.43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2.83±2.89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1.55±1.92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0.60±0.65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Genotype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4.27±4.66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2.51±2.70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2.90±3.35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0.73±0.86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2.59±2.58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1.61±1.16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1.37±1.30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0.37±2.44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Treatment regimens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SOF±RBV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2.54±2.72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1.38±1.08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1.40±1.24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0.33±0.21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SOF+DCV±RBV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3.00±2.62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1.77±1.71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1.90±1.65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0.44±0.35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SOF/VEL±</w:t>
            </w:r>
          </w:p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RBV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4.60±5.07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2.87±2.82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3.06±3.73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0.83±0.94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ind w:left="161" w:hanging="161" w:hangingChars="10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RBV</w:t>
            </w:r>
          </w:p>
          <w:p>
            <w:pPr>
              <w:ind w:left="161" w:hanging="161" w:hangingChars="10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addition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with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3.70±4.38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2.23±2.51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2.40±3.15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0.58±0.74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ind w:left="161" w:hanging="161" w:hangingChars="10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3.20±2.82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1.88±1.24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1.88±1.48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0.56±0.55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SVR12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3.61±4.06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2.16±2.27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2.30±2.84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0.59±0.71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21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2.76±2.41</w:t>
            </w:r>
          </w:p>
        </w:tc>
        <w:tc>
          <w:tcPr>
            <w:tcW w:w="128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1.57±1.12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0.180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1.62±1.23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0.39±0.32</w:t>
            </w:r>
          </w:p>
        </w:tc>
        <w:tc>
          <w:tcPr>
            <w:tcW w:w="79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0.079</w:t>
            </w:r>
          </w:p>
        </w:tc>
      </w:tr>
    </w:tbl>
    <w:p>
      <w:pPr>
        <w:spacing w:line="48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Abbreviations: </w:t>
      </w:r>
      <w:r>
        <w:rPr>
          <w:color w:val="000000"/>
          <w:sz w:val="20"/>
          <w:szCs w:val="20"/>
        </w:rPr>
        <w:t xml:space="preserve">ALT, alanine aminotransaminase; </w:t>
      </w:r>
      <w:r>
        <w:rPr>
          <w:color w:val="000000"/>
          <w:kern w:val="0"/>
          <w:sz w:val="20"/>
          <w:szCs w:val="20"/>
        </w:rPr>
        <w:t xml:space="preserve">APRI, aspartate aminotransferase to platelet ratio index; </w:t>
      </w:r>
      <w:r>
        <w:rPr>
          <w:color w:val="000000"/>
          <w:sz w:val="20"/>
          <w:szCs w:val="20"/>
        </w:rPr>
        <w:t xml:space="preserve">DCV, daclatasvir; </w:t>
      </w:r>
      <w:r>
        <w:rPr>
          <w:color w:val="000000"/>
          <w:kern w:val="0"/>
          <w:sz w:val="20"/>
          <w:szCs w:val="20"/>
        </w:rPr>
        <w:t>FIB-4, f</w:t>
      </w:r>
      <w:r>
        <w:rPr>
          <w:color w:val="000000"/>
          <w:sz w:val="20"/>
          <w:szCs w:val="20"/>
        </w:rPr>
        <w:t>ibrosis-4; HBV, hepatitis B virus; RBV, ribavirin; SOF, sofosbuvir; SVR12: sustained virological response at posttreatment week 12; VEL: velpatasvir.</w:t>
      </w:r>
    </w:p>
    <w:p>
      <w:pPr>
        <w:spacing w:line="48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 xml:space="preserve">a: </w:t>
      </w:r>
      <w:r>
        <w:rPr>
          <w:color w:val="000000"/>
          <w:sz w:val="20"/>
          <w:szCs w:val="20"/>
        </w:rPr>
        <w:t>High level of viral load (HCV-RNA&gt;800000 IU/mL) and low level of viral load (HCV-RNA≤800000 IU/mL).</w:t>
      </w:r>
    </w:p>
    <w:p>
      <w:pPr>
        <w:spacing w:line="48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b</w:t>
      </w:r>
      <w:r>
        <w:rPr>
          <w:color w:val="000000"/>
          <w:sz w:val="20"/>
          <w:szCs w:val="20"/>
        </w:rPr>
        <w:t>: Treated with DAAs or interferon and ribavirin regimens.</w:t>
      </w:r>
    </w:p>
    <w:p>
      <w:pPr>
        <w:spacing w:line="480" w:lineRule="auto"/>
        <w:rPr>
          <w:color w:val="000000"/>
          <w:sz w:val="20"/>
          <w:szCs w:val="20"/>
        </w:rPr>
      </w:pPr>
    </w:p>
    <w:p>
      <w:pPr>
        <w:spacing w:line="480" w:lineRule="auto"/>
        <w:rPr>
          <w:color w:val="000000"/>
          <w:sz w:val="20"/>
          <w:szCs w:val="20"/>
        </w:rPr>
      </w:pPr>
      <w:bookmarkStart w:id="0" w:name="_GoBack"/>
      <w:bookmarkEnd w:id="0"/>
    </w:p>
    <w:p>
      <w:pPr>
        <w:spacing w:line="480" w:lineRule="auto"/>
        <w:rPr>
          <w:strike w:val="0"/>
          <w:dstrike w:val="0"/>
          <w:color w:val="auto"/>
          <w:sz w:val="20"/>
          <w:szCs w:val="20"/>
        </w:rPr>
      </w:pPr>
      <w:r>
        <w:rPr>
          <w:b/>
          <w:bCs/>
          <w:strike w:val="0"/>
          <w:dstrike w:val="0"/>
          <w:color w:val="auto"/>
          <w:sz w:val="20"/>
          <w:szCs w:val="20"/>
        </w:rPr>
        <w:t>Supplementary Fig. 1</w:t>
      </w:r>
      <w:r>
        <w:rPr>
          <w:strike w:val="0"/>
          <w:dstrike w:val="0"/>
          <w:color w:val="auto"/>
          <w:sz w:val="20"/>
          <w:szCs w:val="20"/>
        </w:rPr>
        <w:t xml:space="preserve"> </w:t>
      </w:r>
      <w:r>
        <w:rPr>
          <w:b/>
          <w:bCs/>
          <w:strike w:val="0"/>
          <w:dstrike w:val="0"/>
          <w:color w:val="auto"/>
          <w:sz w:val="20"/>
          <w:szCs w:val="20"/>
        </w:rPr>
        <w:t xml:space="preserve">SVR12 rates in patients infected with genotypes 3 and 6 in diverse regimens. </w:t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269230" cy="2910205"/>
            <wp:effectExtent l="0" t="0" r="3810" b="635"/>
            <wp:docPr id="5" name="图片 5" descr="论文用图最终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论文用图最终版_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trike w:val="0"/>
          <w:dstrike w:val="0"/>
          <w:color w:val="auto"/>
          <w:sz w:val="20"/>
          <w:szCs w:val="20"/>
        </w:rPr>
      </w:pPr>
      <w:r>
        <w:rPr>
          <w:b/>
          <w:bCs/>
          <w:strike w:val="0"/>
          <w:dstrike w:val="0"/>
          <w:color w:val="auto"/>
          <w:sz w:val="20"/>
          <w:szCs w:val="20"/>
        </w:rPr>
        <w:t>Supplementary Fig. 1</w:t>
      </w:r>
      <w:r>
        <w:rPr>
          <w:rFonts w:hint="eastAsia"/>
          <w:b/>
          <w:bCs/>
          <w:strike w:val="0"/>
          <w:dstrike w:val="0"/>
          <w:color w:val="auto"/>
          <w:sz w:val="20"/>
          <w:szCs w:val="20"/>
          <w:lang w:val="en-US" w:eastAsia="zh-CN"/>
        </w:rPr>
        <w:t xml:space="preserve"> </w:t>
      </w:r>
      <w:r>
        <w:rPr>
          <w:strike w:val="0"/>
          <w:dstrike w:val="0"/>
          <w:color w:val="auto"/>
          <w:sz w:val="20"/>
          <w:szCs w:val="20"/>
        </w:rPr>
        <w:t>Overall, the difference in SVR12 rate between six treatment regimens: P&gt;0.05. For patients infected with genotype 3, the difference in SVR12 rate between six treatment regimens: P&gt;0.05. For patients infected with genotype 6, the difference in SVR12 rate between six treatment regimens: P&gt;0.05.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trike w:val="0"/>
          <w:dstrike w:val="0"/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trike w:val="0"/>
          <w:dstrike w:val="0"/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trike w:val="0"/>
          <w:dstrike w:val="0"/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trike w:val="0"/>
          <w:dstrike w:val="0"/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trike w:val="0"/>
          <w:dstrike w:val="0"/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trike w:val="0"/>
          <w:dstrike w:val="0"/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trike w:val="0"/>
          <w:dstrike w:val="0"/>
          <w:color w:val="auto"/>
          <w:sz w:val="20"/>
          <w:szCs w:val="20"/>
          <w:lang w:eastAsia="zh-CN"/>
        </w:rPr>
      </w:pPr>
      <w:r>
        <w:rPr>
          <w:rFonts w:hint="eastAsia"/>
          <w:b/>
          <w:bCs/>
          <w:strike w:val="0"/>
          <w:dstrike w:val="0"/>
          <w:color w:val="auto"/>
          <w:sz w:val="20"/>
          <w:szCs w:val="20"/>
          <w:lang w:eastAsia="zh-CN"/>
        </w:rPr>
        <w:t>Supplementary Fig. 2 SVR12 rates in patients treated with diverse genotypes.</w:t>
      </w:r>
      <w:r>
        <w:rPr>
          <w:rFonts w:hint="eastAsia"/>
          <w:strike w:val="0"/>
          <w:dstrike w:val="0"/>
          <w:color w:val="auto"/>
          <w:sz w:val="20"/>
          <w:szCs w:val="20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trike w:val="0"/>
          <w:dstrike w:val="0"/>
          <w:color w:val="auto"/>
          <w:sz w:val="20"/>
          <w:szCs w:val="20"/>
          <w:lang w:eastAsia="zh-CN"/>
        </w:rPr>
      </w:pPr>
      <w:r>
        <w:rPr>
          <w:rFonts w:hint="eastAsia"/>
          <w:strike w:val="0"/>
          <w:dstrike w:val="0"/>
          <w:color w:val="auto"/>
          <w:sz w:val="20"/>
          <w:szCs w:val="20"/>
          <w:lang w:eastAsia="zh-CN"/>
        </w:rPr>
        <w:drawing>
          <wp:inline distT="0" distB="0" distL="114300" distR="114300">
            <wp:extent cx="5270500" cy="2408555"/>
            <wp:effectExtent l="0" t="0" r="2540" b="14605"/>
            <wp:docPr id="6" name="图片 6" descr="论文用图最终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文用图最终版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trike w:val="0"/>
          <w:dstrike w:val="0"/>
          <w:color w:val="auto"/>
          <w:sz w:val="20"/>
          <w:szCs w:val="20"/>
          <w:lang w:eastAsia="zh-CN"/>
        </w:rPr>
      </w:pPr>
      <w:r>
        <w:rPr>
          <w:rFonts w:hint="eastAsia"/>
          <w:b/>
          <w:bCs/>
          <w:strike w:val="0"/>
          <w:dstrike w:val="0"/>
          <w:color w:val="auto"/>
          <w:sz w:val="20"/>
          <w:szCs w:val="20"/>
          <w:lang w:eastAsia="zh-CN"/>
        </w:rPr>
        <w:t>Supplementary Fig. 2</w:t>
      </w:r>
      <w:r>
        <w:rPr>
          <w:rFonts w:hint="eastAsia"/>
          <w:strike w:val="0"/>
          <w:dstrike w:val="0"/>
          <w:color w:val="auto"/>
          <w:sz w:val="20"/>
          <w:szCs w:val="20"/>
          <w:lang w:eastAsia="zh-CN"/>
        </w:rPr>
        <w:t xml:space="preserve"> We compared the SVR12 rate in diverse genotypes. The data showed no significant difference between groups with genotypes 3 and 6, genotypes 3b and non3b: P&gt;0.05. *non3b including 3a, 3k, and 3e/3a.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lhydfAdvTTb5929f4c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077564"/>
    <w:rsid w:val="1AAD3EC7"/>
    <w:rsid w:val="4DD0622D"/>
    <w:rsid w:val="5C533AAF"/>
    <w:rsid w:val="7F07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  <w:rPr>
      <w:rFonts w:ascii="Tahoma" w:hAnsi="Tahoma" w:cs="Tahoma"/>
      <w:sz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2021-05-21T11:21:00Z</dcterms:created>
  <dc:creator>我只是说说而已</dc:creator>
  <cp:lastModifiedBy>我只是说说而已</cp:lastModifiedBy>
  <dcterms:modified xsi:type="dcterms:W3CDTF">2021-05-21T11:36:06Z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39815C5B49474228AC0DB756BCE085A6</vt:lpwstr>
  </property>
</Properties>
</file>