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84CB" w14:textId="7A74662A" w:rsidR="001B62B5" w:rsidRPr="00B639C2" w:rsidRDefault="00E523F4" w:rsidP="00794414">
      <w:pPr>
        <w:pStyle w:val="Heading1"/>
        <w:rPr>
          <w:rFonts w:ascii="Arial" w:hAnsi="Arial" w:cs="Arial"/>
          <w:color w:val="000000" w:themeColor="text1"/>
          <w:lang w:val="en-US"/>
        </w:rPr>
      </w:pPr>
      <w:r w:rsidRPr="00B639C2">
        <w:rPr>
          <w:rFonts w:ascii="Arial" w:hAnsi="Arial" w:cs="Arial"/>
          <w:color w:val="000000" w:themeColor="text1"/>
          <w:lang w:val="en-US"/>
        </w:rPr>
        <w:t>Appendix</w:t>
      </w:r>
      <w:r w:rsidR="00794414" w:rsidRPr="00B639C2">
        <w:rPr>
          <w:rFonts w:ascii="Arial" w:hAnsi="Arial" w:cs="Arial"/>
          <w:color w:val="000000" w:themeColor="text1"/>
          <w:lang w:val="en-US"/>
        </w:rPr>
        <w:t xml:space="preserve"> A</w:t>
      </w:r>
    </w:p>
    <w:p w14:paraId="2D6C28EA" w14:textId="116EBFAE" w:rsidR="001B62B5" w:rsidRDefault="001B62B5" w:rsidP="001B62B5">
      <w:pPr>
        <w:rPr>
          <w:rFonts w:ascii="Arial" w:hAnsi="Arial" w:cs="Arial"/>
          <w:sz w:val="20"/>
          <w:szCs w:val="20"/>
          <w:lang w:val="en-US"/>
        </w:rPr>
      </w:pPr>
    </w:p>
    <w:p w14:paraId="66D5AF0F" w14:textId="5C35C258" w:rsidR="003C74F9" w:rsidRPr="003C74F9" w:rsidRDefault="003C74F9" w:rsidP="003C74F9">
      <w:pPr>
        <w:pStyle w:val="NoSpacing"/>
        <w:rPr>
          <w:rFonts w:ascii="Arial" w:hAnsi="Arial" w:cs="Arial"/>
          <w:sz w:val="20"/>
          <w:szCs w:val="20"/>
          <w:lang w:val="en-US"/>
        </w:rPr>
      </w:pPr>
      <w:r w:rsidRPr="003C74F9">
        <w:rPr>
          <w:rFonts w:ascii="Arial" w:hAnsi="Arial" w:cs="Arial"/>
          <w:sz w:val="20"/>
          <w:szCs w:val="20"/>
          <w:lang w:val="en-US"/>
        </w:rPr>
        <w:t>An overview of the different costs included in the analysis.</w:t>
      </w:r>
    </w:p>
    <w:p w14:paraId="156DA3A8" w14:textId="77777777" w:rsidR="003C74F9" w:rsidRPr="003C74F9" w:rsidRDefault="003C74F9" w:rsidP="003C74F9">
      <w:pPr>
        <w:pStyle w:val="NoSpacing"/>
        <w:rPr>
          <w:rFonts w:ascii="Arial" w:hAnsi="Arial" w:cs="Arial"/>
          <w:sz w:val="20"/>
          <w:szCs w:val="20"/>
          <w:lang w:val="en-US"/>
        </w:rPr>
      </w:pPr>
    </w:p>
    <w:tbl>
      <w:tblPr>
        <w:tblStyle w:val="TableGrid"/>
        <w:tblW w:w="0" w:type="auto"/>
        <w:tblLook w:val="04A0" w:firstRow="1" w:lastRow="0" w:firstColumn="1" w:lastColumn="0" w:noHBand="0" w:noVBand="1"/>
      </w:tblPr>
      <w:tblGrid>
        <w:gridCol w:w="1450"/>
        <w:gridCol w:w="2287"/>
        <w:gridCol w:w="2021"/>
        <w:gridCol w:w="2018"/>
        <w:gridCol w:w="1852"/>
      </w:tblGrid>
      <w:tr w:rsidR="00923108" w:rsidRPr="003C74F9" w14:paraId="1F2B354A" w14:textId="50D1285E" w:rsidTr="00AC31BF">
        <w:tc>
          <w:tcPr>
            <w:tcW w:w="1450" w:type="dxa"/>
            <w:shd w:val="clear" w:color="auto" w:fill="E7E6E6" w:themeFill="background2"/>
          </w:tcPr>
          <w:p w14:paraId="2EA9C876" w14:textId="25AAC08B" w:rsidR="00846872" w:rsidRPr="003C74F9" w:rsidRDefault="00846872" w:rsidP="009B4E63">
            <w:pPr>
              <w:rPr>
                <w:rFonts w:ascii="Arial" w:hAnsi="Arial" w:cs="Arial"/>
                <w:sz w:val="20"/>
                <w:szCs w:val="20"/>
                <w:lang w:val="en-US"/>
              </w:rPr>
            </w:pPr>
            <w:r>
              <w:rPr>
                <w:rFonts w:ascii="Arial" w:hAnsi="Arial" w:cs="Arial"/>
                <w:sz w:val="20"/>
                <w:szCs w:val="20"/>
                <w:lang w:val="en-US"/>
              </w:rPr>
              <w:t>Category</w:t>
            </w:r>
          </w:p>
        </w:tc>
        <w:tc>
          <w:tcPr>
            <w:tcW w:w="2287" w:type="dxa"/>
            <w:shd w:val="clear" w:color="auto" w:fill="E7E6E6" w:themeFill="background2"/>
          </w:tcPr>
          <w:p w14:paraId="427C33EE" w14:textId="66B75447" w:rsidR="00846872" w:rsidRPr="003C74F9" w:rsidRDefault="00846872" w:rsidP="009B4E63">
            <w:pPr>
              <w:rPr>
                <w:rFonts w:ascii="Arial" w:hAnsi="Arial" w:cs="Arial"/>
                <w:sz w:val="20"/>
                <w:szCs w:val="20"/>
              </w:rPr>
            </w:pPr>
            <w:r>
              <w:rPr>
                <w:rFonts w:ascii="Arial" w:hAnsi="Arial" w:cs="Arial"/>
                <w:sz w:val="20"/>
                <w:szCs w:val="20"/>
              </w:rPr>
              <w:t>Type</w:t>
            </w:r>
          </w:p>
        </w:tc>
        <w:tc>
          <w:tcPr>
            <w:tcW w:w="2021" w:type="dxa"/>
            <w:shd w:val="clear" w:color="auto" w:fill="E7E6E6" w:themeFill="background2"/>
          </w:tcPr>
          <w:p w14:paraId="7E746338" w14:textId="6E009673" w:rsidR="00846872" w:rsidRPr="003C74F9" w:rsidRDefault="00846872" w:rsidP="009B4E63">
            <w:pPr>
              <w:rPr>
                <w:rFonts w:ascii="Arial" w:hAnsi="Arial" w:cs="Arial"/>
                <w:sz w:val="20"/>
                <w:szCs w:val="20"/>
              </w:rPr>
            </w:pPr>
            <w:r>
              <w:rPr>
                <w:rFonts w:ascii="Arial" w:hAnsi="Arial" w:cs="Arial"/>
                <w:sz w:val="20"/>
                <w:szCs w:val="20"/>
              </w:rPr>
              <w:t>Data source</w:t>
            </w:r>
          </w:p>
        </w:tc>
        <w:tc>
          <w:tcPr>
            <w:tcW w:w="2018" w:type="dxa"/>
            <w:shd w:val="clear" w:color="auto" w:fill="E7E6E6" w:themeFill="background2"/>
          </w:tcPr>
          <w:p w14:paraId="31E0FBDE" w14:textId="26615130" w:rsidR="00846872" w:rsidRPr="003C74F9" w:rsidRDefault="00846872" w:rsidP="009B4E63">
            <w:pPr>
              <w:rPr>
                <w:rFonts w:ascii="Arial" w:hAnsi="Arial" w:cs="Arial"/>
                <w:sz w:val="20"/>
                <w:szCs w:val="20"/>
              </w:rPr>
            </w:pPr>
            <w:r w:rsidRPr="003C74F9">
              <w:rPr>
                <w:rFonts w:ascii="Arial" w:hAnsi="Arial" w:cs="Arial"/>
                <w:sz w:val="20"/>
                <w:szCs w:val="20"/>
              </w:rPr>
              <w:t>Data</w:t>
            </w:r>
          </w:p>
        </w:tc>
        <w:tc>
          <w:tcPr>
            <w:tcW w:w="1852" w:type="dxa"/>
            <w:shd w:val="clear" w:color="auto" w:fill="E7E6E6" w:themeFill="background2"/>
          </w:tcPr>
          <w:p w14:paraId="03066C74" w14:textId="4EC5BD39" w:rsidR="00846872" w:rsidRPr="003C74F9" w:rsidRDefault="00846872" w:rsidP="00846872">
            <w:pPr>
              <w:rPr>
                <w:rFonts w:ascii="Arial" w:hAnsi="Arial" w:cs="Arial"/>
                <w:sz w:val="20"/>
                <w:szCs w:val="20"/>
              </w:rPr>
            </w:pPr>
            <w:r>
              <w:rPr>
                <w:rFonts w:ascii="Arial" w:hAnsi="Arial" w:cs="Arial"/>
                <w:sz w:val="20"/>
                <w:szCs w:val="20"/>
              </w:rPr>
              <w:t>Unit cost</w:t>
            </w:r>
          </w:p>
        </w:tc>
      </w:tr>
      <w:tr w:rsidR="00923108" w:rsidRPr="0071445E" w14:paraId="78C5B78F" w14:textId="38AA1352" w:rsidTr="00AC31BF">
        <w:tc>
          <w:tcPr>
            <w:tcW w:w="1450" w:type="dxa"/>
          </w:tcPr>
          <w:p w14:paraId="57A80FDA" w14:textId="77777777" w:rsidR="00846872" w:rsidRPr="003C74F9" w:rsidRDefault="00846872" w:rsidP="009B4E63">
            <w:pPr>
              <w:rPr>
                <w:rFonts w:ascii="Arial" w:hAnsi="Arial" w:cs="Arial"/>
                <w:sz w:val="20"/>
                <w:szCs w:val="20"/>
                <w:lang w:val="en-US"/>
              </w:rPr>
            </w:pPr>
            <w:r w:rsidRPr="003C74F9">
              <w:rPr>
                <w:rFonts w:ascii="Arial" w:hAnsi="Arial" w:cs="Arial"/>
                <w:sz w:val="20"/>
                <w:szCs w:val="20"/>
                <w:lang w:val="en-US"/>
              </w:rPr>
              <w:t>Primary care</w:t>
            </w:r>
          </w:p>
          <w:p w14:paraId="65751255" w14:textId="77777777" w:rsidR="00846872" w:rsidRPr="003C74F9" w:rsidRDefault="00846872" w:rsidP="009B4E63">
            <w:pPr>
              <w:rPr>
                <w:rFonts w:ascii="Arial" w:hAnsi="Arial" w:cs="Arial"/>
                <w:sz w:val="20"/>
                <w:szCs w:val="20"/>
                <w:lang w:val="en-US"/>
              </w:rPr>
            </w:pPr>
            <w:r w:rsidRPr="003C74F9">
              <w:rPr>
                <w:rFonts w:ascii="Arial" w:hAnsi="Arial" w:cs="Arial"/>
                <w:sz w:val="20"/>
                <w:szCs w:val="20"/>
                <w:lang w:val="en-US"/>
              </w:rPr>
              <w:t>(All costs included)</w:t>
            </w:r>
          </w:p>
        </w:tc>
        <w:tc>
          <w:tcPr>
            <w:tcW w:w="2287" w:type="dxa"/>
          </w:tcPr>
          <w:p w14:paraId="574D358C" w14:textId="77777777" w:rsidR="00846872" w:rsidRPr="003C74F9" w:rsidRDefault="00846872" w:rsidP="009B4E63">
            <w:pPr>
              <w:pStyle w:val="ListBullet"/>
              <w:rPr>
                <w:rFonts w:ascii="Arial" w:hAnsi="Arial" w:cs="Arial"/>
                <w:sz w:val="20"/>
                <w:szCs w:val="20"/>
                <w:lang w:val="en-US"/>
              </w:rPr>
            </w:pPr>
            <w:r w:rsidRPr="003C74F9">
              <w:rPr>
                <w:rFonts w:ascii="Arial" w:hAnsi="Arial" w:cs="Arial"/>
                <w:sz w:val="20"/>
                <w:szCs w:val="20"/>
                <w:lang w:val="en-US"/>
              </w:rPr>
              <w:t xml:space="preserve">GP consultations </w:t>
            </w:r>
          </w:p>
          <w:p w14:paraId="480C2090" w14:textId="6B612F0E" w:rsidR="00846872" w:rsidRPr="003C74F9" w:rsidRDefault="00846872" w:rsidP="009B4E63">
            <w:pPr>
              <w:pStyle w:val="ListBullet"/>
              <w:rPr>
                <w:rFonts w:ascii="Arial" w:hAnsi="Arial" w:cs="Arial"/>
                <w:sz w:val="20"/>
                <w:szCs w:val="20"/>
                <w:lang w:val="en-US"/>
              </w:rPr>
            </w:pPr>
            <w:r w:rsidRPr="009945FE">
              <w:rPr>
                <w:rFonts w:ascii="Arial" w:hAnsi="Arial" w:cs="Arial"/>
                <w:sz w:val="20"/>
                <w:szCs w:val="20"/>
                <w:lang w:val="en-US"/>
              </w:rPr>
              <w:t>On-call doctor scheme contacts</w:t>
            </w:r>
          </w:p>
        </w:tc>
        <w:tc>
          <w:tcPr>
            <w:tcW w:w="2021" w:type="dxa"/>
          </w:tcPr>
          <w:p w14:paraId="35E914DE" w14:textId="0D1FB391" w:rsidR="00846872" w:rsidRDefault="00846872" w:rsidP="00665142">
            <w:pPr>
              <w:pStyle w:val="ListBullet"/>
              <w:rPr>
                <w:rFonts w:ascii="Arial" w:hAnsi="Arial" w:cs="Arial"/>
                <w:sz w:val="20"/>
                <w:szCs w:val="20"/>
                <w:lang w:val="en-US"/>
              </w:rPr>
            </w:pPr>
            <w:r>
              <w:rPr>
                <w:rFonts w:ascii="Arial" w:hAnsi="Arial" w:cs="Arial"/>
                <w:sz w:val="20"/>
                <w:szCs w:val="20"/>
                <w:lang w:val="en-US"/>
              </w:rPr>
              <w:t>Northern Jutland Region registry</w:t>
            </w:r>
          </w:p>
        </w:tc>
        <w:tc>
          <w:tcPr>
            <w:tcW w:w="2018" w:type="dxa"/>
          </w:tcPr>
          <w:p w14:paraId="144A12F3" w14:textId="409ADF72" w:rsidR="00846872" w:rsidRPr="003C74F9" w:rsidRDefault="002F3AC7" w:rsidP="002F3AC7">
            <w:pPr>
              <w:pStyle w:val="ListBullet"/>
              <w:rPr>
                <w:rFonts w:ascii="Arial" w:hAnsi="Arial" w:cs="Arial"/>
                <w:sz w:val="20"/>
                <w:szCs w:val="20"/>
                <w:lang w:val="en-US"/>
              </w:rPr>
            </w:pPr>
            <w:r>
              <w:rPr>
                <w:rFonts w:ascii="Arial" w:hAnsi="Arial" w:cs="Arial"/>
                <w:sz w:val="20"/>
                <w:szCs w:val="20"/>
                <w:lang w:val="en-US"/>
              </w:rPr>
              <w:t>D</w:t>
            </w:r>
            <w:r w:rsidR="00846872" w:rsidRPr="003C74F9">
              <w:rPr>
                <w:rFonts w:ascii="Arial" w:hAnsi="Arial" w:cs="Arial"/>
                <w:sz w:val="20"/>
                <w:szCs w:val="20"/>
                <w:lang w:val="en-US"/>
              </w:rPr>
              <w:t xml:space="preserve">ate and </w:t>
            </w:r>
            <w:r w:rsidR="00846872">
              <w:rPr>
                <w:rFonts w:ascii="Arial" w:hAnsi="Arial" w:cs="Arial"/>
                <w:sz w:val="20"/>
                <w:szCs w:val="20"/>
                <w:lang w:val="en-US"/>
              </w:rPr>
              <w:t>type of service provided for each contact</w:t>
            </w:r>
            <w:r w:rsidR="00846872" w:rsidRPr="003C74F9">
              <w:rPr>
                <w:rFonts w:ascii="Arial" w:hAnsi="Arial" w:cs="Arial"/>
                <w:sz w:val="20"/>
                <w:szCs w:val="20"/>
                <w:lang w:val="en-US"/>
              </w:rPr>
              <w:t xml:space="preserve"> </w:t>
            </w:r>
          </w:p>
        </w:tc>
        <w:tc>
          <w:tcPr>
            <w:tcW w:w="1852" w:type="dxa"/>
          </w:tcPr>
          <w:p w14:paraId="6FB3F8B8" w14:textId="5A7569B2" w:rsidR="00846872" w:rsidRPr="003C74F9" w:rsidRDefault="00846872" w:rsidP="006B2D69">
            <w:pPr>
              <w:pStyle w:val="ListBullet"/>
              <w:rPr>
                <w:rFonts w:ascii="Arial" w:hAnsi="Arial" w:cs="Arial"/>
                <w:sz w:val="20"/>
                <w:szCs w:val="20"/>
                <w:lang w:val="en-US"/>
              </w:rPr>
            </w:pPr>
            <w:r>
              <w:rPr>
                <w:rFonts w:ascii="Arial" w:hAnsi="Arial" w:cs="Arial"/>
                <w:sz w:val="20"/>
                <w:szCs w:val="20"/>
                <w:lang w:val="en-US"/>
              </w:rPr>
              <w:t>T</w:t>
            </w:r>
            <w:r w:rsidRPr="003C74F9">
              <w:rPr>
                <w:rFonts w:ascii="Arial" w:hAnsi="Arial" w:cs="Arial"/>
                <w:sz w:val="20"/>
                <w:szCs w:val="20"/>
                <w:lang w:val="en-US"/>
              </w:rPr>
              <w:t>a</w:t>
            </w:r>
            <w:r>
              <w:rPr>
                <w:rFonts w:ascii="Arial" w:hAnsi="Arial" w:cs="Arial"/>
                <w:sz w:val="20"/>
                <w:szCs w:val="20"/>
                <w:lang w:val="en-US"/>
              </w:rPr>
              <w:t>riffs from collective agreement</w:t>
            </w:r>
            <w:r w:rsidR="002F3AC7">
              <w:rPr>
                <w:rFonts w:ascii="Arial" w:hAnsi="Arial" w:cs="Arial"/>
                <w:sz w:val="20"/>
                <w:szCs w:val="20"/>
                <w:lang w:val="en-US"/>
              </w:rPr>
              <w:t xml:space="preserve"> with the Danish Medical Association</w:t>
            </w:r>
            <w:r w:rsidR="006B2D69">
              <w:rPr>
                <w:rFonts w:ascii="Arial" w:hAnsi="Arial" w:cs="Arial"/>
                <w:sz w:val="20"/>
                <w:szCs w:val="20"/>
                <w:lang w:val="en-US"/>
              </w:rPr>
              <w:t xml:space="preserve"> </w:t>
            </w:r>
            <w:r w:rsidR="006B2D69">
              <w:rPr>
                <w:rFonts w:ascii="Arial" w:hAnsi="Arial" w:cs="Arial"/>
                <w:sz w:val="20"/>
                <w:szCs w:val="20"/>
                <w:lang w:val="en-US"/>
              </w:rPr>
              <w:fldChar w:fldCharType="begin" w:fldLock="1"/>
            </w:r>
            <w:r w:rsidR="006B2D69">
              <w:rPr>
                <w:rFonts w:ascii="Arial" w:hAnsi="Arial" w:cs="Arial"/>
                <w:sz w:val="20"/>
                <w:szCs w:val="20"/>
                <w:lang w:val="en-US"/>
              </w:rPr>
              <w:instrText>ADDIN CSL_CITATION {"citationItems":[{"id":"ITEM-1","itemData":{"URL":"https://www.laeger.dk/sites/default/files/overenskomst_om_almen_praksis_ok18_endelig_udgave.pdf","accessed":{"date-parts":[["2020","5","31"]]},"container-title":"Lægeforeningen","id":"ITEM-1","issued":{"date-parts":[["2018"]]},"page":"116","title":"Honorartabel [Fee table]","type":"webpage"},"uris":["http://www.mendeley.com/documents/?uuid=94f64a31-072f-45d1-8091-68682e7bcf3d"]}],"mendeley":{"formattedCitation":"&lt;sup&gt;1&lt;/sup&gt;","plainTextFormattedCitation":"1","previouslyFormattedCitation":"&lt;sup&gt;1&lt;/sup&gt;"},"properties":{"noteIndex":0},"schema":"https://github.com/citation-style-language/schema/raw/master/csl-citation.json"}</w:instrText>
            </w:r>
            <w:r w:rsidR="006B2D69">
              <w:rPr>
                <w:rFonts w:ascii="Arial" w:hAnsi="Arial" w:cs="Arial"/>
                <w:sz w:val="20"/>
                <w:szCs w:val="20"/>
                <w:lang w:val="en-US"/>
              </w:rPr>
              <w:fldChar w:fldCharType="separate"/>
            </w:r>
            <w:r w:rsidR="006B2D69" w:rsidRPr="006B2D69">
              <w:rPr>
                <w:rFonts w:ascii="Arial" w:hAnsi="Arial" w:cs="Arial"/>
                <w:noProof/>
                <w:sz w:val="20"/>
                <w:szCs w:val="20"/>
                <w:vertAlign w:val="superscript"/>
                <w:lang w:val="en-US"/>
              </w:rPr>
              <w:t>1</w:t>
            </w:r>
            <w:r w:rsidR="006B2D69">
              <w:rPr>
                <w:rFonts w:ascii="Arial" w:hAnsi="Arial" w:cs="Arial"/>
                <w:sz w:val="20"/>
                <w:szCs w:val="20"/>
                <w:lang w:val="en-US"/>
              </w:rPr>
              <w:fldChar w:fldCharType="end"/>
            </w:r>
          </w:p>
        </w:tc>
      </w:tr>
      <w:tr w:rsidR="00923108" w:rsidRPr="0071445E" w14:paraId="68A3444C" w14:textId="67763827" w:rsidTr="00AC31BF">
        <w:tc>
          <w:tcPr>
            <w:tcW w:w="1450" w:type="dxa"/>
          </w:tcPr>
          <w:p w14:paraId="541FED7F" w14:textId="77777777" w:rsidR="00846872" w:rsidRPr="003C74F9" w:rsidRDefault="00846872" w:rsidP="009B4E63">
            <w:pPr>
              <w:rPr>
                <w:rFonts w:ascii="Arial" w:hAnsi="Arial" w:cs="Arial"/>
                <w:sz w:val="20"/>
                <w:szCs w:val="20"/>
                <w:lang w:val="en-US"/>
              </w:rPr>
            </w:pPr>
            <w:r w:rsidRPr="003C74F9">
              <w:rPr>
                <w:rFonts w:ascii="Arial" w:hAnsi="Arial" w:cs="Arial"/>
                <w:sz w:val="20"/>
                <w:szCs w:val="20"/>
                <w:lang w:val="en-US"/>
              </w:rPr>
              <w:t>Secondary care</w:t>
            </w:r>
          </w:p>
          <w:p w14:paraId="67E70769" w14:textId="4642B5D0" w:rsidR="00846872" w:rsidRPr="003C74F9" w:rsidRDefault="00846872" w:rsidP="009B4E63">
            <w:pPr>
              <w:rPr>
                <w:rFonts w:ascii="Arial" w:hAnsi="Arial" w:cs="Arial"/>
                <w:sz w:val="20"/>
                <w:szCs w:val="20"/>
                <w:lang w:val="en-US"/>
              </w:rPr>
            </w:pPr>
            <w:r w:rsidRPr="003C74F9">
              <w:rPr>
                <w:rFonts w:ascii="Arial" w:hAnsi="Arial" w:cs="Arial"/>
                <w:sz w:val="20"/>
                <w:szCs w:val="20"/>
                <w:lang w:val="en-US"/>
              </w:rPr>
              <w:t>(</w:t>
            </w:r>
            <w:proofErr w:type="gramStart"/>
            <w:r>
              <w:rPr>
                <w:rFonts w:ascii="Arial" w:hAnsi="Arial" w:cs="Arial"/>
                <w:sz w:val="20"/>
                <w:szCs w:val="20"/>
                <w:lang w:val="en-US"/>
              </w:rPr>
              <w:t>only</w:t>
            </w:r>
            <w:proofErr w:type="gramEnd"/>
            <w:r>
              <w:rPr>
                <w:rFonts w:ascii="Arial" w:hAnsi="Arial" w:cs="Arial"/>
                <w:sz w:val="20"/>
                <w:szCs w:val="20"/>
                <w:lang w:val="en-US"/>
              </w:rPr>
              <w:t xml:space="preserve"> </w:t>
            </w:r>
            <w:r w:rsidRPr="003C74F9">
              <w:rPr>
                <w:rFonts w:ascii="Arial" w:hAnsi="Arial" w:cs="Arial"/>
                <w:sz w:val="20"/>
                <w:szCs w:val="20"/>
                <w:lang w:val="en-US"/>
              </w:rPr>
              <w:t>COPD related costs included)</w:t>
            </w:r>
          </w:p>
        </w:tc>
        <w:tc>
          <w:tcPr>
            <w:tcW w:w="2287" w:type="dxa"/>
          </w:tcPr>
          <w:p w14:paraId="25144507" w14:textId="264BEA2E" w:rsidR="00846872" w:rsidRPr="003C74F9" w:rsidRDefault="00846872" w:rsidP="009B4E63">
            <w:pPr>
              <w:pStyle w:val="ListBullet"/>
              <w:rPr>
                <w:rFonts w:ascii="Arial" w:hAnsi="Arial" w:cs="Arial"/>
                <w:sz w:val="20"/>
                <w:szCs w:val="20"/>
                <w:lang w:val="en-US"/>
              </w:rPr>
            </w:pPr>
            <w:r w:rsidRPr="003C74F9">
              <w:rPr>
                <w:rFonts w:ascii="Arial" w:hAnsi="Arial" w:cs="Arial"/>
                <w:sz w:val="20"/>
                <w:szCs w:val="20"/>
                <w:lang w:val="en-US"/>
              </w:rPr>
              <w:t>Hospital admission</w:t>
            </w:r>
            <w:r>
              <w:rPr>
                <w:rFonts w:ascii="Arial" w:hAnsi="Arial" w:cs="Arial"/>
                <w:sz w:val="20"/>
                <w:szCs w:val="20"/>
                <w:lang w:val="en-US"/>
              </w:rPr>
              <w:t>s</w:t>
            </w:r>
            <w:r w:rsidRPr="003C74F9">
              <w:rPr>
                <w:rFonts w:ascii="Arial" w:hAnsi="Arial" w:cs="Arial"/>
                <w:sz w:val="20"/>
                <w:szCs w:val="20"/>
                <w:lang w:val="en-US"/>
              </w:rPr>
              <w:t xml:space="preserve"> </w:t>
            </w:r>
          </w:p>
          <w:p w14:paraId="15A8D704" w14:textId="4A337E32" w:rsidR="00846872" w:rsidRPr="003C74F9" w:rsidRDefault="00846872" w:rsidP="009B4E63">
            <w:pPr>
              <w:pStyle w:val="ListBullet"/>
              <w:rPr>
                <w:rFonts w:ascii="Arial" w:hAnsi="Arial" w:cs="Arial"/>
                <w:sz w:val="20"/>
                <w:szCs w:val="20"/>
                <w:lang w:val="en-US"/>
              </w:rPr>
            </w:pPr>
            <w:r>
              <w:rPr>
                <w:rFonts w:ascii="Arial" w:hAnsi="Arial" w:cs="Arial"/>
                <w:sz w:val="20"/>
                <w:szCs w:val="20"/>
                <w:lang w:val="en-US"/>
              </w:rPr>
              <w:t>Emergency room</w:t>
            </w:r>
            <w:r w:rsidRPr="003C74F9">
              <w:rPr>
                <w:rFonts w:ascii="Arial" w:hAnsi="Arial" w:cs="Arial"/>
                <w:sz w:val="20"/>
                <w:szCs w:val="20"/>
                <w:lang w:val="en-US"/>
              </w:rPr>
              <w:t xml:space="preserve"> visits</w:t>
            </w:r>
          </w:p>
          <w:p w14:paraId="094D7425" w14:textId="347D1A08" w:rsidR="00846872" w:rsidRPr="003C74F9" w:rsidRDefault="00846872" w:rsidP="009945FE">
            <w:pPr>
              <w:pStyle w:val="ListBullet"/>
              <w:rPr>
                <w:rFonts w:ascii="Arial" w:hAnsi="Arial" w:cs="Arial"/>
                <w:sz w:val="20"/>
                <w:szCs w:val="20"/>
                <w:lang w:val="en-US"/>
              </w:rPr>
            </w:pPr>
            <w:r w:rsidRPr="003C74F9">
              <w:rPr>
                <w:rFonts w:ascii="Arial" w:hAnsi="Arial" w:cs="Arial"/>
                <w:sz w:val="20"/>
                <w:szCs w:val="20"/>
                <w:lang w:val="en-US"/>
              </w:rPr>
              <w:t>Out-patient clinic visits</w:t>
            </w:r>
          </w:p>
        </w:tc>
        <w:tc>
          <w:tcPr>
            <w:tcW w:w="2021" w:type="dxa"/>
          </w:tcPr>
          <w:p w14:paraId="6191D40A" w14:textId="5765CEA5" w:rsidR="00846872" w:rsidRPr="003C74F9" w:rsidRDefault="00846872" w:rsidP="009B4E63">
            <w:pPr>
              <w:pStyle w:val="ListBullet"/>
              <w:rPr>
                <w:rFonts w:ascii="Arial" w:hAnsi="Arial" w:cs="Arial"/>
                <w:sz w:val="20"/>
                <w:szCs w:val="20"/>
                <w:lang w:val="en-US"/>
              </w:rPr>
            </w:pPr>
            <w:r>
              <w:rPr>
                <w:rFonts w:ascii="Arial" w:hAnsi="Arial" w:cs="Arial"/>
                <w:sz w:val="20"/>
                <w:szCs w:val="20"/>
                <w:lang w:val="en-US"/>
              </w:rPr>
              <w:t>Northern Jutland Region registry</w:t>
            </w:r>
          </w:p>
        </w:tc>
        <w:tc>
          <w:tcPr>
            <w:tcW w:w="2018" w:type="dxa"/>
          </w:tcPr>
          <w:p w14:paraId="30BD48EC" w14:textId="3B6F8700" w:rsidR="00846872" w:rsidRPr="002F3AC7" w:rsidRDefault="002F3AC7" w:rsidP="002F3AC7">
            <w:pPr>
              <w:pStyle w:val="ListBullet"/>
              <w:rPr>
                <w:rFonts w:ascii="Arial" w:hAnsi="Arial" w:cs="Arial"/>
                <w:sz w:val="20"/>
                <w:szCs w:val="20"/>
                <w:lang w:val="en-US"/>
              </w:rPr>
            </w:pPr>
            <w:r>
              <w:rPr>
                <w:rFonts w:ascii="Arial" w:hAnsi="Arial" w:cs="Arial"/>
                <w:sz w:val="20"/>
                <w:szCs w:val="20"/>
                <w:lang w:val="en-US"/>
              </w:rPr>
              <w:t>Date, d</w:t>
            </w:r>
            <w:r w:rsidR="00846872" w:rsidRPr="003C74F9">
              <w:rPr>
                <w:rFonts w:ascii="Arial" w:hAnsi="Arial" w:cs="Arial"/>
                <w:sz w:val="20"/>
                <w:szCs w:val="20"/>
                <w:lang w:val="en-US"/>
              </w:rPr>
              <w:t>iagnosis, procedures performed and length of stay</w:t>
            </w:r>
          </w:p>
        </w:tc>
        <w:tc>
          <w:tcPr>
            <w:tcW w:w="1852" w:type="dxa"/>
          </w:tcPr>
          <w:p w14:paraId="3D551BD7" w14:textId="35A7DA1A" w:rsidR="00846872" w:rsidRPr="003C74F9" w:rsidRDefault="002F3AC7" w:rsidP="006B2D69">
            <w:pPr>
              <w:pStyle w:val="ListBullet"/>
              <w:rPr>
                <w:rFonts w:ascii="Arial" w:hAnsi="Arial" w:cs="Arial"/>
                <w:sz w:val="20"/>
                <w:szCs w:val="20"/>
                <w:lang w:val="en-US"/>
              </w:rPr>
            </w:pPr>
            <w:r>
              <w:rPr>
                <w:rFonts w:ascii="Arial" w:hAnsi="Arial" w:cs="Arial"/>
                <w:sz w:val="20"/>
                <w:szCs w:val="20"/>
                <w:lang w:val="en-US"/>
              </w:rPr>
              <w:t>Valued according to the Danish Diagnosis-Related Grouping (DRG) system</w:t>
            </w:r>
            <w:r w:rsidR="006B2D69">
              <w:rPr>
                <w:rFonts w:ascii="Arial" w:hAnsi="Arial" w:cs="Arial"/>
                <w:sz w:val="20"/>
                <w:szCs w:val="20"/>
                <w:lang w:val="en-US"/>
              </w:rPr>
              <w:t xml:space="preserve"> </w:t>
            </w:r>
            <w:r w:rsidR="006B2D69">
              <w:rPr>
                <w:rFonts w:ascii="Arial" w:hAnsi="Arial" w:cs="Arial"/>
                <w:sz w:val="20"/>
                <w:szCs w:val="20"/>
                <w:lang w:val="en-US"/>
              </w:rPr>
              <w:fldChar w:fldCharType="begin" w:fldLock="1"/>
            </w:r>
            <w:r w:rsidR="006B2D69">
              <w:rPr>
                <w:rFonts w:ascii="Arial" w:hAnsi="Arial" w:cs="Arial"/>
                <w:sz w:val="20"/>
                <w:szCs w:val="20"/>
                <w:lang w:val="en-US"/>
              </w:rPr>
              <w:instrText>ADDIN CSL_CITATION {"citationItems":[{"id":"ITEM-1","itemData":{"URL":"https://sundhedsdatastyrelsen.dk/da/afregning-og-finansiering","accessed":{"date-parts":[["2020","6","28"]]},"container-title":"Sundhedsdatastyrelsen","id":"ITEM-1","issued":{"date-parts":[["0"]]},"title":"Afregning og finansiering (DRG) [Reimbursement and financing (DRG)]","type":"webpage"},"uris":["http://www.mendeley.com/documents/?uuid=eafc6d7e-111b-4927-a77d-019d6aade077"]}],"mendeley":{"formattedCitation":"&lt;sup&gt;2&lt;/sup&gt;","plainTextFormattedCitation":"2","previouslyFormattedCitation":"&lt;sup&gt;2&lt;/sup&gt;"},"properties":{"noteIndex":0},"schema":"https://github.com/citation-style-language/schema/raw/master/csl-citation.json"}</w:instrText>
            </w:r>
            <w:r w:rsidR="006B2D69">
              <w:rPr>
                <w:rFonts w:ascii="Arial" w:hAnsi="Arial" w:cs="Arial"/>
                <w:sz w:val="20"/>
                <w:szCs w:val="20"/>
                <w:lang w:val="en-US"/>
              </w:rPr>
              <w:fldChar w:fldCharType="separate"/>
            </w:r>
            <w:r w:rsidR="006B2D69" w:rsidRPr="006B2D69">
              <w:rPr>
                <w:rFonts w:ascii="Arial" w:hAnsi="Arial" w:cs="Arial"/>
                <w:noProof/>
                <w:sz w:val="20"/>
                <w:szCs w:val="20"/>
                <w:vertAlign w:val="superscript"/>
                <w:lang w:val="en-US"/>
              </w:rPr>
              <w:t>2</w:t>
            </w:r>
            <w:r w:rsidR="006B2D69">
              <w:rPr>
                <w:rFonts w:ascii="Arial" w:hAnsi="Arial" w:cs="Arial"/>
                <w:sz w:val="20"/>
                <w:szCs w:val="20"/>
                <w:lang w:val="en-US"/>
              </w:rPr>
              <w:fldChar w:fldCharType="end"/>
            </w:r>
          </w:p>
        </w:tc>
      </w:tr>
      <w:tr w:rsidR="00923108" w:rsidRPr="0071445E" w14:paraId="555141A4" w14:textId="61408DE5" w:rsidTr="00AC31BF">
        <w:tc>
          <w:tcPr>
            <w:tcW w:w="1450" w:type="dxa"/>
          </w:tcPr>
          <w:p w14:paraId="5A800B26" w14:textId="77777777" w:rsidR="00846872" w:rsidRPr="003C74F9" w:rsidRDefault="00846872" w:rsidP="009B4E63">
            <w:pPr>
              <w:rPr>
                <w:rFonts w:ascii="Arial" w:hAnsi="Arial" w:cs="Arial"/>
                <w:sz w:val="20"/>
                <w:szCs w:val="20"/>
                <w:lang w:val="en-US"/>
              </w:rPr>
            </w:pPr>
            <w:r w:rsidRPr="003C74F9">
              <w:rPr>
                <w:rFonts w:ascii="Arial" w:hAnsi="Arial" w:cs="Arial"/>
                <w:sz w:val="20"/>
                <w:szCs w:val="20"/>
                <w:lang w:val="en-US"/>
              </w:rPr>
              <w:t>Municipality- and social care</w:t>
            </w:r>
          </w:p>
          <w:p w14:paraId="7D388E16" w14:textId="77777777" w:rsidR="00846872" w:rsidRPr="003C74F9" w:rsidRDefault="00846872" w:rsidP="009B4E63">
            <w:pPr>
              <w:rPr>
                <w:rFonts w:ascii="Arial" w:hAnsi="Arial" w:cs="Arial"/>
                <w:sz w:val="20"/>
                <w:szCs w:val="20"/>
                <w:lang w:val="en-US"/>
              </w:rPr>
            </w:pPr>
            <w:r w:rsidRPr="003C74F9">
              <w:rPr>
                <w:rFonts w:ascii="Arial" w:hAnsi="Arial" w:cs="Arial"/>
                <w:sz w:val="20"/>
                <w:szCs w:val="20"/>
                <w:lang w:val="en-US"/>
              </w:rPr>
              <w:t>(All costs included)</w:t>
            </w:r>
          </w:p>
        </w:tc>
        <w:tc>
          <w:tcPr>
            <w:tcW w:w="2287" w:type="dxa"/>
          </w:tcPr>
          <w:p w14:paraId="7DAFE7A9" w14:textId="77777777" w:rsidR="00846872" w:rsidRPr="003C74F9" w:rsidRDefault="00846872" w:rsidP="009B4E63">
            <w:pPr>
              <w:pStyle w:val="ListBullet"/>
              <w:rPr>
                <w:rFonts w:ascii="Arial" w:hAnsi="Arial" w:cs="Arial"/>
                <w:sz w:val="20"/>
                <w:szCs w:val="20"/>
              </w:rPr>
            </w:pPr>
            <w:r w:rsidRPr="003C74F9">
              <w:rPr>
                <w:rFonts w:ascii="Arial" w:hAnsi="Arial" w:cs="Arial"/>
                <w:sz w:val="20"/>
                <w:szCs w:val="20"/>
              </w:rPr>
              <w:t>Home care nursing</w:t>
            </w:r>
          </w:p>
          <w:p w14:paraId="60574065" w14:textId="77777777" w:rsidR="00846872" w:rsidRPr="003C74F9" w:rsidRDefault="00846872" w:rsidP="009B4E63">
            <w:pPr>
              <w:pStyle w:val="ListBullet"/>
              <w:rPr>
                <w:rFonts w:ascii="Arial" w:hAnsi="Arial" w:cs="Arial"/>
                <w:sz w:val="20"/>
                <w:szCs w:val="20"/>
              </w:rPr>
            </w:pPr>
            <w:r w:rsidRPr="003C74F9">
              <w:rPr>
                <w:rFonts w:ascii="Arial" w:hAnsi="Arial" w:cs="Arial"/>
                <w:sz w:val="20"/>
                <w:szCs w:val="20"/>
              </w:rPr>
              <w:t>In-home assistance</w:t>
            </w:r>
          </w:p>
          <w:p w14:paraId="0E4E423A" w14:textId="77777777" w:rsidR="00846872" w:rsidRPr="003C74F9" w:rsidRDefault="00846872" w:rsidP="009B4E63">
            <w:pPr>
              <w:pStyle w:val="ListBullet"/>
              <w:rPr>
                <w:rFonts w:ascii="Arial" w:hAnsi="Arial" w:cs="Arial"/>
                <w:sz w:val="20"/>
                <w:szCs w:val="20"/>
              </w:rPr>
            </w:pPr>
            <w:r w:rsidRPr="003C74F9">
              <w:rPr>
                <w:rFonts w:ascii="Arial" w:hAnsi="Arial" w:cs="Arial"/>
                <w:sz w:val="20"/>
                <w:szCs w:val="20"/>
              </w:rPr>
              <w:t>Household cleaning</w:t>
            </w:r>
          </w:p>
          <w:p w14:paraId="6B4F753F" w14:textId="77777777" w:rsidR="00846872" w:rsidRPr="003C74F9" w:rsidRDefault="00846872" w:rsidP="009B4E63">
            <w:pPr>
              <w:pStyle w:val="ListBullet"/>
              <w:rPr>
                <w:rFonts w:ascii="Arial" w:hAnsi="Arial" w:cs="Arial"/>
                <w:sz w:val="20"/>
                <w:szCs w:val="20"/>
              </w:rPr>
            </w:pPr>
            <w:r w:rsidRPr="003C74F9">
              <w:rPr>
                <w:rFonts w:ascii="Arial" w:hAnsi="Arial" w:cs="Arial"/>
                <w:sz w:val="20"/>
                <w:szCs w:val="20"/>
              </w:rPr>
              <w:t>Rehabilitation</w:t>
            </w:r>
          </w:p>
        </w:tc>
        <w:tc>
          <w:tcPr>
            <w:tcW w:w="2021" w:type="dxa"/>
          </w:tcPr>
          <w:p w14:paraId="77CD4058" w14:textId="45824B4F" w:rsidR="00846872" w:rsidRPr="003C74F9" w:rsidRDefault="009812DC" w:rsidP="009B4E63">
            <w:pPr>
              <w:pStyle w:val="ListBullet"/>
              <w:rPr>
                <w:rFonts w:ascii="Arial" w:hAnsi="Arial" w:cs="Arial"/>
                <w:sz w:val="20"/>
                <w:szCs w:val="20"/>
                <w:lang w:val="en-US"/>
              </w:rPr>
            </w:pPr>
            <w:r>
              <w:rPr>
                <w:rFonts w:ascii="Arial" w:hAnsi="Arial" w:cs="Arial"/>
                <w:sz w:val="20"/>
                <w:szCs w:val="20"/>
                <w:lang w:val="en-US"/>
              </w:rPr>
              <w:t>Local register, Aalborg Municipality</w:t>
            </w:r>
          </w:p>
        </w:tc>
        <w:tc>
          <w:tcPr>
            <w:tcW w:w="2018" w:type="dxa"/>
          </w:tcPr>
          <w:p w14:paraId="6251EB58" w14:textId="43BE54EF" w:rsidR="00846872" w:rsidRPr="003C74F9" w:rsidRDefault="00846872" w:rsidP="009B4E63">
            <w:pPr>
              <w:pStyle w:val="ListBullet"/>
              <w:rPr>
                <w:rFonts w:ascii="Arial" w:hAnsi="Arial" w:cs="Arial"/>
                <w:sz w:val="20"/>
                <w:szCs w:val="20"/>
                <w:lang w:val="en-US"/>
              </w:rPr>
            </w:pPr>
            <w:r w:rsidRPr="003C74F9">
              <w:rPr>
                <w:rFonts w:ascii="Arial" w:hAnsi="Arial" w:cs="Arial"/>
                <w:sz w:val="20"/>
                <w:szCs w:val="20"/>
                <w:lang w:val="en-US"/>
              </w:rPr>
              <w:t>Number of visits and time consumption in each care category</w:t>
            </w:r>
          </w:p>
          <w:p w14:paraId="7BBE79BD" w14:textId="77777777" w:rsidR="00846872" w:rsidRPr="003C74F9" w:rsidRDefault="00846872" w:rsidP="009B4E63">
            <w:pPr>
              <w:pStyle w:val="ListBullet"/>
              <w:numPr>
                <w:ilvl w:val="0"/>
                <w:numId w:val="0"/>
              </w:numPr>
              <w:ind w:left="360"/>
              <w:rPr>
                <w:rFonts w:ascii="Arial" w:hAnsi="Arial" w:cs="Arial"/>
                <w:sz w:val="20"/>
                <w:szCs w:val="20"/>
                <w:lang w:val="en-US"/>
              </w:rPr>
            </w:pPr>
            <w:r w:rsidRPr="003C74F9">
              <w:rPr>
                <w:rFonts w:ascii="Arial" w:hAnsi="Arial" w:cs="Arial"/>
                <w:sz w:val="20"/>
                <w:szCs w:val="20"/>
                <w:lang w:val="en-US"/>
              </w:rPr>
              <w:t>(Registrations from Aalborg Municipality)</w:t>
            </w:r>
          </w:p>
        </w:tc>
        <w:tc>
          <w:tcPr>
            <w:tcW w:w="1852" w:type="dxa"/>
          </w:tcPr>
          <w:p w14:paraId="04908228" w14:textId="6B5DF28D" w:rsidR="00846872" w:rsidRPr="003C74F9" w:rsidRDefault="009812DC" w:rsidP="006B2D69">
            <w:pPr>
              <w:pStyle w:val="ListBullet"/>
              <w:rPr>
                <w:rFonts w:ascii="Arial" w:hAnsi="Arial" w:cs="Arial"/>
                <w:sz w:val="20"/>
                <w:szCs w:val="20"/>
                <w:lang w:val="en-US"/>
              </w:rPr>
            </w:pPr>
            <w:r>
              <w:rPr>
                <w:rFonts w:ascii="Arial" w:hAnsi="Arial" w:cs="Arial"/>
                <w:sz w:val="20"/>
                <w:szCs w:val="20"/>
                <w:lang w:val="en-US"/>
              </w:rPr>
              <w:t>A</w:t>
            </w:r>
            <w:r w:rsidRPr="009812DC">
              <w:rPr>
                <w:rFonts w:ascii="Arial" w:hAnsi="Arial" w:cs="Arial"/>
                <w:sz w:val="20"/>
                <w:szCs w:val="20"/>
                <w:lang w:val="en-US"/>
              </w:rPr>
              <w:t>verage national effective hourly wage rates</w:t>
            </w:r>
            <w:r w:rsidR="006B2D69">
              <w:rPr>
                <w:rFonts w:ascii="Arial" w:hAnsi="Arial" w:cs="Arial"/>
                <w:sz w:val="20"/>
                <w:szCs w:val="20"/>
                <w:lang w:val="en-US"/>
              </w:rPr>
              <w:t xml:space="preserve"> </w:t>
            </w:r>
            <w:r w:rsidR="006B2D69">
              <w:rPr>
                <w:rFonts w:ascii="Arial" w:hAnsi="Arial" w:cs="Arial"/>
                <w:sz w:val="20"/>
                <w:szCs w:val="20"/>
                <w:lang w:val="en-US"/>
              </w:rPr>
              <w:fldChar w:fldCharType="begin" w:fldLock="1"/>
            </w:r>
            <w:r w:rsidR="00923108">
              <w:rPr>
                <w:rFonts w:ascii="Arial" w:hAnsi="Arial" w:cs="Arial"/>
                <w:sz w:val="20"/>
                <w:szCs w:val="20"/>
                <w:lang w:val="en-US"/>
              </w:rPr>
              <w:instrText>ADDIN CSL_CITATION {"citationItems":[{"id":"ITEM-1","itemData":{"URL":"www.statistikbanken.dk","accessed":{"date-parts":[["2020","6","6"]]},"container-title":"Danmarks Statistik","id":"ITEM-1","issued":{"date-parts":[["2019"]]},"title":"Statistikbanken - LONS20: Løn efter arbejdsfunktion, sektor, aflønningsform, lønmodtagergruppe, lønkomponenter og køn [Statistikbanken - LONS20: Wages estimated based on job function, sector, payment form, employment group, wage component and gender]","type":"webpage"},"uris":["http://www.mendeley.com/documents/?uuid=b1191f3e-7c7b-446e-a40c-fec067d19bab"]}],"mendeley":{"formattedCitation":"&lt;sup&gt;3&lt;/sup&gt;","plainTextFormattedCitation":"3","previouslyFormattedCitation":"&lt;sup&gt;3&lt;/sup&gt;"},"properties":{"noteIndex":0},"schema":"https://github.com/citation-style-language/schema/raw/master/csl-citation.json"}</w:instrText>
            </w:r>
            <w:r w:rsidR="006B2D69">
              <w:rPr>
                <w:rFonts w:ascii="Arial" w:hAnsi="Arial" w:cs="Arial"/>
                <w:sz w:val="20"/>
                <w:szCs w:val="20"/>
                <w:lang w:val="en-US"/>
              </w:rPr>
              <w:fldChar w:fldCharType="separate"/>
            </w:r>
            <w:r w:rsidR="006B2D69" w:rsidRPr="006B2D69">
              <w:rPr>
                <w:rFonts w:ascii="Arial" w:hAnsi="Arial" w:cs="Arial"/>
                <w:noProof/>
                <w:sz w:val="20"/>
                <w:szCs w:val="20"/>
                <w:vertAlign w:val="superscript"/>
                <w:lang w:val="en-US"/>
              </w:rPr>
              <w:t>3</w:t>
            </w:r>
            <w:r w:rsidR="006B2D69">
              <w:rPr>
                <w:rFonts w:ascii="Arial" w:hAnsi="Arial" w:cs="Arial"/>
                <w:sz w:val="20"/>
                <w:szCs w:val="20"/>
                <w:lang w:val="en-US"/>
              </w:rPr>
              <w:fldChar w:fldCharType="end"/>
            </w:r>
          </w:p>
        </w:tc>
      </w:tr>
      <w:tr w:rsidR="00923108" w:rsidRPr="003C74F9" w14:paraId="1CE00FE8" w14:textId="3B936145" w:rsidTr="00AC31BF">
        <w:tc>
          <w:tcPr>
            <w:tcW w:w="1450" w:type="dxa"/>
          </w:tcPr>
          <w:p w14:paraId="295025B1" w14:textId="77777777" w:rsidR="00846872" w:rsidRPr="003C74F9" w:rsidRDefault="00846872" w:rsidP="009B4E63">
            <w:pPr>
              <w:rPr>
                <w:rFonts w:ascii="Arial" w:hAnsi="Arial" w:cs="Arial"/>
                <w:sz w:val="20"/>
                <w:szCs w:val="20"/>
                <w:lang w:val="en-US"/>
              </w:rPr>
            </w:pPr>
            <w:r w:rsidRPr="003C74F9">
              <w:rPr>
                <w:rFonts w:ascii="Arial" w:hAnsi="Arial" w:cs="Arial"/>
                <w:sz w:val="20"/>
                <w:szCs w:val="20"/>
                <w:lang w:val="en-US"/>
              </w:rPr>
              <w:t>Medicine</w:t>
            </w:r>
          </w:p>
          <w:p w14:paraId="02C2CD79" w14:textId="5DF3BCDC" w:rsidR="00846872" w:rsidRPr="003C74F9" w:rsidRDefault="00846872" w:rsidP="009B4E63">
            <w:pPr>
              <w:rPr>
                <w:rFonts w:ascii="Arial" w:hAnsi="Arial" w:cs="Arial"/>
                <w:sz w:val="20"/>
                <w:szCs w:val="20"/>
                <w:lang w:val="en-US"/>
              </w:rPr>
            </w:pPr>
            <w:r w:rsidRPr="003C74F9">
              <w:rPr>
                <w:rFonts w:ascii="Arial" w:hAnsi="Arial" w:cs="Arial"/>
                <w:sz w:val="20"/>
                <w:szCs w:val="20"/>
                <w:lang w:val="en-US"/>
              </w:rPr>
              <w:t>(</w:t>
            </w:r>
            <w:proofErr w:type="gramStart"/>
            <w:r>
              <w:rPr>
                <w:rFonts w:ascii="Arial" w:hAnsi="Arial" w:cs="Arial"/>
                <w:sz w:val="20"/>
                <w:szCs w:val="20"/>
                <w:lang w:val="en-US"/>
              </w:rPr>
              <w:t>only</w:t>
            </w:r>
            <w:proofErr w:type="gramEnd"/>
            <w:r>
              <w:rPr>
                <w:rFonts w:ascii="Arial" w:hAnsi="Arial" w:cs="Arial"/>
                <w:sz w:val="20"/>
                <w:szCs w:val="20"/>
                <w:lang w:val="en-US"/>
              </w:rPr>
              <w:t xml:space="preserve"> </w:t>
            </w:r>
            <w:r w:rsidRPr="003C74F9">
              <w:rPr>
                <w:rFonts w:ascii="Arial" w:hAnsi="Arial" w:cs="Arial"/>
                <w:sz w:val="20"/>
                <w:szCs w:val="20"/>
                <w:lang w:val="en-US"/>
              </w:rPr>
              <w:t>COPD related costs included</w:t>
            </w:r>
            <w:r>
              <w:rPr>
                <w:rFonts w:ascii="Arial" w:hAnsi="Arial" w:cs="Arial"/>
                <w:sz w:val="20"/>
                <w:szCs w:val="20"/>
                <w:lang w:val="en-US"/>
              </w:rPr>
              <w:t>, see appendix B</w:t>
            </w:r>
            <w:r w:rsidRPr="003C74F9">
              <w:rPr>
                <w:rFonts w:ascii="Arial" w:hAnsi="Arial" w:cs="Arial"/>
                <w:sz w:val="20"/>
                <w:szCs w:val="20"/>
                <w:lang w:val="en-US"/>
              </w:rPr>
              <w:t>)</w:t>
            </w:r>
          </w:p>
        </w:tc>
        <w:tc>
          <w:tcPr>
            <w:tcW w:w="2287" w:type="dxa"/>
          </w:tcPr>
          <w:p w14:paraId="06514A17" w14:textId="77777777" w:rsidR="00846872" w:rsidRPr="003C74F9" w:rsidRDefault="00846872" w:rsidP="009B4E63">
            <w:pPr>
              <w:pStyle w:val="ListBullet"/>
              <w:rPr>
                <w:rFonts w:ascii="Arial" w:hAnsi="Arial" w:cs="Arial"/>
                <w:sz w:val="20"/>
                <w:szCs w:val="20"/>
                <w:lang w:val="en-US"/>
              </w:rPr>
            </w:pPr>
            <w:r w:rsidRPr="003C74F9">
              <w:rPr>
                <w:rFonts w:ascii="Arial" w:hAnsi="Arial" w:cs="Arial"/>
                <w:sz w:val="20"/>
                <w:szCs w:val="20"/>
                <w:lang w:val="en-US"/>
              </w:rPr>
              <w:t>Prescribed inhalation medicine</w:t>
            </w:r>
          </w:p>
          <w:p w14:paraId="7794117F" w14:textId="77777777" w:rsidR="00846872" w:rsidRPr="003C74F9" w:rsidRDefault="00846872" w:rsidP="009B4E63">
            <w:pPr>
              <w:pStyle w:val="ListBullet"/>
              <w:rPr>
                <w:rFonts w:ascii="Arial" w:hAnsi="Arial" w:cs="Arial"/>
                <w:sz w:val="20"/>
                <w:szCs w:val="20"/>
                <w:lang w:val="en-US"/>
              </w:rPr>
            </w:pPr>
            <w:r w:rsidRPr="003C74F9">
              <w:rPr>
                <w:rFonts w:ascii="Arial" w:hAnsi="Arial" w:cs="Arial"/>
                <w:sz w:val="20"/>
                <w:szCs w:val="20"/>
                <w:lang w:val="en-US"/>
              </w:rPr>
              <w:t>Prescribed oral corticosteroids and antibiotics</w:t>
            </w:r>
          </w:p>
        </w:tc>
        <w:tc>
          <w:tcPr>
            <w:tcW w:w="2021" w:type="dxa"/>
          </w:tcPr>
          <w:p w14:paraId="0FB12C5B" w14:textId="0AE0F08E" w:rsidR="00846872" w:rsidRPr="003C74F9" w:rsidRDefault="009812DC" w:rsidP="009B4E63">
            <w:pPr>
              <w:pStyle w:val="ListBullet"/>
              <w:rPr>
                <w:rFonts w:ascii="Arial" w:hAnsi="Arial" w:cs="Arial"/>
                <w:sz w:val="20"/>
                <w:szCs w:val="20"/>
                <w:lang w:val="en-US"/>
              </w:rPr>
            </w:pPr>
            <w:r>
              <w:rPr>
                <w:rFonts w:ascii="Arial" w:hAnsi="Arial" w:cs="Arial"/>
                <w:sz w:val="20"/>
                <w:szCs w:val="20"/>
                <w:lang w:val="en-US"/>
              </w:rPr>
              <w:t>The Danish Prescription Registry</w:t>
            </w:r>
          </w:p>
        </w:tc>
        <w:tc>
          <w:tcPr>
            <w:tcW w:w="2018" w:type="dxa"/>
          </w:tcPr>
          <w:p w14:paraId="06702E5D" w14:textId="4B40E01F" w:rsidR="00846872" w:rsidRPr="003C74F9" w:rsidRDefault="00846872" w:rsidP="009B4E63">
            <w:pPr>
              <w:pStyle w:val="ListBullet"/>
              <w:rPr>
                <w:rFonts w:ascii="Arial" w:hAnsi="Arial" w:cs="Arial"/>
                <w:sz w:val="20"/>
                <w:szCs w:val="20"/>
                <w:lang w:val="en-US"/>
              </w:rPr>
            </w:pPr>
            <w:r w:rsidRPr="003C74F9">
              <w:rPr>
                <w:rFonts w:ascii="Arial" w:hAnsi="Arial" w:cs="Arial"/>
                <w:sz w:val="20"/>
                <w:szCs w:val="20"/>
                <w:lang w:val="en-US"/>
              </w:rPr>
              <w:t xml:space="preserve">Date </w:t>
            </w:r>
            <w:r w:rsidR="009812DC">
              <w:rPr>
                <w:rFonts w:ascii="Arial" w:hAnsi="Arial" w:cs="Arial"/>
                <w:sz w:val="20"/>
                <w:szCs w:val="20"/>
                <w:lang w:val="en-US"/>
              </w:rPr>
              <w:t xml:space="preserve">the medicine was redeemed, type, number of </w:t>
            </w:r>
            <w:proofErr w:type="gramStart"/>
            <w:r w:rsidR="009812DC">
              <w:rPr>
                <w:rFonts w:ascii="Arial" w:hAnsi="Arial" w:cs="Arial"/>
                <w:sz w:val="20"/>
                <w:szCs w:val="20"/>
                <w:lang w:val="en-US"/>
              </w:rPr>
              <w:t>packages</w:t>
            </w:r>
            <w:proofErr w:type="gramEnd"/>
            <w:r w:rsidRPr="003C74F9">
              <w:rPr>
                <w:rFonts w:ascii="Arial" w:hAnsi="Arial" w:cs="Arial"/>
                <w:sz w:val="20"/>
                <w:szCs w:val="20"/>
                <w:lang w:val="en-US"/>
              </w:rPr>
              <w:t xml:space="preserve"> </w:t>
            </w:r>
          </w:p>
          <w:p w14:paraId="18AF6C72" w14:textId="55EAF12E" w:rsidR="00846872" w:rsidRPr="003C74F9" w:rsidRDefault="00846872" w:rsidP="009B4E63">
            <w:pPr>
              <w:pStyle w:val="ListBullet"/>
              <w:numPr>
                <w:ilvl w:val="0"/>
                <w:numId w:val="0"/>
              </w:numPr>
              <w:ind w:left="360"/>
              <w:rPr>
                <w:rFonts w:ascii="Arial" w:hAnsi="Arial" w:cs="Arial"/>
                <w:sz w:val="20"/>
                <w:szCs w:val="20"/>
                <w:lang w:val="en-US"/>
              </w:rPr>
            </w:pPr>
          </w:p>
        </w:tc>
        <w:tc>
          <w:tcPr>
            <w:tcW w:w="1852" w:type="dxa"/>
          </w:tcPr>
          <w:p w14:paraId="200763B8" w14:textId="31C26391" w:rsidR="00846872" w:rsidRPr="003C74F9" w:rsidRDefault="009812DC" w:rsidP="00923108">
            <w:pPr>
              <w:pStyle w:val="ListBullet"/>
              <w:rPr>
                <w:rFonts w:ascii="Arial" w:hAnsi="Arial" w:cs="Arial"/>
                <w:sz w:val="20"/>
                <w:szCs w:val="20"/>
                <w:lang w:val="en-US"/>
              </w:rPr>
            </w:pPr>
            <w:r>
              <w:rPr>
                <w:rFonts w:ascii="Arial" w:hAnsi="Arial" w:cs="Arial"/>
                <w:sz w:val="20"/>
                <w:szCs w:val="20"/>
                <w:lang w:val="en-US"/>
              </w:rPr>
              <w:t>Pharmacy consumer prices</w:t>
            </w:r>
            <w:r w:rsidR="00923108">
              <w:rPr>
                <w:rFonts w:ascii="Arial" w:hAnsi="Arial" w:cs="Arial"/>
                <w:sz w:val="20"/>
                <w:szCs w:val="20"/>
                <w:lang w:val="en-US"/>
              </w:rPr>
              <w:t xml:space="preserve"> </w:t>
            </w:r>
            <w:r w:rsidR="00923108">
              <w:rPr>
                <w:rFonts w:ascii="Arial" w:hAnsi="Arial" w:cs="Arial"/>
                <w:sz w:val="20"/>
                <w:szCs w:val="20"/>
                <w:lang w:val="en-US"/>
              </w:rPr>
              <w:fldChar w:fldCharType="begin" w:fldLock="1"/>
            </w:r>
            <w:r w:rsidR="00923108">
              <w:rPr>
                <w:rFonts w:ascii="Arial" w:hAnsi="Arial" w:cs="Arial"/>
                <w:sz w:val="20"/>
                <w:szCs w:val="20"/>
                <w:lang w:val="en-US"/>
              </w:rPr>
              <w:instrText>ADDIN CSL_CITATION {"citationItems":[{"id":"ITEM-1","itemData":{"URL":"https://laegemiddelstyrelsen.dk/da/tilskud/priser/#","accessed":{"date-parts":[["2020","5","31"]]},"container-title":"Lægemiddelstyrelsen","id":"ITEM-1","issued":{"date-parts":[["2020"]]},"title":"Priser på medicin [Prices on medicines]","type":"webpage"},"uris":["http://www.mendeley.com/documents/?uuid=899394e0-3bbc-432e-bb48-9480e107d905"]}],"mendeley":{"formattedCitation":"&lt;sup&gt;4&lt;/sup&gt;","plainTextFormattedCitation":"4"},"properties":{"noteIndex":0},"schema":"https://github.com/citation-style-language/schema/raw/master/csl-citation.json"}</w:instrText>
            </w:r>
            <w:r w:rsidR="00923108">
              <w:rPr>
                <w:rFonts w:ascii="Arial" w:hAnsi="Arial" w:cs="Arial"/>
                <w:sz w:val="20"/>
                <w:szCs w:val="20"/>
                <w:lang w:val="en-US"/>
              </w:rPr>
              <w:fldChar w:fldCharType="separate"/>
            </w:r>
            <w:r w:rsidR="00923108" w:rsidRPr="00923108">
              <w:rPr>
                <w:rFonts w:ascii="Arial" w:hAnsi="Arial" w:cs="Arial"/>
                <w:noProof/>
                <w:sz w:val="20"/>
                <w:szCs w:val="20"/>
                <w:vertAlign w:val="superscript"/>
                <w:lang w:val="en-US"/>
              </w:rPr>
              <w:t>4</w:t>
            </w:r>
            <w:r w:rsidR="00923108">
              <w:rPr>
                <w:rFonts w:ascii="Arial" w:hAnsi="Arial" w:cs="Arial"/>
                <w:sz w:val="20"/>
                <w:szCs w:val="20"/>
                <w:lang w:val="en-US"/>
              </w:rPr>
              <w:fldChar w:fldCharType="end"/>
            </w:r>
          </w:p>
        </w:tc>
      </w:tr>
      <w:tr w:rsidR="00AC31BF" w:rsidRPr="00DD24A0" w14:paraId="67AA2C18" w14:textId="79DD058D" w:rsidTr="00AC31BF">
        <w:tc>
          <w:tcPr>
            <w:tcW w:w="1450" w:type="dxa"/>
            <w:vMerge w:val="restart"/>
          </w:tcPr>
          <w:p w14:paraId="6CA44CA6" w14:textId="77777777" w:rsidR="00AC31BF" w:rsidRPr="003C74F9" w:rsidRDefault="00AC31BF" w:rsidP="009812DC">
            <w:pPr>
              <w:rPr>
                <w:rFonts w:ascii="Arial" w:hAnsi="Arial" w:cs="Arial"/>
                <w:sz w:val="20"/>
                <w:szCs w:val="20"/>
              </w:rPr>
            </w:pPr>
            <w:r w:rsidRPr="003C74F9">
              <w:rPr>
                <w:rFonts w:ascii="Arial" w:hAnsi="Arial" w:cs="Arial"/>
                <w:sz w:val="20"/>
                <w:szCs w:val="20"/>
              </w:rPr>
              <w:t>Intervention costs</w:t>
            </w:r>
          </w:p>
          <w:p w14:paraId="5303BB52" w14:textId="55EE7EA0" w:rsidR="00AC31BF" w:rsidRPr="00AC31BF" w:rsidRDefault="00AC31BF" w:rsidP="009812DC">
            <w:pPr>
              <w:rPr>
                <w:rFonts w:ascii="Arial" w:hAnsi="Arial" w:cs="Arial"/>
                <w:sz w:val="20"/>
                <w:szCs w:val="20"/>
                <w:lang w:val="en-US"/>
              </w:rPr>
            </w:pPr>
          </w:p>
          <w:p w14:paraId="5ACEFD7D" w14:textId="5E71FC72" w:rsidR="00AC31BF" w:rsidRPr="003C74F9" w:rsidRDefault="00AC31BF" w:rsidP="009812DC">
            <w:pPr>
              <w:rPr>
                <w:rFonts w:ascii="Arial" w:hAnsi="Arial" w:cs="Arial"/>
                <w:sz w:val="20"/>
                <w:szCs w:val="20"/>
              </w:rPr>
            </w:pPr>
          </w:p>
        </w:tc>
        <w:tc>
          <w:tcPr>
            <w:tcW w:w="2287" w:type="dxa"/>
          </w:tcPr>
          <w:p w14:paraId="120BB415" w14:textId="11840D6B" w:rsidR="00AC31BF" w:rsidRPr="009812DC" w:rsidRDefault="00AC31BF" w:rsidP="009812DC">
            <w:pPr>
              <w:pStyle w:val="ListBullet"/>
              <w:rPr>
                <w:rFonts w:ascii="Arial" w:hAnsi="Arial" w:cs="Arial"/>
                <w:sz w:val="20"/>
                <w:szCs w:val="20"/>
                <w:lang w:val="en-US"/>
              </w:rPr>
            </w:pPr>
            <w:r>
              <w:rPr>
                <w:rFonts w:ascii="Arial" w:hAnsi="Arial" w:cs="Arial"/>
                <w:sz w:val="20"/>
                <w:szCs w:val="20"/>
                <w:lang w:val="en-US"/>
              </w:rPr>
              <w:t>HFNC</w:t>
            </w:r>
            <w:r w:rsidRPr="003C74F9">
              <w:rPr>
                <w:rFonts w:ascii="Arial" w:hAnsi="Arial" w:cs="Arial"/>
                <w:sz w:val="20"/>
                <w:szCs w:val="20"/>
                <w:lang w:val="en-US"/>
              </w:rPr>
              <w:t xml:space="preserve"> device </w:t>
            </w:r>
          </w:p>
        </w:tc>
        <w:tc>
          <w:tcPr>
            <w:tcW w:w="2021" w:type="dxa"/>
          </w:tcPr>
          <w:p w14:paraId="23A83624" w14:textId="459B0403" w:rsidR="00AC31BF" w:rsidRPr="003C74F9" w:rsidRDefault="00AC31BF" w:rsidP="009812DC">
            <w:pPr>
              <w:pStyle w:val="ListBullet"/>
              <w:rPr>
                <w:rFonts w:ascii="Arial" w:hAnsi="Arial" w:cs="Arial"/>
                <w:sz w:val="20"/>
                <w:szCs w:val="20"/>
                <w:lang w:val="en-US"/>
              </w:rPr>
            </w:pPr>
            <w:r w:rsidRPr="00665142">
              <w:rPr>
                <w:rFonts w:ascii="Arial" w:hAnsi="Arial" w:cs="Arial"/>
                <w:sz w:val="20"/>
                <w:szCs w:val="20"/>
                <w:lang w:val="en-US"/>
              </w:rPr>
              <w:t>Fisher &amp; Paykel Healthcare Ltd, Auckland, New Zealand</w:t>
            </w:r>
          </w:p>
        </w:tc>
        <w:tc>
          <w:tcPr>
            <w:tcW w:w="2018" w:type="dxa"/>
          </w:tcPr>
          <w:p w14:paraId="69D33BCE" w14:textId="21371795" w:rsidR="00AC31BF" w:rsidRPr="003C74F9" w:rsidRDefault="00AC31BF" w:rsidP="009812DC">
            <w:pPr>
              <w:pStyle w:val="ListBullet"/>
              <w:rPr>
                <w:rFonts w:ascii="Arial" w:hAnsi="Arial" w:cs="Arial"/>
                <w:sz w:val="20"/>
                <w:szCs w:val="20"/>
                <w:lang w:val="en-US"/>
              </w:rPr>
            </w:pPr>
            <w:r>
              <w:rPr>
                <w:rFonts w:ascii="Arial" w:hAnsi="Arial" w:cs="Arial"/>
                <w:sz w:val="20"/>
                <w:szCs w:val="20"/>
                <w:lang w:val="en-US"/>
              </w:rPr>
              <w:t>Average yearly cost per patient £</w:t>
            </w:r>
            <w:r w:rsidRPr="00AC31BF">
              <w:rPr>
                <w:rFonts w:ascii="Arial" w:hAnsi="Arial" w:cs="Arial"/>
                <w:sz w:val="20"/>
                <w:szCs w:val="20"/>
                <w:lang w:val="en-US"/>
              </w:rPr>
              <w:t>425.69</w:t>
            </w:r>
          </w:p>
        </w:tc>
        <w:tc>
          <w:tcPr>
            <w:tcW w:w="1852" w:type="dxa"/>
          </w:tcPr>
          <w:p w14:paraId="4FA77C12" w14:textId="77777777" w:rsidR="00AC31BF" w:rsidRDefault="00AC31BF" w:rsidP="00AC31BF">
            <w:pPr>
              <w:pStyle w:val="ListBullet"/>
              <w:rPr>
                <w:rFonts w:ascii="Arial" w:hAnsi="Arial" w:cs="Arial"/>
                <w:sz w:val="20"/>
                <w:szCs w:val="20"/>
                <w:lang w:val="en-US"/>
              </w:rPr>
            </w:pPr>
            <w:r>
              <w:rPr>
                <w:rFonts w:ascii="Arial" w:hAnsi="Arial" w:cs="Arial"/>
                <w:sz w:val="20"/>
                <w:szCs w:val="20"/>
                <w:lang w:val="en-US"/>
              </w:rPr>
              <w:t>M</w:t>
            </w:r>
            <w:r w:rsidRPr="00665142">
              <w:rPr>
                <w:rFonts w:ascii="Arial" w:hAnsi="Arial" w:cs="Arial"/>
                <w:sz w:val="20"/>
                <w:szCs w:val="20"/>
                <w:lang w:val="en-US"/>
              </w:rPr>
              <w:t>ean European prices</w:t>
            </w:r>
          </w:p>
          <w:p w14:paraId="2F2AF6EC" w14:textId="0E0FA965" w:rsidR="00AC31BF" w:rsidRPr="003C74F9" w:rsidRDefault="00630E5D" w:rsidP="00AC31BF">
            <w:pPr>
              <w:pStyle w:val="ListBullet"/>
              <w:rPr>
                <w:rFonts w:ascii="Arial" w:hAnsi="Arial" w:cs="Arial"/>
                <w:sz w:val="20"/>
                <w:szCs w:val="20"/>
                <w:lang w:val="en-US"/>
              </w:rPr>
            </w:pPr>
            <w:r>
              <w:rPr>
                <w:rFonts w:ascii="Arial" w:hAnsi="Arial" w:cs="Arial"/>
                <w:sz w:val="20"/>
                <w:szCs w:val="20"/>
                <w:lang w:val="en-US"/>
              </w:rPr>
              <w:t>A</w:t>
            </w:r>
            <w:r w:rsidRPr="00630E5D">
              <w:rPr>
                <w:rFonts w:ascii="Arial" w:hAnsi="Arial" w:cs="Arial"/>
                <w:sz w:val="20"/>
                <w:szCs w:val="20"/>
                <w:lang w:val="en-US"/>
              </w:rPr>
              <w:t>nnuitized</w:t>
            </w:r>
            <w:r w:rsidR="00AC31BF" w:rsidRPr="00665142">
              <w:rPr>
                <w:rFonts w:ascii="Arial" w:hAnsi="Arial" w:cs="Arial"/>
                <w:sz w:val="20"/>
                <w:szCs w:val="20"/>
                <w:lang w:val="en-US"/>
              </w:rPr>
              <w:t xml:space="preserve"> over a 5-year period at a discount rate of 4 %. Original cost £1895 </w:t>
            </w:r>
          </w:p>
        </w:tc>
      </w:tr>
      <w:tr w:rsidR="00AC31BF" w:rsidRPr="00DD24A0" w14:paraId="4EEE56F8" w14:textId="77777777" w:rsidTr="00AC31BF">
        <w:tc>
          <w:tcPr>
            <w:tcW w:w="1450" w:type="dxa"/>
            <w:vMerge/>
          </w:tcPr>
          <w:p w14:paraId="7CF2FF50" w14:textId="23CE679C" w:rsidR="00AC31BF" w:rsidRPr="003C74F9" w:rsidRDefault="00AC31BF" w:rsidP="009812DC">
            <w:pPr>
              <w:rPr>
                <w:rFonts w:ascii="Arial" w:hAnsi="Arial" w:cs="Arial"/>
                <w:sz w:val="20"/>
                <w:szCs w:val="20"/>
              </w:rPr>
            </w:pPr>
          </w:p>
        </w:tc>
        <w:tc>
          <w:tcPr>
            <w:tcW w:w="2287" w:type="dxa"/>
          </w:tcPr>
          <w:p w14:paraId="11399734" w14:textId="31D67DC9" w:rsidR="00AC31BF" w:rsidRDefault="00AC31BF" w:rsidP="009812DC">
            <w:pPr>
              <w:pStyle w:val="ListBullet"/>
              <w:rPr>
                <w:rFonts w:ascii="Arial" w:hAnsi="Arial" w:cs="Arial"/>
                <w:sz w:val="20"/>
                <w:szCs w:val="20"/>
                <w:lang w:val="en-US"/>
              </w:rPr>
            </w:pPr>
            <w:r>
              <w:rPr>
                <w:rFonts w:ascii="Arial" w:hAnsi="Arial" w:cs="Arial"/>
                <w:sz w:val="20"/>
                <w:szCs w:val="20"/>
                <w:lang w:val="en-US"/>
              </w:rPr>
              <w:t>O</w:t>
            </w:r>
            <w:r w:rsidRPr="003C74F9">
              <w:rPr>
                <w:rFonts w:ascii="Arial" w:hAnsi="Arial" w:cs="Arial"/>
                <w:sz w:val="20"/>
                <w:szCs w:val="20"/>
                <w:lang w:val="en-US"/>
              </w:rPr>
              <w:t>xygen stand</w:t>
            </w:r>
          </w:p>
        </w:tc>
        <w:tc>
          <w:tcPr>
            <w:tcW w:w="2021" w:type="dxa"/>
          </w:tcPr>
          <w:p w14:paraId="696A522C" w14:textId="6B373EB5" w:rsidR="00AC31BF" w:rsidRPr="003C74F9" w:rsidRDefault="00EC238A" w:rsidP="009812DC">
            <w:pPr>
              <w:pStyle w:val="ListBullet"/>
              <w:rPr>
                <w:rFonts w:ascii="Arial" w:hAnsi="Arial" w:cs="Arial"/>
                <w:sz w:val="20"/>
                <w:szCs w:val="20"/>
                <w:lang w:val="en-US"/>
              </w:rPr>
            </w:pPr>
            <w:r>
              <w:rPr>
                <w:rFonts w:ascii="Arial" w:hAnsi="Arial" w:cs="Arial"/>
                <w:sz w:val="20"/>
                <w:szCs w:val="20"/>
                <w:lang w:val="en-US"/>
              </w:rPr>
              <w:t>L</w:t>
            </w:r>
            <w:r w:rsidRPr="00665142">
              <w:rPr>
                <w:rFonts w:ascii="Arial" w:hAnsi="Arial" w:cs="Arial"/>
                <w:sz w:val="20"/>
                <w:szCs w:val="20"/>
                <w:lang w:val="en-US"/>
              </w:rPr>
              <w:t>ocal oxygen company</w:t>
            </w:r>
          </w:p>
        </w:tc>
        <w:tc>
          <w:tcPr>
            <w:tcW w:w="2018" w:type="dxa"/>
          </w:tcPr>
          <w:p w14:paraId="2EDF493D" w14:textId="3CFF0336" w:rsidR="00AC31BF" w:rsidRPr="003C74F9" w:rsidRDefault="00AC31BF" w:rsidP="009812DC">
            <w:pPr>
              <w:pStyle w:val="ListBullet"/>
              <w:rPr>
                <w:rFonts w:ascii="Arial" w:hAnsi="Arial" w:cs="Arial"/>
                <w:sz w:val="20"/>
                <w:szCs w:val="20"/>
                <w:lang w:val="en-US"/>
              </w:rPr>
            </w:pPr>
            <w:r>
              <w:rPr>
                <w:rFonts w:ascii="Arial" w:hAnsi="Arial" w:cs="Arial"/>
                <w:sz w:val="20"/>
                <w:szCs w:val="20"/>
                <w:lang w:val="en-US"/>
              </w:rPr>
              <w:t>Average yearly cost per patient (£37.81)</w:t>
            </w:r>
          </w:p>
        </w:tc>
        <w:tc>
          <w:tcPr>
            <w:tcW w:w="1852" w:type="dxa"/>
          </w:tcPr>
          <w:p w14:paraId="4709682D" w14:textId="1BA0B8F3" w:rsidR="00AC31BF" w:rsidRPr="003C74F9" w:rsidRDefault="00630E5D" w:rsidP="009812DC">
            <w:pPr>
              <w:pStyle w:val="ListBullet"/>
              <w:rPr>
                <w:rFonts w:ascii="Arial" w:hAnsi="Arial" w:cs="Arial"/>
                <w:sz w:val="20"/>
                <w:szCs w:val="20"/>
                <w:lang w:val="en-US"/>
              </w:rPr>
            </w:pPr>
            <w:r>
              <w:rPr>
                <w:rFonts w:ascii="Arial" w:hAnsi="Arial" w:cs="Arial"/>
                <w:sz w:val="20"/>
                <w:szCs w:val="20"/>
                <w:lang w:val="en-US"/>
              </w:rPr>
              <w:t>A</w:t>
            </w:r>
            <w:r w:rsidRPr="00630E5D">
              <w:rPr>
                <w:rFonts w:ascii="Arial" w:hAnsi="Arial" w:cs="Arial"/>
                <w:sz w:val="20"/>
                <w:szCs w:val="20"/>
                <w:lang w:val="en-US"/>
              </w:rPr>
              <w:t>nnuitized</w:t>
            </w:r>
            <w:r w:rsidRPr="00665142">
              <w:rPr>
                <w:rFonts w:ascii="Arial" w:hAnsi="Arial" w:cs="Arial"/>
                <w:sz w:val="20"/>
                <w:szCs w:val="20"/>
                <w:lang w:val="en-US"/>
              </w:rPr>
              <w:t xml:space="preserve"> </w:t>
            </w:r>
            <w:r w:rsidR="00AC31BF" w:rsidRPr="00665142">
              <w:rPr>
                <w:rFonts w:ascii="Arial" w:hAnsi="Arial" w:cs="Arial"/>
                <w:sz w:val="20"/>
                <w:szCs w:val="20"/>
                <w:lang w:val="en-US"/>
              </w:rPr>
              <w:t>over a 5-year period at a discount rate of 4 %. Original cost £168.</w:t>
            </w:r>
          </w:p>
        </w:tc>
      </w:tr>
      <w:tr w:rsidR="00AC31BF" w:rsidRPr="00DD24A0" w14:paraId="754EDA66" w14:textId="77777777" w:rsidTr="00AC31BF">
        <w:tc>
          <w:tcPr>
            <w:tcW w:w="1450" w:type="dxa"/>
            <w:vMerge/>
          </w:tcPr>
          <w:p w14:paraId="036F8F03" w14:textId="5E5A69E0" w:rsidR="00AC31BF" w:rsidRPr="00AC31BF" w:rsidRDefault="00AC31BF" w:rsidP="009812DC">
            <w:pPr>
              <w:rPr>
                <w:rFonts w:ascii="Arial" w:hAnsi="Arial" w:cs="Arial"/>
                <w:sz w:val="20"/>
                <w:szCs w:val="20"/>
                <w:lang w:val="en-US"/>
              </w:rPr>
            </w:pPr>
          </w:p>
        </w:tc>
        <w:tc>
          <w:tcPr>
            <w:tcW w:w="2287" w:type="dxa"/>
          </w:tcPr>
          <w:p w14:paraId="69CE17FD" w14:textId="1F614A66" w:rsidR="00AC31BF" w:rsidRPr="009812DC" w:rsidRDefault="00AC31BF" w:rsidP="009812DC">
            <w:pPr>
              <w:pStyle w:val="ListBullet"/>
              <w:rPr>
                <w:rFonts w:ascii="Arial" w:hAnsi="Arial" w:cs="Arial"/>
                <w:sz w:val="20"/>
                <w:szCs w:val="20"/>
                <w:lang w:val="en-US"/>
              </w:rPr>
            </w:pPr>
            <w:r w:rsidRPr="003C74F9">
              <w:rPr>
                <w:rFonts w:ascii="Arial" w:hAnsi="Arial" w:cs="Arial"/>
                <w:sz w:val="20"/>
                <w:szCs w:val="20"/>
                <w:lang w:val="en-US"/>
              </w:rPr>
              <w:t>Consumables (</w:t>
            </w:r>
            <w:r>
              <w:rPr>
                <w:rFonts w:ascii="Arial" w:hAnsi="Arial" w:cs="Arial"/>
                <w:sz w:val="20"/>
                <w:szCs w:val="20"/>
                <w:lang w:val="en-US"/>
              </w:rPr>
              <w:t xml:space="preserve">six </w:t>
            </w:r>
            <w:r w:rsidRPr="003C74F9">
              <w:rPr>
                <w:rFonts w:ascii="Arial" w:hAnsi="Arial" w:cs="Arial"/>
                <w:sz w:val="20"/>
                <w:szCs w:val="20"/>
                <w:lang w:val="en-US"/>
              </w:rPr>
              <w:t xml:space="preserve">breathing tubes, </w:t>
            </w:r>
            <w:r>
              <w:rPr>
                <w:rFonts w:ascii="Arial" w:hAnsi="Arial" w:cs="Arial"/>
                <w:sz w:val="20"/>
                <w:szCs w:val="20"/>
                <w:lang w:val="en-US"/>
              </w:rPr>
              <w:t xml:space="preserve">six autofill </w:t>
            </w:r>
            <w:r w:rsidRPr="003C74F9">
              <w:rPr>
                <w:rFonts w:ascii="Arial" w:hAnsi="Arial" w:cs="Arial"/>
                <w:sz w:val="20"/>
                <w:szCs w:val="20"/>
                <w:lang w:val="en-US"/>
              </w:rPr>
              <w:lastRenderedPageBreak/>
              <w:t xml:space="preserve">chambers, </w:t>
            </w:r>
            <w:r>
              <w:rPr>
                <w:rFonts w:ascii="Arial" w:hAnsi="Arial" w:cs="Arial"/>
                <w:sz w:val="20"/>
                <w:szCs w:val="20"/>
                <w:lang w:val="en-US"/>
              </w:rPr>
              <w:t xml:space="preserve">12 </w:t>
            </w:r>
            <w:proofErr w:type="spellStart"/>
            <w:r w:rsidRPr="003C74F9">
              <w:rPr>
                <w:rFonts w:ascii="Arial" w:hAnsi="Arial" w:cs="Arial"/>
                <w:sz w:val="20"/>
                <w:szCs w:val="20"/>
                <w:lang w:val="en-US"/>
              </w:rPr>
              <w:t>optiflow</w:t>
            </w:r>
            <w:proofErr w:type="spellEnd"/>
            <w:r w:rsidRPr="003C74F9">
              <w:rPr>
                <w:rFonts w:ascii="Arial" w:hAnsi="Arial" w:cs="Arial"/>
                <w:sz w:val="20"/>
                <w:szCs w:val="20"/>
                <w:lang w:val="en-US"/>
              </w:rPr>
              <w:t xml:space="preserve"> nasal cannulas)</w:t>
            </w:r>
          </w:p>
        </w:tc>
        <w:tc>
          <w:tcPr>
            <w:tcW w:w="2021" w:type="dxa"/>
          </w:tcPr>
          <w:p w14:paraId="227B4411" w14:textId="6436A331" w:rsidR="00AC31BF" w:rsidRPr="003C74F9" w:rsidRDefault="00AC31BF" w:rsidP="009812DC">
            <w:pPr>
              <w:pStyle w:val="ListBullet"/>
              <w:rPr>
                <w:rFonts w:ascii="Arial" w:hAnsi="Arial" w:cs="Arial"/>
                <w:sz w:val="20"/>
                <w:szCs w:val="20"/>
                <w:lang w:val="en-US"/>
              </w:rPr>
            </w:pPr>
            <w:r w:rsidRPr="00665142">
              <w:rPr>
                <w:rFonts w:ascii="Arial" w:hAnsi="Arial" w:cs="Arial"/>
                <w:sz w:val="20"/>
                <w:szCs w:val="20"/>
                <w:lang w:val="en-US"/>
              </w:rPr>
              <w:lastRenderedPageBreak/>
              <w:t xml:space="preserve">Fisher &amp; Paykel Healthcare Ltd, </w:t>
            </w:r>
            <w:r w:rsidRPr="00665142">
              <w:rPr>
                <w:rFonts w:ascii="Arial" w:hAnsi="Arial" w:cs="Arial"/>
                <w:sz w:val="20"/>
                <w:szCs w:val="20"/>
                <w:lang w:val="en-US"/>
              </w:rPr>
              <w:lastRenderedPageBreak/>
              <w:t>Auckland, New Zealand</w:t>
            </w:r>
          </w:p>
        </w:tc>
        <w:tc>
          <w:tcPr>
            <w:tcW w:w="2018" w:type="dxa"/>
          </w:tcPr>
          <w:p w14:paraId="6DEEFD04" w14:textId="2D8C27AE" w:rsidR="00AC31BF" w:rsidRPr="003C74F9" w:rsidRDefault="00F33331" w:rsidP="00F33331">
            <w:pPr>
              <w:pStyle w:val="ListBullet"/>
              <w:rPr>
                <w:rFonts w:ascii="Arial" w:hAnsi="Arial" w:cs="Arial"/>
                <w:sz w:val="20"/>
                <w:szCs w:val="20"/>
                <w:lang w:val="en-US"/>
              </w:rPr>
            </w:pPr>
            <w:r>
              <w:rPr>
                <w:rFonts w:ascii="Arial" w:hAnsi="Arial" w:cs="Arial"/>
                <w:sz w:val="20"/>
                <w:szCs w:val="20"/>
                <w:lang w:val="en-US"/>
              </w:rPr>
              <w:lastRenderedPageBreak/>
              <w:t>Cost per am</w:t>
            </w:r>
            <w:r w:rsidR="00AC31BF">
              <w:rPr>
                <w:rFonts w:ascii="Arial" w:hAnsi="Arial" w:cs="Arial"/>
                <w:sz w:val="20"/>
                <w:szCs w:val="20"/>
                <w:lang w:val="en-US"/>
              </w:rPr>
              <w:t xml:space="preserve">ount used </w:t>
            </w:r>
            <w:r w:rsidR="00AC31BF">
              <w:rPr>
                <w:rFonts w:ascii="Arial" w:hAnsi="Arial" w:cs="Arial"/>
                <w:sz w:val="20"/>
                <w:szCs w:val="20"/>
                <w:lang w:val="en-US"/>
              </w:rPr>
              <w:lastRenderedPageBreak/>
              <w:t>per patient per year (£</w:t>
            </w:r>
            <w:r w:rsidR="00AC31BF" w:rsidRPr="00665142">
              <w:rPr>
                <w:rFonts w:ascii="Arial" w:hAnsi="Arial" w:cs="Arial"/>
                <w:sz w:val="20"/>
                <w:szCs w:val="20"/>
                <w:lang w:val="en-US"/>
              </w:rPr>
              <w:t>493.50</w:t>
            </w:r>
            <w:r w:rsidR="00AC31BF">
              <w:rPr>
                <w:rFonts w:ascii="Arial" w:hAnsi="Arial" w:cs="Arial"/>
                <w:sz w:val="20"/>
                <w:szCs w:val="20"/>
                <w:lang w:val="en-US"/>
              </w:rPr>
              <w:t>)</w:t>
            </w:r>
          </w:p>
        </w:tc>
        <w:tc>
          <w:tcPr>
            <w:tcW w:w="1852" w:type="dxa"/>
          </w:tcPr>
          <w:p w14:paraId="046D6F2E" w14:textId="3698CB25" w:rsidR="00AC31BF" w:rsidRDefault="00AC31BF" w:rsidP="009812DC">
            <w:pPr>
              <w:pStyle w:val="ListBullet"/>
              <w:rPr>
                <w:rFonts w:ascii="Arial" w:hAnsi="Arial" w:cs="Arial"/>
                <w:sz w:val="20"/>
                <w:szCs w:val="20"/>
                <w:lang w:val="en-US"/>
              </w:rPr>
            </w:pPr>
            <w:r>
              <w:rPr>
                <w:rFonts w:ascii="Arial" w:hAnsi="Arial" w:cs="Arial"/>
                <w:sz w:val="20"/>
                <w:szCs w:val="20"/>
                <w:lang w:val="en-US"/>
              </w:rPr>
              <w:lastRenderedPageBreak/>
              <w:t>M</w:t>
            </w:r>
            <w:r w:rsidRPr="00665142">
              <w:rPr>
                <w:rFonts w:ascii="Arial" w:hAnsi="Arial" w:cs="Arial"/>
                <w:sz w:val="20"/>
                <w:szCs w:val="20"/>
                <w:lang w:val="en-US"/>
              </w:rPr>
              <w:t>ean European prices</w:t>
            </w:r>
          </w:p>
        </w:tc>
      </w:tr>
      <w:tr w:rsidR="00AC31BF" w:rsidRPr="0071445E" w14:paraId="01A29DBE" w14:textId="77777777" w:rsidTr="00AC31BF">
        <w:tc>
          <w:tcPr>
            <w:tcW w:w="1450" w:type="dxa"/>
            <w:vMerge/>
          </w:tcPr>
          <w:p w14:paraId="52AC7E85" w14:textId="5CA8A34B" w:rsidR="00AC31BF" w:rsidRPr="009812DC" w:rsidRDefault="00AC31BF" w:rsidP="009812DC">
            <w:pPr>
              <w:rPr>
                <w:rFonts w:ascii="Arial" w:hAnsi="Arial" w:cs="Arial"/>
                <w:sz w:val="20"/>
                <w:szCs w:val="20"/>
                <w:lang w:val="en-US"/>
              </w:rPr>
            </w:pPr>
          </w:p>
        </w:tc>
        <w:tc>
          <w:tcPr>
            <w:tcW w:w="2287" w:type="dxa"/>
          </w:tcPr>
          <w:p w14:paraId="3E7E895C" w14:textId="27CA89CE" w:rsidR="00AC31BF" w:rsidRDefault="00AC31BF" w:rsidP="009812DC">
            <w:pPr>
              <w:pStyle w:val="ListBullet"/>
              <w:rPr>
                <w:rFonts w:ascii="Arial" w:hAnsi="Arial" w:cs="Arial"/>
                <w:sz w:val="20"/>
                <w:szCs w:val="20"/>
                <w:lang w:val="en-US"/>
              </w:rPr>
            </w:pPr>
            <w:r>
              <w:rPr>
                <w:rFonts w:ascii="Arial" w:hAnsi="Arial" w:cs="Arial"/>
                <w:sz w:val="20"/>
                <w:szCs w:val="20"/>
                <w:lang w:val="en-US"/>
              </w:rPr>
              <w:t>HFNC d</w:t>
            </w:r>
            <w:r w:rsidRPr="003C74F9">
              <w:rPr>
                <w:rFonts w:ascii="Arial" w:hAnsi="Arial" w:cs="Arial"/>
                <w:sz w:val="20"/>
                <w:szCs w:val="20"/>
                <w:lang w:val="en-US"/>
              </w:rPr>
              <w:t>evice set</w:t>
            </w:r>
            <w:r>
              <w:rPr>
                <w:rFonts w:ascii="Arial" w:hAnsi="Arial" w:cs="Arial"/>
                <w:sz w:val="20"/>
                <w:szCs w:val="20"/>
                <w:lang w:val="en-US"/>
              </w:rPr>
              <w:t>-</w:t>
            </w:r>
            <w:r w:rsidRPr="003C74F9">
              <w:rPr>
                <w:rFonts w:ascii="Arial" w:hAnsi="Arial" w:cs="Arial"/>
                <w:sz w:val="20"/>
                <w:szCs w:val="20"/>
                <w:lang w:val="en-US"/>
              </w:rPr>
              <w:t>up and service</w:t>
            </w:r>
          </w:p>
        </w:tc>
        <w:tc>
          <w:tcPr>
            <w:tcW w:w="2021" w:type="dxa"/>
          </w:tcPr>
          <w:p w14:paraId="17686E7C" w14:textId="35237202" w:rsidR="00AC31BF" w:rsidRPr="003C74F9" w:rsidRDefault="00AC31BF" w:rsidP="009812DC">
            <w:pPr>
              <w:pStyle w:val="ListBullet"/>
              <w:rPr>
                <w:rFonts w:ascii="Arial" w:hAnsi="Arial" w:cs="Arial"/>
                <w:sz w:val="20"/>
                <w:szCs w:val="20"/>
                <w:lang w:val="en-US"/>
              </w:rPr>
            </w:pPr>
            <w:r>
              <w:rPr>
                <w:rFonts w:ascii="Arial" w:hAnsi="Arial" w:cs="Arial"/>
                <w:sz w:val="20"/>
                <w:szCs w:val="20"/>
                <w:lang w:val="en-US"/>
              </w:rPr>
              <w:t>L</w:t>
            </w:r>
            <w:r w:rsidRPr="00665142">
              <w:rPr>
                <w:rFonts w:ascii="Arial" w:hAnsi="Arial" w:cs="Arial"/>
                <w:sz w:val="20"/>
                <w:szCs w:val="20"/>
                <w:lang w:val="en-US"/>
              </w:rPr>
              <w:t>ocal oxygen company</w:t>
            </w:r>
          </w:p>
        </w:tc>
        <w:tc>
          <w:tcPr>
            <w:tcW w:w="2018" w:type="dxa"/>
          </w:tcPr>
          <w:p w14:paraId="1C633948" w14:textId="3A8EB093" w:rsidR="00AC31BF" w:rsidRPr="003C74F9" w:rsidRDefault="00F33331" w:rsidP="009812DC">
            <w:pPr>
              <w:pStyle w:val="ListBullet"/>
              <w:rPr>
                <w:rFonts w:ascii="Arial" w:hAnsi="Arial" w:cs="Arial"/>
                <w:sz w:val="20"/>
                <w:szCs w:val="20"/>
                <w:lang w:val="en-US"/>
              </w:rPr>
            </w:pPr>
            <w:r>
              <w:rPr>
                <w:rFonts w:ascii="Arial" w:hAnsi="Arial" w:cs="Arial"/>
                <w:sz w:val="20"/>
                <w:szCs w:val="20"/>
                <w:lang w:val="en-US"/>
              </w:rPr>
              <w:t>Yearly f</w:t>
            </w:r>
            <w:r w:rsidR="00AC31BF">
              <w:rPr>
                <w:rFonts w:ascii="Arial" w:hAnsi="Arial" w:cs="Arial"/>
                <w:sz w:val="20"/>
                <w:szCs w:val="20"/>
                <w:lang w:val="en-US"/>
              </w:rPr>
              <w:t>ixed cost</w:t>
            </w:r>
            <w:r>
              <w:rPr>
                <w:rFonts w:ascii="Arial" w:hAnsi="Arial" w:cs="Arial"/>
                <w:sz w:val="20"/>
                <w:szCs w:val="20"/>
                <w:lang w:val="en-US"/>
              </w:rPr>
              <w:t xml:space="preserve"> per patient</w:t>
            </w:r>
            <w:r w:rsidR="0071445E">
              <w:rPr>
                <w:rFonts w:ascii="Arial" w:hAnsi="Arial" w:cs="Arial"/>
                <w:sz w:val="20"/>
                <w:szCs w:val="20"/>
                <w:lang w:val="en-US"/>
              </w:rPr>
              <w:t xml:space="preserve"> (£279)</w:t>
            </w:r>
          </w:p>
        </w:tc>
        <w:tc>
          <w:tcPr>
            <w:tcW w:w="1852" w:type="dxa"/>
          </w:tcPr>
          <w:p w14:paraId="25993568" w14:textId="4BCDA63E" w:rsidR="00AC31BF" w:rsidRDefault="00F33331" w:rsidP="009812DC">
            <w:pPr>
              <w:pStyle w:val="ListBullet"/>
              <w:rPr>
                <w:rFonts w:ascii="Arial" w:hAnsi="Arial" w:cs="Arial"/>
                <w:sz w:val="20"/>
                <w:szCs w:val="20"/>
                <w:lang w:val="en-US"/>
              </w:rPr>
            </w:pPr>
            <w:r>
              <w:rPr>
                <w:rFonts w:ascii="Arial" w:hAnsi="Arial" w:cs="Arial"/>
                <w:sz w:val="20"/>
                <w:szCs w:val="20"/>
                <w:lang w:val="en-US"/>
              </w:rPr>
              <w:t>Y</w:t>
            </w:r>
            <w:r w:rsidRPr="00665142">
              <w:rPr>
                <w:rFonts w:ascii="Arial" w:hAnsi="Arial" w:cs="Arial"/>
                <w:sz w:val="20"/>
                <w:szCs w:val="20"/>
                <w:lang w:val="en-US"/>
              </w:rPr>
              <w:t>early average cost paid to the oxygen company over the last 5 years.</w:t>
            </w:r>
          </w:p>
        </w:tc>
      </w:tr>
    </w:tbl>
    <w:p w14:paraId="066A81E5" w14:textId="64FEF40D" w:rsidR="003C74F9" w:rsidRPr="003C74F9" w:rsidRDefault="003C74F9" w:rsidP="003C74F9">
      <w:pPr>
        <w:rPr>
          <w:rFonts w:ascii="Arial" w:hAnsi="Arial" w:cs="Arial"/>
          <w:sz w:val="20"/>
          <w:szCs w:val="20"/>
          <w:lang w:val="en-US"/>
        </w:rPr>
      </w:pPr>
      <w:r w:rsidRPr="003C74F9">
        <w:rPr>
          <w:rFonts w:ascii="Arial" w:hAnsi="Arial" w:cs="Arial"/>
          <w:sz w:val="20"/>
          <w:szCs w:val="20"/>
          <w:lang w:val="en-US"/>
        </w:rPr>
        <w:t xml:space="preserve">All costs </w:t>
      </w:r>
      <w:r w:rsidR="00F33331">
        <w:rPr>
          <w:rFonts w:ascii="Arial" w:hAnsi="Arial" w:cs="Arial"/>
          <w:sz w:val="20"/>
          <w:szCs w:val="20"/>
          <w:lang w:val="en-US"/>
        </w:rPr>
        <w:t xml:space="preserve">except intervention costs </w:t>
      </w:r>
      <w:r w:rsidRPr="003C74F9">
        <w:rPr>
          <w:rFonts w:ascii="Arial" w:hAnsi="Arial" w:cs="Arial"/>
          <w:sz w:val="20"/>
          <w:szCs w:val="20"/>
          <w:lang w:val="en-US"/>
        </w:rPr>
        <w:t>were gathered 12 months pre-study and during the 12 months study period.</w:t>
      </w:r>
    </w:p>
    <w:p w14:paraId="10401995" w14:textId="77777777" w:rsidR="003C74F9" w:rsidRDefault="003C74F9">
      <w:pPr>
        <w:rPr>
          <w:rFonts w:ascii="Arial" w:hAnsi="Arial" w:cs="Arial"/>
          <w:sz w:val="20"/>
          <w:szCs w:val="20"/>
          <w:lang w:val="en-US"/>
        </w:rPr>
      </w:pPr>
      <w:r>
        <w:rPr>
          <w:rFonts w:ascii="Arial" w:hAnsi="Arial" w:cs="Arial"/>
          <w:sz w:val="20"/>
          <w:szCs w:val="20"/>
          <w:lang w:val="en-US"/>
        </w:rPr>
        <w:br w:type="page"/>
      </w:r>
    </w:p>
    <w:p w14:paraId="60BC4003" w14:textId="2EA8B231" w:rsidR="003C74F9" w:rsidRPr="003C74F9" w:rsidRDefault="003C74F9" w:rsidP="003C74F9">
      <w:pPr>
        <w:pStyle w:val="Heading1"/>
        <w:rPr>
          <w:rFonts w:ascii="Arial" w:hAnsi="Arial" w:cs="Arial"/>
          <w:color w:val="auto"/>
          <w:lang w:val="en-US"/>
        </w:rPr>
      </w:pPr>
      <w:r w:rsidRPr="003C74F9">
        <w:rPr>
          <w:rFonts w:ascii="Arial" w:hAnsi="Arial" w:cs="Arial"/>
          <w:color w:val="auto"/>
          <w:lang w:val="en-US"/>
        </w:rPr>
        <w:lastRenderedPageBreak/>
        <w:t>Appendix B</w:t>
      </w:r>
    </w:p>
    <w:p w14:paraId="18C8DECA" w14:textId="77777777" w:rsidR="003C74F9" w:rsidRPr="00B639C2" w:rsidRDefault="003C74F9" w:rsidP="001B62B5">
      <w:pPr>
        <w:rPr>
          <w:rFonts w:ascii="Arial" w:hAnsi="Arial" w:cs="Arial"/>
          <w:sz w:val="20"/>
          <w:szCs w:val="20"/>
          <w:lang w:val="en-US"/>
        </w:rPr>
      </w:pPr>
    </w:p>
    <w:p w14:paraId="14709967" w14:textId="1989FF9D" w:rsidR="001B62B5" w:rsidRPr="00B639C2" w:rsidRDefault="001B62B5" w:rsidP="001B62B5">
      <w:pPr>
        <w:rPr>
          <w:rFonts w:ascii="Arial" w:hAnsi="Arial" w:cs="Arial"/>
          <w:sz w:val="20"/>
          <w:szCs w:val="20"/>
          <w:lang w:val="en-US"/>
        </w:rPr>
      </w:pPr>
      <w:r w:rsidRPr="00B639C2">
        <w:rPr>
          <w:rFonts w:ascii="Arial" w:hAnsi="Arial" w:cs="Arial"/>
          <w:sz w:val="20"/>
          <w:szCs w:val="20"/>
          <w:lang w:val="en-US"/>
        </w:rPr>
        <w:t xml:space="preserve">Groups of medications included in the estimation of </w:t>
      </w:r>
      <w:r w:rsidR="0055153E" w:rsidRPr="00B639C2">
        <w:rPr>
          <w:rFonts w:ascii="Arial" w:hAnsi="Arial" w:cs="Arial"/>
          <w:sz w:val="20"/>
          <w:szCs w:val="20"/>
          <w:lang w:val="en-US"/>
        </w:rPr>
        <w:t xml:space="preserve">costs for </w:t>
      </w:r>
      <w:r w:rsidRPr="00B639C2">
        <w:rPr>
          <w:rFonts w:ascii="Arial" w:hAnsi="Arial" w:cs="Arial"/>
          <w:sz w:val="20"/>
          <w:szCs w:val="20"/>
          <w:lang w:val="en-US"/>
        </w:rPr>
        <w:t xml:space="preserve">prescription </w:t>
      </w:r>
      <w:proofErr w:type="gramStart"/>
      <w:r w:rsidRPr="00B639C2">
        <w:rPr>
          <w:rFonts w:ascii="Arial" w:hAnsi="Arial" w:cs="Arial"/>
          <w:sz w:val="20"/>
          <w:szCs w:val="20"/>
          <w:lang w:val="en-US"/>
        </w:rPr>
        <w:t>medicine</w:t>
      </w:r>
      <w:proofErr w:type="gramEnd"/>
    </w:p>
    <w:tbl>
      <w:tblPr>
        <w:tblStyle w:val="TableGrid"/>
        <w:tblW w:w="0" w:type="auto"/>
        <w:tblLook w:val="04A0" w:firstRow="1" w:lastRow="0" w:firstColumn="1" w:lastColumn="0" w:noHBand="0" w:noVBand="1"/>
      </w:tblPr>
      <w:tblGrid>
        <w:gridCol w:w="2547"/>
        <w:gridCol w:w="7081"/>
      </w:tblGrid>
      <w:tr w:rsidR="001B62B5" w:rsidRPr="00B639C2" w14:paraId="06CA4A86" w14:textId="77777777" w:rsidTr="007126AD">
        <w:tc>
          <w:tcPr>
            <w:tcW w:w="2547" w:type="dxa"/>
            <w:shd w:val="clear" w:color="auto" w:fill="E7E6E6" w:themeFill="background2"/>
          </w:tcPr>
          <w:p w14:paraId="0A591628" w14:textId="60F6DA1E" w:rsidR="001B62B5" w:rsidRPr="00B639C2" w:rsidRDefault="007126AD" w:rsidP="001B62B5">
            <w:pPr>
              <w:rPr>
                <w:rFonts w:ascii="Arial" w:hAnsi="Arial" w:cs="Arial"/>
                <w:sz w:val="20"/>
                <w:szCs w:val="20"/>
                <w:lang w:val="en-US"/>
              </w:rPr>
            </w:pPr>
            <w:r w:rsidRPr="00B639C2">
              <w:rPr>
                <w:rFonts w:ascii="Arial" w:hAnsi="Arial" w:cs="Arial"/>
                <w:sz w:val="20"/>
                <w:szCs w:val="20"/>
                <w:lang w:val="en-US"/>
              </w:rPr>
              <w:t>ATC</w:t>
            </w:r>
          </w:p>
        </w:tc>
        <w:tc>
          <w:tcPr>
            <w:tcW w:w="7081" w:type="dxa"/>
            <w:shd w:val="clear" w:color="auto" w:fill="E7E6E6" w:themeFill="background2"/>
          </w:tcPr>
          <w:p w14:paraId="16B3B242" w14:textId="30176A42" w:rsidR="001B62B5" w:rsidRPr="00B639C2" w:rsidRDefault="007126AD" w:rsidP="001B62B5">
            <w:pPr>
              <w:rPr>
                <w:rFonts w:ascii="Arial" w:hAnsi="Arial" w:cs="Arial"/>
                <w:sz w:val="20"/>
                <w:szCs w:val="20"/>
                <w:lang w:val="en-US"/>
              </w:rPr>
            </w:pPr>
            <w:r w:rsidRPr="00B639C2">
              <w:rPr>
                <w:rFonts w:ascii="Arial" w:hAnsi="Arial" w:cs="Arial"/>
                <w:sz w:val="20"/>
                <w:szCs w:val="20"/>
                <w:lang w:val="en-US"/>
              </w:rPr>
              <w:t>Name</w:t>
            </w:r>
          </w:p>
        </w:tc>
      </w:tr>
      <w:tr w:rsidR="001B62B5" w:rsidRPr="00B639C2" w14:paraId="6CF10B66" w14:textId="77777777" w:rsidTr="001B62B5">
        <w:tc>
          <w:tcPr>
            <w:tcW w:w="2547" w:type="dxa"/>
          </w:tcPr>
          <w:p w14:paraId="1999A12B" w14:textId="7DD722EC" w:rsidR="001B62B5" w:rsidRPr="00B639C2" w:rsidRDefault="007126AD" w:rsidP="001B62B5">
            <w:pPr>
              <w:rPr>
                <w:rFonts w:ascii="Arial" w:hAnsi="Arial" w:cs="Arial"/>
                <w:sz w:val="20"/>
                <w:szCs w:val="20"/>
                <w:lang w:val="en-US"/>
              </w:rPr>
            </w:pPr>
            <w:r w:rsidRPr="00B639C2">
              <w:rPr>
                <w:rFonts w:ascii="Arial" w:hAnsi="Arial" w:cs="Arial"/>
                <w:sz w:val="20"/>
                <w:szCs w:val="20"/>
                <w:lang w:val="en-US"/>
              </w:rPr>
              <w:t>H02AB06</w:t>
            </w:r>
          </w:p>
        </w:tc>
        <w:tc>
          <w:tcPr>
            <w:tcW w:w="7081" w:type="dxa"/>
          </w:tcPr>
          <w:p w14:paraId="35C8A1B9" w14:textId="628A0D28" w:rsidR="001B62B5" w:rsidRPr="00B639C2" w:rsidRDefault="007126AD" w:rsidP="001B62B5">
            <w:pPr>
              <w:rPr>
                <w:rFonts w:ascii="Arial" w:hAnsi="Arial" w:cs="Arial"/>
                <w:sz w:val="20"/>
                <w:szCs w:val="20"/>
                <w:lang w:val="en-US"/>
              </w:rPr>
            </w:pPr>
            <w:r w:rsidRPr="00B639C2">
              <w:rPr>
                <w:rFonts w:ascii="Arial" w:hAnsi="Arial" w:cs="Arial"/>
                <w:sz w:val="20"/>
                <w:szCs w:val="20"/>
                <w:lang w:val="en-US"/>
              </w:rPr>
              <w:t>Prednisolone</w:t>
            </w:r>
          </w:p>
        </w:tc>
      </w:tr>
      <w:tr w:rsidR="001B62B5" w:rsidRPr="0071445E" w14:paraId="48D47F56" w14:textId="77777777" w:rsidTr="001B62B5">
        <w:tc>
          <w:tcPr>
            <w:tcW w:w="2547" w:type="dxa"/>
          </w:tcPr>
          <w:p w14:paraId="764F360C" w14:textId="7779BC22" w:rsidR="001B62B5" w:rsidRPr="00B639C2" w:rsidRDefault="007126AD" w:rsidP="001B62B5">
            <w:pPr>
              <w:rPr>
                <w:rFonts w:ascii="Arial" w:hAnsi="Arial" w:cs="Arial"/>
                <w:sz w:val="20"/>
                <w:szCs w:val="20"/>
                <w:lang w:val="en-US"/>
              </w:rPr>
            </w:pPr>
            <w:r w:rsidRPr="00B639C2">
              <w:rPr>
                <w:rFonts w:ascii="Arial" w:hAnsi="Arial" w:cs="Arial"/>
                <w:sz w:val="20"/>
                <w:szCs w:val="20"/>
                <w:lang w:val="en-US"/>
              </w:rPr>
              <w:t>J01CR02</w:t>
            </w:r>
          </w:p>
        </w:tc>
        <w:tc>
          <w:tcPr>
            <w:tcW w:w="7081" w:type="dxa"/>
          </w:tcPr>
          <w:p w14:paraId="57D95D13" w14:textId="775D48BD" w:rsidR="001B62B5" w:rsidRPr="00B639C2" w:rsidRDefault="007126AD" w:rsidP="001B62B5">
            <w:pPr>
              <w:rPr>
                <w:rFonts w:ascii="Arial" w:hAnsi="Arial" w:cs="Arial"/>
                <w:sz w:val="20"/>
                <w:szCs w:val="20"/>
                <w:lang w:val="en-US"/>
              </w:rPr>
            </w:pPr>
            <w:r w:rsidRPr="00B639C2">
              <w:rPr>
                <w:rFonts w:ascii="Arial" w:hAnsi="Arial" w:cs="Arial"/>
                <w:sz w:val="20"/>
                <w:szCs w:val="20"/>
                <w:lang w:val="en-US"/>
              </w:rPr>
              <w:t>A</w:t>
            </w:r>
            <w:r w:rsidR="005E0D36" w:rsidRPr="00B639C2">
              <w:rPr>
                <w:rFonts w:ascii="Arial" w:hAnsi="Arial" w:cs="Arial"/>
                <w:sz w:val="20"/>
                <w:szCs w:val="20"/>
                <w:lang w:val="en-US"/>
              </w:rPr>
              <w:t>moxicillin and beta-lactamase inhibitor</w:t>
            </w:r>
          </w:p>
        </w:tc>
      </w:tr>
      <w:tr w:rsidR="00006493" w:rsidRPr="00B639C2" w14:paraId="09946775" w14:textId="77777777" w:rsidTr="001B62B5">
        <w:tc>
          <w:tcPr>
            <w:tcW w:w="2547" w:type="dxa"/>
          </w:tcPr>
          <w:p w14:paraId="48E17CDE" w14:textId="48D7EA09"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J01FA06</w:t>
            </w:r>
          </w:p>
        </w:tc>
        <w:tc>
          <w:tcPr>
            <w:tcW w:w="7081" w:type="dxa"/>
          </w:tcPr>
          <w:p w14:paraId="0D802EE9" w14:textId="2B7BD645"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Roxithromycin</w:t>
            </w:r>
          </w:p>
        </w:tc>
      </w:tr>
      <w:tr w:rsidR="00006493" w:rsidRPr="00B639C2" w14:paraId="46E9200B" w14:textId="77777777" w:rsidTr="001B62B5">
        <w:tc>
          <w:tcPr>
            <w:tcW w:w="2547" w:type="dxa"/>
          </w:tcPr>
          <w:p w14:paraId="1B25F37D" w14:textId="2DF202F1"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J01FA10</w:t>
            </w:r>
          </w:p>
        </w:tc>
        <w:tc>
          <w:tcPr>
            <w:tcW w:w="7081" w:type="dxa"/>
          </w:tcPr>
          <w:p w14:paraId="19FAD5CF" w14:textId="5EEC3B16"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Azithromycin</w:t>
            </w:r>
          </w:p>
        </w:tc>
      </w:tr>
      <w:tr w:rsidR="00006493" w:rsidRPr="00B639C2" w14:paraId="32B7855D" w14:textId="77777777" w:rsidTr="001B62B5">
        <w:tc>
          <w:tcPr>
            <w:tcW w:w="2547" w:type="dxa"/>
          </w:tcPr>
          <w:p w14:paraId="787F2886" w14:textId="0186ABB7"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J01MA02</w:t>
            </w:r>
          </w:p>
        </w:tc>
        <w:tc>
          <w:tcPr>
            <w:tcW w:w="7081" w:type="dxa"/>
          </w:tcPr>
          <w:p w14:paraId="4142976A" w14:textId="5301A794"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Ciprofloxacin</w:t>
            </w:r>
          </w:p>
        </w:tc>
      </w:tr>
      <w:tr w:rsidR="00006493" w:rsidRPr="00B639C2" w14:paraId="14D087AD" w14:textId="77777777" w:rsidTr="001B62B5">
        <w:tc>
          <w:tcPr>
            <w:tcW w:w="2547" w:type="dxa"/>
          </w:tcPr>
          <w:p w14:paraId="4584220B" w14:textId="700FBE6B"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J01MA14</w:t>
            </w:r>
          </w:p>
        </w:tc>
        <w:tc>
          <w:tcPr>
            <w:tcW w:w="7081" w:type="dxa"/>
          </w:tcPr>
          <w:p w14:paraId="791AD0FE" w14:textId="547D9025"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Moxifloxacin</w:t>
            </w:r>
          </w:p>
        </w:tc>
      </w:tr>
      <w:tr w:rsidR="00006493" w:rsidRPr="0071445E" w14:paraId="2A236109" w14:textId="77777777" w:rsidTr="001B62B5">
        <w:tc>
          <w:tcPr>
            <w:tcW w:w="2547" w:type="dxa"/>
          </w:tcPr>
          <w:p w14:paraId="3981F12A" w14:textId="05A6364B"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R03</w:t>
            </w:r>
          </w:p>
        </w:tc>
        <w:tc>
          <w:tcPr>
            <w:tcW w:w="7081" w:type="dxa"/>
          </w:tcPr>
          <w:p w14:paraId="490D9BEB" w14:textId="08A0388D" w:rsidR="00006493" w:rsidRPr="00B639C2" w:rsidRDefault="00006493" w:rsidP="00006493">
            <w:pPr>
              <w:rPr>
                <w:rFonts w:ascii="Arial" w:hAnsi="Arial" w:cs="Arial"/>
                <w:sz w:val="20"/>
                <w:szCs w:val="20"/>
                <w:lang w:val="en-US"/>
              </w:rPr>
            </w:pPr>
            <w:r w:rsidRPr="00B639C2">
              <w:rPr>
                <w:rFonts w:ascii="Arial" w:hAnsi="Arial" w:cs="Arial"/>
                <w:sz w:val="20"/>
                <w:szCs w:val="20"/>
                <w:lang w:val="en-US"/>
              </w:rPr>
              <w:t>Drugs for obstructive airway diseases</w:t>
            </w:r>
          </w:p>
        </w:tc>
      </w:tr>
    </w:tbl>
    <w:p w14:paraId="5E805F87" w14:textId="10B77EE3" w:rsidR="001B62B5" w:rsidRPr="00B639C2" w:rsidRDefault="007126AD" w:rsidP="001B62B5">
      <w:pPr>
        <w:rPr>
          <w:rFonts w:ascii="Arial" w:eastAsiaTheme="majorEastAsia" w:hAnsi="Arial" w:cs="Arial"/>
          <w:color w:val="2E74B5" w:themeColor="accent1" w:themeShade="BF"/>
          <w:sz w:val="32"/>
          <w:szCs w:val="32"/>
          <w:lang w:val="en-US"/>
        </w:rPr>
      </w:pPr>
      <w:r w:rsidRPr="00B639C2">
        <w:rPr>
          <w:rFonts w:ascii="Arial" w:hAnsi="Arial" w:cs="Arial"/>
          <w:sz w:val="20"/>
          <w:szCs w:val="20"/>
          <w:lang w:val="en-US"/>
        </w:rPr>
        <w:t>Abbreviations: ATC - Anatomical Therapeutic Chemical Classification System</w:t>
      </w:r>
      <w:r w:rsidRPr="00B639C2">
        <w:rPr>
          <w:rFonts w:ascii="Arial" w:hAnsi="Arial" w:cs="Arial"/>
          <w:lang w:val="en-US"/>
        </w:rPr>
        <w:t xml:space="preserve"> </w:t>
      </w:r>
      <w:r w:rsidR="001B62B5" w:rsidRPr="00B639C2">
        <w:rPr>
          <w:rFonts w:ascii="Arial" w:hAnsi="Arial" w:cs="Arial"/>
          <w:lang w:val="en-US"/>
        </w:rPr>
        <w:br w:type="page"/>
      </w:r>
    </w:p>
    <w:p w14:paraId="5D32A1C2" w14:textId="013BE950" w:rsidR="0068514E" w:rsidRPr="00B639C2" w:rsidRDefault="003C74F9" w:rsidP="00794414">
      <w:pPr>
        <w:pStyle w:val="Heading1"/>
        <w:rPr>
          <w:rFonts w:ascii="Arial" w:hAnsi="Arial" w:cs="Arial"/>
          <w:color w:val="000000" w:themeColor="text1"/>
          <w:lang w:val="en-US"/>
        </w:rPr>
      </w:pPr>
      <w:r>
        <w:rPr>
          <w:rFonts w:ascii="Arial" w:hAnsi="Arial" w:cs="Arial"/>
          <w:color w:val="000000" w:themeColor="text1"/>
          <w:lang w:val="en-US"/>
        </w:rPr>
        <w:lastRenderedPageBreak/>
        <w:t>Appendix C</w:t>
      </w:r>
    </w:p>
    <w:p w14:paraId="56FDE948" w14:textId="77777777" w:rsidR="00794414" w:rsidRPr="00B639C2" w:rsidRDefault="00794414" w:rsidP="00794414">
      <w:pPr>
        <w:rPr>
          <w:rFonts w:ascii="Arial" w:hAnsi="Arial" w:cs="Arial"/>
          <w:color w:val="000000" w:themeColor="text1"/>
          <w:lang w:val="en-US"/>
        </w:rPr>
      </w:pPr>
    </w:p>
    <w:p w14:paraId="0BFE0A75" w14:textId="77777777" w:rsidR="00E523F4" w:rsidRPr="00B639C2" w:rsidRDefault="00E523F4" w:rsidP="00CC5EEF">
      <w:pPr>
        <w:pStyle w:val="Heading2"/>
        <w:spacing w:line="360" w:lineRule="auto"/>
        <w:rPr>
          <w:rFonts w:ascii="Arial" w:hAnsi="Arial" w:cs="Arial"/>
          <w:lang w:val="en-US"/>
        </w:rPr>
      </w:pPr>
      <w:r w:rsidRPr="00B639C2">
        <w:rPr>
          <w:rFonts w:ascii="Arial" w:hAnsi="Arial" w:cs="Arial"/>
          <w:color w:val="000000" w:themeColor="text1"/>
          <w:lang w:val="en-US"/>
        </w:rPr>
        <w:t xml:space="preserve">The imputation </w:t>
      </w:r>
      <w:proofErr w:type="gramStart"/>
      <w:r w:rsidRPr="00B639C2">
        <w:rPr>
          <w:rFonts w:ascii="Arial" w:hAnsi="Arial" w:cs="Arial"/>
          <w:color w:val="000000" w:themeColor="text1"/>
          <w:lang w:val="en-US"/>
        </w:rPr>
        <w:t>model</w:t>
      </w:r>
      <w:proofErr w:type="gramEnd"/>
    </w:p>
    <w:p w14:paraId="5707A7B2" w14:textId="41A227B3" w:rsidR="0054008C" w:rsidRPr="00B639C2" w:rsidRDefault="0054008C" w:rsidP="00CC5EEF">
      <w:pPr>
        <w:spacing w:line="360" w:lineRule="auto"/>
        <w:jc w:val="both"/>
        <w:rPr>
          <w:rFonts w:ascii="Arial" w:hAnsi="Arial" w:cs="Arial"/>
          <w:sz w:val="20"/>
          <w:szCs w:val="20"/>
          <w:lang w:val="en-US"/>
        </w:rPr>
      </w:pPr>
      <w:r w:rsidRPr="00B639C2">
        <w:rPr>
          <w:rFonts w:ascii="Arial" w:hAnsi="Arial" w:cs="Arial"/>
          <w:sz w:val="20"/>
          <w:szCs w:val="20"/>
          <w:lang w:val="en-US"/>
        </w:rPr>
        <w:t>In the present study, missing data was handled by use of multiple imputation (MI) and conducted in accordance with the methods described by Faria et al.</w:t>
      </w:r>
      <w:r w:rsidR="00CC5EEF" w:rsidRPr="00B639C2">
        <w:rPr>
          <w:rFonts w:ascii="Arial" w:hAnsi="Arial" w:cs="Arial"/>
          <w:sz w:val="20"/>
          <w:szCs w:val="20"/>
          <w:lang w:val="en-US"/>
        </w:rPr>
        <w:fldChar w:fldCharType="begin" w:fldLock="1"/>
      </w:r>
      <w:r w:rsidR="00923108">
        <w:rPr>
          <w:rFonts w:ascii="Arial" w:hAnsi="Arial" w:cs="Arial"/>
          <w:sz w:val="20"/>
          <w:szCs w:val="20"/>
          <w:lang w:val="en-US"/>
        </w:rPr>
        <w:instrText>ADDIN CSL_CITATION {"citationItems":[{"id":"ITEM-1","itemData":{"author":[{"dropping-particle":"","family":"Faria","given":"Rita","non-dropping-particle":"","parse-names":false,"suffix":""},{"dropping-particle":"","family":"Gomes","given":"Manuel","non-dropping-particle":"","parse-names":false,"suffix":""},{"dropping-particle":"","family":"Epstein","given":"David","non-dropping-particle":"","parse-names":false,"suffix":""},{"dropping-particle":"","family":"White","given":"Ian R","non-dropping-particle":"","parse-names":false,"suffix":""}],"container-title":"PharmacoEconomics","id":"ITEM-1","issue":"12","issued":{"date-parts":[["2014"]]},"page":"1157-1170","title":"A guide to handling missing data in cost-effectiveness analysis conducted within randomised controlled trials","type":"article-journal","volume":"32"},"uris":["http://www.mendeley.com/documents/?uuid=c4d2e382-4d6b-4e2c-aa44-2b1b3dd155fb"]}],"mendeley":{"formattedCitation":"&lt;sup&gt;5&lt;/sup&gt;","plainTextFormattedCitation":"5","previouslyFormattedCitation":"&lt;sup&gt;4&lt;/sup&gt;"},"properties":{"noteIndex":0},"schema":"https://github.com/citation-style-language/schema/raw/master/csl-citation.json"}</w:instrText>
      </w:r>
      <w:r w:rsidR="00CC5EEF" w:rsidRPr="00B639C2">
        <w:rPr>
          <w:rFonts w:ascii="Arial" w:hAnsi="Arial" w:cs="Arial"/>
          <w:sz w:val="20"/>
          <w:szCs w:val="20"/>
          <w:lang w:val="en-US"/>
        </w:rPr>
        <w:fldChar w:fldCharType="separate"/>
      </w:r>
      <w:r w:rsidR="00923108" w:rsidRPr="00923108">
        <w:rPr>
          <w:rFonts w:ascii="Arial" w:hAnsi="Arial" w:cs="Arial"/>
          <w:noProof/>
          <w:sz w:val="20"/>
          <w:szCs w:val="20"/>
          <w:vertAlign w:val="superscript"/>
          <w:lang w:val="en-US"/>
        </w:rPr>
        <w:t>5</w:t>
      </w:r>
      <w:r w:rsidR="00CC5EEF" w:rsidRPr="00B639C2">
        <w:rPr>
          <w:rFonts w:ascii="Arial" w:hAnsi="Arial" w:cs="Arial"/>
          <w:sz w:val="20"/>
          <w:szCs w:val="20"/>
          <w:lang w:val="en-US"/>
        </w:rPr>
        <w:fldChar w:fldCharType="end"/>
      </w:r>
      <w:r w:rsidRPr="00B639C2">
        <w:rPr>
          <w:rFonts w:ascii="Arial" w:hAnsi="Arial" w:cs="Arial"/>
          <w:sz w:val="20"/>
          <w:szCs w:val="20"/>
          <w:lang w:val="en-US"/>
        </w:rPr>
        <w:t xml:space="preserve"> </w:t>
      </w:r>
    </w:p>
    <w:p w14:paraId="2BE3F283" w14:textId="2F0F7043" w:rsidR="00E523F4" w:rsidRPr="00B639C2" w:rsidRDefault="00E523F4" w:rsidP="00CC5EEF">
      <w:pPr>
        <w:spacing w:line="360" w:lineRule="auto"/>
        <w:rPr>
          <w:rFonts w:ascii="Arial" w:hAnsi="Arial" w:cs="Arial"/>
          <w:sz w:val="20"/>
          <w:szCs w:val="20"/>
          <w:lang w:val="en-US"/>
        </w:rPr>
      </w:pPr>
      <w:r w:rsidRPr="00B639C2">
        <w:rPr>
          <w:rFonts w:ascii="Arial" w:hAnsi="Arial" w:cs="Arial"/>
          <w:sz w:val="20"/>
          <w:szCs w:val="20"/>
          <w:lang w:val="en-US"/>
        </w:rPr>
        <w:t>At baseline there were 2% missing values in the EQ-5D-3L index score (three patients in the HFNC-treated group and one in the control group). During the trial,</w:t>
      </w:r>
      <w:r w:rsidR="00582ADF" w:rsidRPr="00B639C2">
        <w:rPr>
          <w:rFonts w:ascii="Arial" w:hAnsi="Arial" w:cs="Arial"/>
          <w:sz w:val="20"/>
          <w:szCs w:val="20"/>
          <w:lang w:val="en-US"/>
        </w:rPr>
        <w:t xml:space="preserve"> 28</w:t>
      </w:r>
      <w:r w:rsidRPr="00B639C2">
        <w:rPr>
          <w:rFonts w:ascii="Arial" w:hAnsi="Arial" w:cs="Arial"/>
          <w:sz w:val="20"/>
          <w:szCs w:val="20"/>
          <w:lang w:val="en-US"/>
        </w:rPr>
        <w:t xml:space="preserve"> patients (14%) died (16 in the HFNC-treated group and 12 in the control group). The patients who died were assigned an EQ-5D-3L summary score of zero at the date of their death, and the score was used for interpolation in the estimation of QALY gain. An increase in missing EQ-5D-3L summary score data was observed at the two follow-up time points at 6 months and 12 months. At 6 month</w:t>
      </w:r>
      <w:r w:rsidR="00B6073D" w:rsidRPr="00B639C2">
        <w:rPr>
          <w:rFonts w:ascii="Arial" w:hAnsi="Arial" w:cs="Arial"/>
          <w:sz w:val="20"/>
          <w:szCs w:val="20"/>
          <w:lang w:val="en-US"/>
        </w:rPr>
        <w:t>s</w:t>
      </w:r>
      <w:r w:rsidRPr="00B639C2">
        <w:rPr>
          <w:rFonts w:ascii="Arial" w:hAnsi="Arial" w:cs="Arial"/>
          <w:sz w:val="20"/>
          <w:szCs w:val="20"/>
          <w:lang w:val="en-US"/>
        </w:rPr>
        <w:t xml:space="preserve"> follow-up, </w:t>
      </w:r>
      <w:r w:rsidR="009E49DA" w:rsidRPr="00B639C2">
        <w:rPr>
          <w:rFonts w:ascii="Arial" w:hAnsi="Arial" w:cs="Arial"/>
          <w:sz w:val="20"/>
          <w:szCs w:val="20"/>
          <w:lang w:val="en-US"/>
        </w:rPr>
        <w:t>45 (23%) patients had missing data in the EQ-5D-3L summary score (24 in the HFNC-treated group and 21 in the control group), whereas at 12 months, 40 (20%) patients</w:t>
      </w:r>
      <w:r w:rsidR="00B6073D" w:rsidRPr="00B639C2">
        <w:rPr>
          <w:rFonts w:ascii="Arial" w:hAnsi="Arial" w:cs="Arial"/>
          <w:sz w:val="20"/>
          <w:szCs w:val="20"/>
          <w:lang w:val="en-US"/>
        </w:rPr>
        <w:t xml:space="preserve"> had </w:t>
      </w:r>
      <w:r w:rsidR="009E49DA" w:rsidRPr="00B639C2">
        <w:rPr>
          <w:rFonts w:ascii="Arial" w:hAnsi="Arial" w:cs="Arial"/>
          <w:sz w:val="20"/>
          <w:szCs w:val="20"/>
          <w:lang w:val="en-US"/>
        </w:rPr>
        <w:t>missing</w:t>
      </w:r>
      <w:r w:rsidR="00B6073D" w:rsidRPr="00B639C2">
        <w:rPr>
          <w:rFonts w:ascii="Arial" w:hAnsi="Arial" w:cs="Arial"/>
          <w:sz w:val="20"/>
          <w:szCs w:val="20"/>
          <w:lang w:val="en-US"/>
        </w:rPr>
        <w:t xml:space="preserve"> data in the</w:t>
      </w:r>
      <w:r w:rsidR="009E49DA" w:rsidRPr="00B639C2">
        <w:rPr>
          <w:rFonts w:ascii="Arial" w:hAnsi="Arial" w:cs="Arial"/>
          <w:sz w:val="20"/>
          <w:szCs w:val="20"/>
          <w:lang w:val="en-US"/>
        </w:rPr>
        <w:t xml:space="preserve"> EQ-5D-3L summary score </w:t>
      </w:r>
      <w:r w:rsidR="00B6073D" w:rsidRPr="00B639C2">
        <w:rPr>
          <w:rFonts w:ascii="Arial" w:hAnsi="Arial" w:cs="Arial"/>
          <w:sz w:val="20"/>
          <w:szCs w:val="20"/>
          <w:lang w:val="en-US"/>
        </w:rPr>
        <w:t>(18 in the HFNC-treated group and 12 in the control group).</w:t>
      </w:r>
    </w:p>
    <w:p w14:paraId="0B8A895B" w14:textId="0BEA383A" w:rsidR="0084564F" w:rsidRPr="00B639C2" w:rsidRDefault="00582ADF" w:rsidP="00CC5EEF">
      <w:pPr>
        <w:spacing w:line="360" w:lineRule="auto"/>
        <w:rPr>
          <w:rFonts w:ascii="Arial" w:hAnsi="Arial" w:cs="Arial"/>
          <w:sz w:val="20"/>
          <w:szCs w:val="20"/>
          <w:lang w:val="en-US"/>
        </w:rPr>
      </w:pPr>
      <w:r w:rsidRPr="00B639C2">
        <w:rPr>
          <w:rFonts w:ascii="Arial" w:hAnsi="Arial" w:cs="Arial"/>
          <w:sz w:val="20"/>
          <w:szCs w:val="20"/>
          <w:lang w:val="en-US"/>
        </w:rPr>
        <w:t xml:space="preserve">Complete information existed on all cost parameters at baseline and follow-up except for municipality costs, where 100 (50%) patients had missing data (49 in the HFNC-treated group and 51 in the control group). </w:t>
      </w:r>
      <w:r w:rsidR="009C252E" w:rsidRPr="00B639C2">
        <w:rPr>
          <w:rFonts w:ascii="Arial" w:hAnsi="Arial" w:cs="Arial"/>
          <w:sz w:val="20"/>
          <w:szCs w:val="20"/>
          <w:lang w:val="en-US"/>
        </w:rPr>
        <w:t xml:space="preserve">Data on municipality resource use was missing for eight patients living in Aalborg Municipality. </w:t>
      </w:r>
    </w:p>
    <w:p w14:paraId="402C1EBA" w14:textId="3D8D7A2D" w:rsidR="00D03112" w:rsidRPr="00B639C2" w:rsidRDefault="00923BB3" w:rsidP="00CC5EEF">
      <w:pPr>
        <w:spacing w:line="360" w:lineRule="auto"/>
        <w:rPr>
          <w:rFonts w:ascii="Arial" w:hAnsi="Arial" w:cs="Arial"/>
          <w:sz w:val="20"/>
          <w:szCs w:val="20"/>
          <w:lang w:val="en-US"/>
        </w:rPr>
      </w:pPr>
      <w:r w:rsidRPr="00B639C2">
        <w:rPr>
          <w:rFonts w:ascii="Arial" w:hAnsi="Arial" w:cs="Arial"/>
          <w:sz w:val="20"/>
          <w:szCs w:val="20"/>
          <w:lang w:val="en-US"/>
        </w:rPr>
        <w:t xml:space="preserve">Missing data at follow-up was assumed missing at random </w:t>
      </w:r>
      <w:r w:rsidR="0084564F" w:rsidRPr="00B639C2">
        <w:rPr>
          <w:rFonts w:ascii="Arial" w:hAnsi="Arial" w:cs="Arial"/>
          <w:sz w:val="20"/>
          <w:szCs w:val="20"/>
          <w:lang w:val="en-US"/>
        </w:rPr>
        <w:t xml:space="preserve">(MAR) </w:t>
      </w:r>
      <w:r w:rsidRPr="00B639C2">
        <w:rPr>
          <w:rFonts w:ascii="Arial" w:hAnsi="Arial" w:cs="Arial"/>
          <w:sz w:val="20"/>
          <w:szCs w:val="20"/>
          <w:lang w:val="en-US"/>
        </w:rPr>
        <w:t xml:space="preserve">based on </w:t>
      </w:r>
      <w:r w:rsidR="0031526D" w:rsidRPr="00B639C2">
        <w:rPr>
          <w:rFonts w:ascii="Arial" w:hAnsi="Arial" w:cs="Arial"/>
          <w:sz w:val="20"/>
          <w:szCs w:val="20"/>
          <w:lang w:val="en-US"/>
        </w:rPr>
        <w:t xml:space="preserve">visual inspection and logistic regression of indicators of missing cost and QALY data. For example, baseline BMI and </w:t>
      </w:r>
      <w:proofErr w:type="spellStart"/>
      <w:r w:rsidR="0031526D" w:rsidRPr="00B639C2">
        <w:rPr>
          <w:rFonts w:ascii="Arial" w:hAnsi="Arial" w:cs="Arial"/>
          <w:sz w:val="20"/>
          <w:szCs w:val="20"/>
          <w:lang w:val="en-US"/>
        </w:rPr>
        <w:t>mMRC</w:t>
      </w:r>
      <w:proofErr w:type="spellEnd"/>
      <w:r w:rsidR="0031526D" w:rsidRPr="00B639C2">
        <w:rPr>
          <w:rFonts w:ascii="Arial" w:hAnsi="Arial" w:cs="Arial"/>
          <w:sz w:val="20"/>
          <w:szCs w:val="20"/>
          <w:lang w:val="en-US"/>
        </w:rPr>
        <w:t xml:space="preserve"> score demonstrated to be associated with missing QALY, suggesting that data </w:t>
      </w:r>
      <w:r w:rsidR="001619FB" w:rsidRPr="00B639C2">
        <w:rPr>
          <w:rFonts w:ascii="Arial" w:hAnsi="Arial" w:cs="Arial"/>
          <w:sz w:val="20"/>
          <w:szCs w:val="20"/>
          <w:lang w:val="en-US"/>
        </w:rPr>
        <w:t>did most likely not follow the MCAR assumption (</w:t>
      </w:r>
      <w:proofErr w:type="gramStart"/>
      <w:r w:rsidR="001619FB" w:rsidRPr="00B639C2">
        <w:rPr>
          <w:rFonts w:ascii="Arial" w:hAnsi="Arial" w:cs="Arial"/>
          <w:sz w:val="20"/>
          <w:szCs w:val="20"/>
          <w:lang w:val="en-US"/>
        </w:rPr>
        <w:t>i.e.</w:t>
      </w:r>
      <w:proofErr w:type="gramEnd"/>
      <w:r w:rsidR="001619FB" w:rsidRPr="00B639C2">
        <w:rPr>
          <w:rFonts w:ascii="Arial" w:hAnsi="Arial" w:cs="Arial"/>
          <w:sz w:val="20"/>
          <w:szCs w:val="20"/>
          <w:lang w:val="en-US"/>
        </w:rPr>
        <w:t xml:space="preserve"> the probability of data being missing does not depend on the observed or unobserved characteristics of study participants). </w:t>
      </w:r>
      <w:r w:rsidR="0084564F" w:rsidRPr="00B639C2">
        <w:rPr>
          <w:rFonts w:ascii="Arial" w:hAnsi="Arial" w:cs="Arial"/>
          <w:sz w:val="20"/>
          <w:szCs w:val="20"/>
          <w:lang w:val="en-US"/>
        </w:rPr>
        <w:t xml:space="preserve">Based on this, missing data was handled using MI chained equations in Stata v.15 by use of the algorithm </w:t>
      </w:r>
      <w:r w:rsidR="0084564F" w:rsidRPr="00B639C2">
        <w:rPr>
          <w:rFonts w:ascii="Arial" w:hAnsi="Arial" w:cs="Arial"/>
          <w:i/>
          <w:sz w:val="20"/>
          <w:szCs w:val="20"/>
          <w:lang w:val="en-US"/>
        </w:rPr>
        <w:t>[mi impute chained</w:t>
      </w:r>
      <w:r w:rsidR="00245764" w:rsidRPr="00B639C2">
        <w:rPr>
          <w:rFonts w:ascii="Arial" w:hAnsi="Arial" w:cs="Arial"/>
          <w:i/>
          <w:sz w:val="20"/>
          <w:szCs w:val="20"/>
          <w:lang w:val="en-US"/>
        </w:rPr>
        <w:t xml:space="preserve">, </w:t>
      </w:r>
      <w:proofErr w:type="spellStart"/>
      <w:proofErr w:type="gramStart"/>
      <w:r w:rsidR="00245764" w:rsidRPr="00B639C2">
        <w:rPr>
          <w:rFonts w:ascii="Arial" w:hAnsi="Arial" w:cs="Arial"/>
          <w:i/>
          <w:sz w:val="20"/>
          <w:szCs w:val="20"/>
          <w:lang w:val="en-US"/>
        </w:rPr>
        <w:t>pmm,knn</w:t>
      </w:r>
      <w:proofErr w:type="spellEnd"/>
      <w:proofErr w:type="gramEnd"/>
      <w:r w:rsidR="00245764" w:rsidRPr="00B639C2">
        <w:rPr>
          <w:rFonts w:ascii="Arial" w:hAnsi="Arial" w:cs="Arial"/>
          <w:i/>
          <w:sz w:val="20"/>
          <w:szCs w:val="20"/>
          <w:lang w:val="en-US"/>
        </w:rPr>
        <w:t>(5))</w:t>
      </w:r>
      <w:r w:rsidR="0084564F" w:rsidRPr="00B639C2">
        <w:rPr>
          <w:rFonts w:ascii="Arial" w:hAnsi="Arial" w:cs="Arial"/>
          <w:i/>
          <w:sz w:val="20"/>
          <w:szCs w:val="20"/>
          <w:lang w:val="en-US"/>
        </w:rPr>
        <w:t>]</w:t>
      </w:r>
      <w:r w:rsidR="0084564F" w:rsidRPr="00B639C2">
        <w:rPr>
          <w:rFonts w:ascii="Arial" w:hAnsi="Arial" w:cs="Arial"/>
          <w:sz w:val="20"/>
          <w:szCs w:val="20"/>
          <w:lang w:val="en-US"/>
        </w:rPr>
        <w:t xml:space="preserve">. </w:t>
      </w:r>
      <w:r w:rsidR="00245764" w:rsidRPr="00B639C2">
        <w:rPr>
          <w:rFonts w:ascii="Arial" w:hAnsi="Arial" w:cs="Arial"/>
          <w:sz w:val="20"/>
          <w:szCs w:val="20"/>
          <w:lang w:val="en-US"/>
        </w:rPr>
        <w:t xml:space="preserve">The imputation model accounted for missing data at both baseline and at </w:t>
      </w:r>
      <w:proofErr w:type="gramStart"/>
      <w:r w:rsidR="00245764" w:rsidRPr="00B639C2">
        <w:rPr>
          <w:rFonts w:ascii="Arial" w:hAnsi="Arial" w:cs="Arial"/>
          <w:sz w:val="20"/>
          <w:szCs w:val="20"/>
          <w:lang w:val="en-US"/>
        </w:rPr>
        <w:t>follow-up</w:t>
      </w:r>
      <w:r w:rsidR="00B2430E" w:rsidRPr="00B639C2">
        <w:rPr>
          <w:rFonts w:ascii="Arial" w:hAnsi="Arial" w:cs="Arial"/>
          <w:sz w:val="20"/>
          <w:szCs w:val="20"/>
          <w:lang w:val="en-US"/>
        </w:rPr>
        <w:t>, and</w:t>
      </w:r>
      <w:proofErr w:type="gramEnd"/>
      <w:r w:rsidR="00B2430E" w:rsidRPr="00B639C2">
        <w:rPr>
          <w:rFonts w:ascii="Arial" w:hAnsi="Arial" w:cs="Arial"/>
          <w:sz w:val="20"/>
          <w:szCs w:val="20"/>
          <w:lang w:val="en-US"/>
        </w:rPr>
        <w:t xml:space="preserve"> was estimated separately for the HFNC-treated group and the control group</w:t>
      </w:r>
      <w:r w:rsidR="00245764" w:rsidRPr="00B639C2">
        <w:rPr>
          <w:rFonts w:ascii="Arial" w:hAnsi="Arial" w:cs="Arial"/>
          <w:sz w:val="20"/>
          <w:szCs w:val="20"/>
          <w:lang w:val="en-US"/>
        </w:rPr>
        <w:t xml:space="preserve">. </w:t>
      </w:r>
      <w:r w:rsidR="00B2430E" w:rsidRPr="00B639C2">
        <w:rPr>
          <w:rFonts w:ascii="Arial" w:hAnsi="Arial" w:cs="Arial"/>
          <w:sz w:val="20"/>
          <w:szCs w:val="20"/>
          <w:lang w:val="en-US"/>
        </w:rPr>
        <w:t xml:space="preserve">Fifty complete datasets were generated. The </w:t>
      </w:r>
      <w:r w:rsidR="004C5B9D" w:rsidRPr="00B639C2">
        <w:rPr>
          <w:rFonts w:ascii="Arial" w:hAnsi="Arial" w:cs="Arial"/>
          <w:sz w:val="20"/>
          <w:szCs w:val="20"/>
          <w:lang w:val="en-US"/>
        </w:rPr>
        <w:t>imputation model included the following variables</w:t>
      </w:r>
      <w:r w:rsidR="00D03112" w:rsidRPr="00B639C2">
        <w:rPr>
          <w:rFonts w:ascii="Arial" w:hAnsi="Arial" w:cs="Arial"/>
          <w:sz w:val="20"/>
          <w:szCs w:val="20"/>
          <w:lang w:val="en-US"/>
        </w:rPr>
        <w:t>:</w:t>
      </w:r>
      <w:r w:rsidR="004C5B9D" w:rsidRPr="00B639C2">
        <w:rPr>
          <w:rFonts w:ascii="Arial" w:hAnsi="Arial" w:cs="Arial"/>
          <w:sz w:val="20"/>
          <w:szCs w:val="20"/>
          <w:lang w:val="en-US"/>
        </w:rPr>
        <w:t xml:space="preserve"> age, </w:t>
      </w:r>
      <w:r w:rsidR="00794414" w:rsidRPr="00B639C2">
        <w:rPr>
          <w:rFonts w:ascii="Arial" w:hAnsi="Arial" w:cs="Arial"/>
          <w:sz w:val="20"/>
          <w:szCs w:val="20"/>
          <w:lang w:val="en-US"/>
        </w:rPr>
        <w:t xml:space="preserve">gender, </w:t>
      </w:r>
      <w:r w:rsidR="004C5B9D" w:rsidRPr="00B639C2">
        <w:rPr>
          <w:rFonts w:ascii="Arial" w:hAnsi="Arial" w:cs="Arial"/>
          <w:sz w:val="20"/>
          <w:szCs w:val="20"/>
          <w:lang w:val="en-US"/>
        </w:rPr>
        <w:t>BMI</w:t>
      </w:r>
      <w:r w:rsidR="00D03112" w:rsidRPr="00B639C2">
        <w:rPr>
          <w:rFonts w:ascii="Arial" w:hAnsi="Arial" w:cs="Arial"/>
          <w:sz w:val="20"/>
          <w:szCs w:val="20"/>
          <w:lang w:val="en-US"/>
        </w:rPr>
        <w:t xml:space="preserve"> at baseline</w:t>
      </w:r>
      <w:r w:rsidR="004C5B9D" w:rsidRPr="00B639C2">
        <w:rPr>
          <w:rFonts w:ascii="Arial" w:hAnsi="Arial" w:cs="Arial"/>
          <w:sz w:val="20"/>
          <w:szCs w:val="20"/>
          <w:lang w:val="en-US"/>
        </w:rPr>
        <w:t xml:space="preserve">, </w:t>
      </w:r>
      <w:proofErr w:type="spellStart"/>
      <w:r w:rsidR="004C5B9D" w:rsidRPr="00B639C2">
        <w:rPr>
          <w:rFonts w:ascii="Arial" w:hAnsi="Arial" w:cs="Arial"/>
          <w:sz w:val="20"/>
          <w:szCs w:val="20"/>
          <w:lang w:val="en-US"/>
        </w:rPr>
        <w:t>mMRC</w:t>
      </w:r>
      <w:proofErr w:type="spellEnd"/>
      <w:r w:rsidR="00D03112" w:rsidRPr="00B639C2">
        <w:rPr>
          <w:rFonts w:ascii="Arial" w:hAnsi="Arial" w:cs="Arial"/>
          <w:sz w:val="20"/>
          <w:szCs w:val="20"/>
          <w:lang w:val="en-US"/>
        </w:rPr>
        <w:t xml:space="preserve"> at baseline</w:t>
      </w:r>
      <w:r w:rsidR="00802C44" w:rsidRPr="00B639C2">
        <w:rPr>
          <w:rFonts w:ascii="Arial" w:hAnsi="Arial" w:cs="Arial"/>
          <w:sz w:val="20"/>
          <w:szCs w:val="20"/>
          <w:lang w:val="en-US"/>
        </w:rPr>
        <w:t>, spirometry measures</w:t>
      </w:r>
      <w:r w:rsidR="00D03112" w:rsidRPr="00B639C2">
        <w:rPr>
          <w:rFonts w:ascii="Arial" w:hAnsi="Arial" w:cs="Arial"/>
          <w:sz w:val="20"/>
          <w:szCs w:val="20"/>
          <w:lang w:val="en-US"/>
        </w:rPr>
        <w:t xml:space="preserve"> at baseline</w:t>
      </w:r>
      <w:r w:rsidR="00802C44" w:rsidRPr="00B639C2">
        <w:rPr>
          <w:rFonts w:ascii="Arial" w:hAnsi="Arial" w:cs="Arial"/>
          <w:sz w:val="20"/>
          <w:szCs w:val="20"/>
          <w:lang w:val="en-US"/>
        </w:rPr>
        <w:t xml:space="preserve"> (forced </w:t>
      </w:r>
      <w:proofErr w:type="spellStart"/>
      <w:r w:rsidR="00802C44" w:rsidRPr="00B639C2">
        <w:rPr>
          <w:rFonts w:ascii="Arial" w:hAnsi="Arial" w:cs="Arial"/>
          <w:sz w:val="20"/>
          <w:szCs w:val="20"/>
          <w:lang w:val="en-US"/>
        </w:rPr>
        <w:t>exporatory</w:t>
      </w:r>
      <w:proofErr w:type="spellEnd"/>
      <w:r w:rsidR="00802C44" w:rsidRPr="00B639C2">
        <w:rPr>
          <w:rFonts w:ascii="Arial" w:hAnsi="Arial" w:cs="Arial"/>
          <w:sz w:val="20"/>
          <w:szCs w:val="20"/>
          <w:lang w:val="en-US"/>
        </w:rPr>
        <w:t xml:space="preserve"> volume in 1 second (FEV1), forced vital capacity (FVC)), arterial blood gas measures</w:t>
      </w:r>
      <w:r w:rsidR="00D03112" w:rsidRPr="00B639C2">
        <w:rPr>
          <w:rFonts w:ascii="Arial" w:hAnsi="Arial" w:cs="Arial"/>
          <w:sz w:val="20"/>
          <w:szCs w:val="20"/>
          <w:lang w:val="en-US"/>
        </w:rPr>
        <w:t xml:space="preserve"> at baseline</w:t>
      </w:r>
      <w:r w:rsidR="00802C44" w:rsidRPr="00B639C2">
        <w:rPr>
          <w:rFonts w:ascii="Arial" w:hAnsi="Arial" w:cs="Arial"/>
          <w:sz w:val="20"/>
          <w:szCs w:val="20"/>
          <w:lang w:val="en-US"/>
        </w:rPr>
        <w:t xml:space="preserve"> (pH, PaCO2, PaO2, SaO2),</w:t>
      </w:r>
      <w:r w:rsidR="00D03112" w:rsidRPr="00B639C2">
        <w:rPr>
          <w:rFonts w:ascii="Arial" w:hAnsi="Arial" w:cs="Arial"/>
          <w:sz w:val="20"/>
          <w:szCs w:val="20"/>
          <w:lang w:val="en-US"/>
        </w:rPr>
        <w:t xml:space="preserve"> baseline</w:t>
      </w:r>
      <w:r w:rsidR="00802C44" w:rsidRPr="00B639C2">
        <w:rPr>
          <w:rFonts w:ascii="Arial" w:hAnsi="Arial" w:cs="Arial"/>
          <w:sz w:val="20"/>
          <w:szCs w:val="20"/>
          <w:lang w:val="en-US"/>
        </w:rPr>
        <w:t xml:space="preserve"> measures from the 6 minute walking test</w:t>
      </w:r>
      <w:r w:rsidR="001731F4" w:rsidRPr="00B639C2">
        <w:rPr>
          <w:rFonts w:ascii="Arial" w:hAnsi="Arial" w:cs="Arial"/>
          <w:sz w:val="20"/>
          <w:szCs w:val="20"/>
          <w:lang w:val="en-US"/>
        </w:rPr>
        <w:t xml:space="preserve"> (</w:t>
      </w:r>
      <w:r w:rsidR="00D03112" w:rsidRPr="00B639C2">
        <w:rPr>
          <w:rFonts w:ascii="Arial" w:hAnsi="Arial" w:cs="Arial"/>
          <w:sz w:val="20"/>
          <w:szCs w:val="20"/>
          <w:lang w:val="en-US"/>
        </w:rPr>
        <w:t>s</w:t>
      </w:r>
      <w:r w:rsidR="001731F4" w:rsidRPr="00B639C2">
        <w:rPr>
          <w:rFonts w:ascii="Arial" w:hAnsi="Arial" w:cs="Arial"/>
          <w:sz w:val="20"/>
          <w:szCs w:val="20"/>
          <w:lang w:val="en-US"/>
        </w:rPr>
        <w:t>ystolic and diastolic</w:t>
      </w:r>
      <w:r w:rsidR="00FF7EB2" w:rsidRPr="00B639C2">
        <w:rPr>
          <w:rFonts w:ascii="Arial" w:hAnsi="Arial" w:cs="Arial"/>
          <w:sz w:val="20"/>
          <w:szCs w:val="20"/>
          <w:lang w:val="en-US"/>
        </w:rPr>
        <w:t xml:space="preserve"> </w:t>
      </w:r>
      <w:r w:rsidR="001731F4" w:rsidRPr="00B639C2">
        <w:rPr>
          <w:rFonts w:ascii="Arial" w:hAnsi="Arial" w:cs="Arial"/>
          <w:sz w:val="20"/>
          <w:szCs w:val="20"/>
          <w:lang w:val="en-US"/>
        </w:rPr>
        <w:t>blood pressure,</w:t>
      </w:r>
      <w:r w:rsidR="00D03112" w:rsidRPr="00B639C2">
        <w:rPr>
          <w:rFonts w:ascii="Arial" w:hAnsi="Arial" w:cs="Arial"/>
          <w:sz w:val="20"/>
          <w:szCs w:val="20"/>
          <w:lang w:val="en-US"/>
        </w:rPr>
        <w:t xml:space="preserve"> the</w:t>
      </w:r>
      <w:r w:rsidR="001731F4" w:rsidRPr="00B639C2">
        <w:rPr>
          <w:rFonts w:ascii="Arial" w:hAnsi="Arial" w:cs="Arial"/>
          <w:sz w:val="20"/>
          <w:szCs w:val="20"/>
          <w:lang w:val="en-US"/>
        </w:rPr>
        <w:t xml:space="preserve"> BORG breathlessness score), number of self-reported exacerbations in the year preceding study recruitment</w:t>
      </w:r>
      <w:r w:rsidR="00FF7EB2" w:rsidRPr="00B639C2">
        <w:rPr>
          <w:rFonts w:ascii="Arial" w:hAnsi="Arial" w:cs="Arial"/>
          <w:sz w:val="20"/>
          <w:szCs w:val="20"/>
          <w:lang w:val="en-US"/>
        </w:rPr>
        <w:t xml:space="preserve">, </w:t>
      </w:r>
      <w:r w:rsidR="00D03112" w:rsidRPr="00B639C2">
        <w:rPr>
          <w:rFonts w:ascii="Arial" w:hAnsi="Arial" w:cs="Arial"/>
          <w:sz w:val="20"/>
          <w:szCs w:val="20"/>
          <w:lang w:val="en-US"/>
        </w:rPr>
        <w:t>baseline EQ-5D-3L index score,</w:t>
      </w:r>
      <w:r w:rsidR="001731F4" w:rsidRPr="00B639C2">
        <w:rPr>
          <w:rFonts w:ascii="Arial" w:hAnsi="Arial" w:cs="Arial"/>
          <w:sz w:val="20"/>
          <w:szCs w:val="20"/>
          <w:lang w:val="en-US"/>
        </w:rPr>
        <w:t xml:space="preserve"> </w:t>
      </w:r>
      <w:r w:rsidR="00D03112" w:rsidRPr="00B639C2">
        <w:rPr>
          <w:rFonts w:ascii="Arial" w:hAnsi="Arial" w:cs="Arial"/>
          <w:sz w:val="20"/>
          <w:szCs w:val="20"/>
          <w:lang w:val="en-US"/>
        </w:rPr>
        <w:t xml:space="preserve">the summary score of EQ-5D-3L at 6 and 12 months of follow-up, </w:t>
      </w:r>
      <w:r w:rsidR="001731F4" w:rsidRPr="00B639C2">
        <w:rPr>
          <w:rFonts w:ascii="Arial" w:hAnsi="Arial" w:cs="Arial"/>
          <w:sz w:val="20"/>
          <w:szCs w:val="20"/>
          <w:lang w:val="en-US"/>
        </w:rPr>
        <w:t>municipality costs in the year preceding study recruitment</w:t>
      </w:r>
      <w:r w:rsidR="00D03112" w:rsidRPr="00B639C2">
        <w:rPr>
          <w:rFonts w:ascii="Arial" w:hAnsi="Arial" w:cs="Arial"/>
          <w:sz w:val="20"/>
          <w:szCs w:val="20"/>
          <w:lang w:val="en-US"/>
        </w:rPr>
        <w:t>, municipality costs in the study year, hospital admission costs in the year preceding study recruitment, hospital ambulatory care costs in the year preceding study recruitment, and medicine costs in the year preceding study recruitment.</w:t>
      </w:r>
    </w:p>
    <w:p w14:paraId="321AF8DA" w14:textId="79AECA64" w:rsidR="00CC5EEF" w:rsidRPr="00B639C2" w:rsidRDefault="00AB6C99" w:rsidP="00CC5EEF">
      <w:pPr>
        <w:spacing w:line="360" w:lineRule="auto"/>
        <w:rPr>
          <w:rFonts w:ascii="Arial" w:hAnsi="Arial" w:cs="Arial"/>
          <w:sz w:val="20"/>
          <w:szCs w:val="20"/>
          <w:lang w:val="en-US"/>
        </w:rPr>
      </w:pPr>
      <w:r w:rsidRPr="00B639C2">
        <w:rPr>
          <w:rFonts w:ascii="Arial" w:hAnsi="Arial" w:cs="Arial"/>
          <w:sz w:val="20"/>
          <w:szCs w:val="20"/>
          <w:lang w:val="en-US"/>
        </w:rPr>
        <w:t xml:space="preserve">The skewed and bounded nature of </w:t>
      </w:r>
      <w:r w:rsidR="004E575C" w:rsidRPr="00B639C2">
        <w:rPr>
          <w:rFonts w:ascii="Arial" w:hAnsi="Arial" w:cs="Arial"/>
          <w:sz w:val="20"/>
          <w:szCs w:val="20"/>
          <w:lang w:val="en-US"/>
        </w:rPr>
        <w:t xml:space="preserve">the EQ-5D-3L </w:t>
      </w:r>
      <w:r w:rsidRPr="00B639C2">
        <w:rPr>
          <w:rFonts w:ascii="Arial" w:hAnsi="Arial" w:cs="Arial"/>
          <w:sz w:val="20"/>
          <w:szCs w:val="20"/>
          <w:lang w:val="en-US"/>
        </w:rPr>
        <w:t xml:space="preserve">scores and costs were </w:t>
      </w:r>
      <w:proofErr w:type="gramStart"/>
      <w:r w:rsidRPr="00B639C2">
        <w:rPr>
          <w:rFonts w:ascii="Arial" w:hAnsi="Arial" w:cs="Arial"/>
          <w:sz w:val="20"/>
          <w:szCs w:val="20"/>
          <w:lang w:val="en-US"/>
        </w:rPr>
        <w:t>taken into account</w:t>
      </w:r>
      <w:proofErr w:type="gramEnd"/>
      <w:r w:rsidRPr="00B639C2">
        <w:rPr>
          <w:rFonts w:ascii="Arial" w:hAnsi="Arial" w:cs="Arial"/>
          <w:sz w:val="20"/>
          <w:szCs w:val="20"/>
          <w:lang w:val="en-US"/>
        </w:rPr>
        <w:t xml:space="preserve"> in the imputation model by using predictive mean matching (PMM) with the k=5 nearest neighbors. By using PMM, predictions that lay outside the bounds of each variable are avoided, and instead the missing value is replaced with the nearest observed value (in this case with one of the nearest 5 observed values). </w:t>
      </w:r>
    </w:p>
    <w:p w14:paraId="5B3FF6CB" w14:textId="2CEF6756" w:rsidR="00923108" w:rsidRPr="002D2953" w:rsidRDefault="00CC5EEF" w:rsidP="00923108">
      <w:pPr>
        <w:widowControl w:val="0"/>
        <w:autoSpaceDE w:val="0"/>
        <w:autoSpaceDN w:val="0"/>
        <w:adjustRightInd w:val="0"/>
        <w:spacing w:line="360" w:lineRule="auto"/>
        <w:ind w:left="640" w:hanging="640"/>
        <w:rPr>
          <w:rFonts w:ascii="Arial" w:hAnsi="Arial" w:cs="Arial"/>
          <w:noProof/>
          <w:sz w:val="20"/>
          <w:szCs w:val="24"/>
          <w:lang w:val="en-US"/>
        </w:rPr>
      </w:pPr>
      <w:r w:rsidRPr="00B639C2">
        <w:rPr>
          <w:rFonts w:ascii="Arial" w:hAnsi="Arial" w:cs="Arial"/>
          <w:sz w:val="20"/>
          <w:szCs w:val="20"/>
          <w:lang w:val="en-US"/>
        </w:rPr>
        <w:lastRenderedPageBreak/>
        <w:fldChar w:fldCharType="begin" w:fldLock="1"/>
      </w:r>
      <w:r w:rsidRPr="00B639C2">
        <w:rPr>
          <w:rFonts w:ascii="Arial" w:hAnsi="Arial" w:cs="Arial"/>
          <w:sz w:val="20"/>
          <w:szCs w:val="20"/>
          <w:lang w:val="en-US"/>
        </w:rPr>
        <w:instrText xml:space="preserve">ADDIN Mendeley Bibliography CSL_BIBLIOGRAPHY </w:instrText>
      </w:r>
      <w:r w:rsidRPr="00B639C2">
        <w:rPr>
          <w:rFonts w:ascii="Arial" w:hAnsi="Arial" w:cs="Arial"/>
          <w:sz w:val="20"/>
          <w:szCs w:val="20"/>
          <w:lang w:val="en-US"/>
        </w:rPr>
        <w:fldChar w:fldCharType="separate"/>
      </w:r>
      <w:r w:rsidR="00923108" w:rsidRPr="002D2953">
        <w:rPr>
          <w:rFonts w:ascii="Arial" w:hAnsi="Arial" w:cs="Arial"/>
          <w:noProof/>
          <w:sz w:val="20"/>
          <w:szCs w:val="24"/>
          <w:lang w:val="en-US"/>
        </w:rPr>
        <w:t xml:space="preserve">1. </w:t>
      </w:r>
      <w:r w:rsidR="00923108" w:rsidRPr="002D2953">
        <w:rPr>
          <w:rFonts w:ascii="Arial" w:hAnsi="Arial" w:cs="Arial"/>
          <w:noProof/>
          <w:sz w:val="20"/>
          <w:szCs w:val="24"/>
          <w:lang w:val="en-US"/>
        </w:rPr>
        <w:tab/>
        <w:t>Honorartabel [Fee table]. Lægeforeningen. Published 2018. Accessed May 31, 2020. https://www.laeger.dk/sites/default/files/overenskomst_om_almen_praksis_ok18_endelig_udgave.pdf</w:t>
      </w:r>
    </w:p>
    <w:p w14:paraId="3FEBAA1B" w14:textId="77777777" w:rsidR="00923108" w:rsidRPr="00923108" w:rsidRDefault="00923108" w:rsidP="00923108">
      <w:pPr>
        <w:widowControl w:val="0"/>
        <w:autoSpaceDE w:val="0"/>
        <w:autoSpaceDN w:val="0"/>
        <w:adjustRightInd w:val="0"/>
        <w:spacing w:line="360" w:lineRule="auto"/>
        <w:ind w:left="640" w:hanging="640"/>
        <w:rPr>
          <w:rFonts w:ascii="Arial" w:hAnsi="Arial" w:cs="Arial"/>
          <w:noProof/>
          <w:sz w:val="20"/>
          <w:szCs w:val="24"/>
        </w:rPr>
      </w:pPr>
      <w:r w:rsidRPr="00923108">
        <w:rPr>
          <w:rFonts w:ascii="Arial" w:hAnsi="Arial" w:cs="Arial"/>
          <w:noProof/>
          <w:sz w:val="20"/>
          <w:szCs w:val="24"/>
        </w:rPr>
        <w:t xml:space="preserve">2. </w:t>
      </w:r>
      <w:r w:rsidRPr="00923108">
        <w:rPr>
          <w:rFonts w:ascii="Arial" w:hAnsi="Arial" w:cs="Arial"/>
          <w:noProof/>
          <w:sz w:val="20"/>
          <w:szCs w:val="24"/>
        </w:rPr>
        <w:tab/>
        <w:t>Afregning og finansiering (DRG) [Reimbursement and financing (DRG)]. Sundhedsdatastyrelsen. Accessed June 28, 2020. https://sundhedsdatastyrelsen.dk/da/afregning-og-finansiering</w:t>
      </w:r>
    </w:p>
    <w:p w14:paraId="4EE997E9" w14:textId="77777777" w:rsidR="00923108" w:rsidRPr="00923108" w:rsidRDefault="00923108" w:rsidP="00923108">
      <w:pPr>
        <w:widowControl w:val="0"/>
        <w:autoSpaceDE w:val="0"/>
        <w:autoSpaceDN w:val="0"/>
        <w:adjustRightInd w:val="0"/>
        <w:spacing w:line="360" w:lineRule="auto"/>
        <w:ind w:left="640" w:hanging="640"/>
        <w:rPr>
          <w:rFonts w:ascii="Arial" w:hAnsi="Arial" w:cs="Arial"/>
          <w:noProof/>
          <w:sz w:val="20"/>
          <w:szCs w:val="24"/>
        </w:rPr>
      </w:pPr>
      <w:r w:rsidRPr="00923108">
        <w:rPr>
          <w:rFonts w:ascii="Arial" w:hAnsi="Arial" w:cs="Arial"/>
          <w:noProof/>
          <w:sz w:val="20"/>
          <w:szCs w:val="24"/>
        </w:rPr>
        <w:t xml:space="preserve">3. </w:t>
      </w:r>
      <w:r w:rsidRPr="00923108">
        <w:rPr>
          <w:rFonts w:ascii="Arial" w:hAnsi="Arial" w:cs="Arial"/>
          <w:noProof/>
          <w:sz w:val="20"/>
          <w:szCs w:val="24"/>
        </w:rPr>
        <w:tab/>
        <w:t>Statistikbanken - LONS20: Løn efter arbejdsfunktion, sektor, aflønningsform, lønmodtagergruppe, lønkomponenter og køn [Statistikbanken - LONS20: Wages estimated based on job function, sector, payment form, employment group, wage component and gender]. Danmarks Statistik. Published 2019. Accessed June 6, 2020. www.statistikbanken.dk</w:t>
      </w:r>
    </w:p>
    <w:p w14:paraId="7275B822" w14:textId="77777777" w:rsidR="00923108" w:rsidRPr="002D2953" w:rsidRDefault="00923108" w:rsidP="00923108">
      <w:pPr>
        <w:widowControl w:val="0"/>
        <w:autoSpaceDE w:val="0"/>
        <w:autoSpaceDN w:val="0"/>
        <w:adjustRightInd w:val="0"/>
        <w:spacing w:line="360" w:lineRule="auto"/>
        <w:ind w:left="640" w:hanging="640"/>
        <w:rPr>
          <w:rFonts w:ascii="Arial" w:hAnsi="Arial" w:cs="Arial"/>
          <w:noProof/>
          <w:sz w:val="20"/>
          <w:szCs w:val="24"/>
          <w:lang w:val="en-US"/>
        </w:rPr>
      </w:pPr>
      <w:r w:rsidRPr="00923108">
        <w:rPr>
          <w:rFonts w:ascii="Arial" w:hAnsi="Arial" w:cs="Arial"/>
          <w:noProof/>
          <w:sz w:val="20"/>
          <w:szCs w:val="24"/>
        </w:rPr>
        <w:t xml:space="preserve">4. </w:t>
      </w:r>
      <w:r w:rsidRPr="00923108">
        <w:rPr>
          <w:rFonts w:ascii="Arial" w:hAnsi="Arial" w:cs="Arial"/>
          <w:noProof/>
          <w:sz w:val="20"/>
          <w:szCs w:val="24"/>
        </w:rPr>
        <w:tab/>
        <w:t xml:space="preserve">Priser på medicin [Prices on medicines]. Lægemiddelstyrelsen. </w:t>
      </w:r>
      <w:r w:rsidRPr="002D2953">
        <w:rPr>
          <w:rFonts w:ascii="Arial" w:hAnsi="Arial" w:cs="Arial"/>
          <w:noProof/>
          <w:sz w:val="20"/>
          <w:szCs w:val="24"/>
          <w:lang w:val="en-US"/>
        </w:rPr>
        <w:t>Published 2020. Accessed May 31, 2020. https://laegemiddelstyrelsen.dk/da/tilskud/priser/#</w:t>
      </w:r>
    </w:p>
    <w:p w14:paraId="2925DF2C" w14:textId="77777777" w:rsidR="00923108" w:rsidRPr="00923108" w:rsidRDefault="00923108" w:rsidP="00923108">
      <w:pPr>
        <w:widowControl w:val="0"/>
        <w:autoSpaceDE w:val="0"/>
        <w:autoSpaceDN w:val="0"/>
        <w:adjustRightInd w:val="0"/>
        <w:spacing w:line="360" w:lineRule="auto"/>
        <w:ind w:left="640" w:hanging="640"/>
        <w:rPr>
          <w:rFonts w:ascii="Arial" w:hAnsi="Arial" w:cs="Arial"/>
          <w:noProof/>
          <w:sz w:val="20"/>
        </w:rPr>
      </w:pPr>
      <w:r w:rsidRPr="002D2953">
        <w:rPr>
          <w:rFonts w:ascii="Arial" w:hAnsi="Arial" w:cs="Arial"/>
          <w:noProof/>
          <w:sz w:val="20"/>
          <w:szCs w:val="24"/>
          <w:lang w:val="en-US"/>
        </w:rPr>
        <w:t xml:space="preserve">5. </w:t>
      </w:r>
      <w:r w:rsidRPr="002D2953">
        <w:rPr>
          <w:rFonts w:ascii="Arial" w:hAnsi="Arial" w:cs="Arial"/>
          <w:noProof/>
          <w:sz w:val="20"/>
          <w:szCs w:val="24"/>
          <w:lang w:val="en-US"/>
        </w:rPr>
        <w:tab/>
        <w:t xml:space="preserve">Faria R, Gomes M, Epstein D, White IR. A guide to handling missing data in cost-effectiveness analysis conducted within randomised controlled trials. </w:t>
      </w:r>
      <w:r w:rsidRPr="00923108">
        <w:rPr>
          <w:rFonts w:ascii="Arial" w:hAnsi="Arial" w:cs="Arial"/>
          <w:i/>
          <w:iCs/>
          <w:noProof/>
          <w:sz w:val="20"/>
          <w:szCs w:val="24"/>
        </w:rPr>
        <w:t>Pharmacoeconomics</w:t>
      </w:r>
      <w:r w:rsidRPr="00923108">
        <w:rPr>
          <w:rFonts w:ascii="Arial" w:hAnsi="Arial" w:cs="Arial"/>
          <w:noProof/>
          <w:sz w:val="20"/>
          <w:szCs w:val="24"/>
        </w:rPr>
        <w:t>. 2014;32(12):1157-1170.</w:t>
      </w:r>
    </w:p>
    <w:p w14:paraId="125582E2" w14:textId="2E1A4882" w:rsidR="00CC5EEF" w:rsidRPr="00B639C2" w:rsidRDefault="00CC5EEF" w:rsidP="00CC5EEF">
      <w:pPr>
        <w:spacing w:line="360" w:lineRule="auto"/>
        <w:rPr>
          <w:rFonts w:ascii="Arial" w:hAnsi="Arial" w:cs="Arial"/>
          <w:lang w:val="en-US"/>
        </w:rPr>
      </w:pPr>
      <w:r w:rsidRPr="00B639C2">
        <w:rPr>
          <w:rFonts w:ascii="Arial" w:hAnsi="Arial" w:cs="Arial"/>
          <w:sz w:val="20"/>
          <w:szCs w:val="20"/>
          <w:lang w:val="en-US"/>
        </w:rPr>
        <w:fldChar w:fldCharType="end"/>
      </w:r>
    </w:p>
    <w:sectPr w:rsidR="00CC5EEF" w:rsidRPr="00B639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2A25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73C4665"/>
    <w:multiLevelType w:val="hybridMultilevel"/>
    <w:tmpl w:val="DD2EDF9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wMLQwMjQwtzQ2MjFW0lEKTi0uzszPAykwqwUAAb9GKCwAAAA="/>
  </w:docVars>
  <w:rsids>
    <w:rsidRoot w:val="00735107"/>
    <w:rsid w:val="00006493"/>
    <w:rsid w:val="001619FB"/>
    <w:rsid w:val="001731F4"/>
    <w:rsid w:val="001B62B5"/>
    <w:rsid w:val="00236E0F"/>
    <w:rsid w:val="00245764"/>
    <w:rsid w:val="002B10AB"/>
    <w:rsid w:val="002D2953"/>
    <w:rsid w:val="002E23C2"/>
    <w:rsid w:val="002F3AC7"/>
    <w:rsid w:val="0031526D"/>
    <w:rsid w:val="003C74F9"/>
    <w:rsid w:val="004B13C1"/>
    <w:rsid w:val="004C5B9D"/>
    <w:rsid w:val="004E0985"/>
    <w:rsid w:val="004E575C"/>
    <w:rsid w:val="00513C45"/>
    <w:rsid w:val="0054008C"/>
    <w:rsid w:val="0055153E"/>
    <w:rsid w:val="00582ADF"/>
    <w:rsid w:val="005E0D36"/>
    <w:rsid w:val="00630E5D"/>
    <w:rsid w:val="00665142"/>
    <w:rsid w:val="0068514E"/>
    <w:rsid w:val="006B2D69"/>
    <w:rsid w:val="007126AD"/>
    <w:rsid w:val="0071445E"/>
    <w:rsid w:val="007268C4"/>
    <w:rsid w:val="00735107"/>
    <w:rsid w:val="00750B0E"/>
    <w:rsid w:val="00794414"/>
    <w:rsid w:val="007D2DD8"/>
    <w:rsid w:val="007E1164"/>
    <w:rsid w:val="00802C44"/>
    <w:rsid w:val="0084564F"/>
    <w:rsid w:val="00846872"/>
    <w:rsid w:val="00872CA2"/>
    <w:rsid w:val="00923108"/>
    <w:rsid w:val="00923BB3"/>
    <w:rsid w:val="009812DC"/>
    <w:rsid w:val="009945FE"/>
    <w:rsid w:val="009B4E63"/>
    <w:rsid w:val="009C252E"/>
    <w:rsid w:val="009D78E1"/>
    <w:rsid w:val="009E49DA"/>
    <w:rsid w:val="00A9744D"/>
    <w:rsid w:val="00AA0E38"/>
    <w:rsid w:val="00AB6C99"/>
    <w:rsid w:val="00AC31BF"/>
    <w:rsid w:val="00B2430E"/>
    <w:rsid w:val="00B27473"/>
    <w:rsid w:val="00B6073D"/>
    <w:rsid w:val="00B639C2"/>
    <w:rsid w:val="00CB42F2"/>
    <w:rsid w:val="00CC5EEF"/>
    <w:rsid w:val="00D03112"/>
    <w:rsid w:val="00D741B0"/>
    <w:rsid w:val="00D966DF"/>
    <w:rsid w:val="00DB45F2"/>
    <w:rsid w:val="00DC6F00"/>
    <w:rsid w:val="00DD24A0"/>
    <w:rsid w:val="00E523F4"/>
    <w:rsid w:val="00EC238A"/>
    <w:rsid w:val="00EC7018"/>
    <w:rsid w:val="00F33331"/>
    <w:rsid w:val="00FE136E"/>
    <w:rsid w:val="00FE5785"/>
    <w:rsid w:val="00FF3654"/>
    <w:rsid w:val="00FF7E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2A12"/>
  <w15:chartTrackingRefBased/>
  <w15:docId w15:val="{F4F8F77F-F260-4469-91EB-3341FAFD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4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44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44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94414"/>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3C74F9"/>
    <w:pPr>
      <w:numPr>
        <w:numId w:val="1"/>
      </w:numPr>
      <w:contextualSpacing/>
    </w:pPr>
  </w:style>
  <w:style w:type="paragraph" w:styleId="NoSpacing">
    <w:name w:val="No Spacing"/>
    <w:uiPriority w:val="1"/>
    <w:qFormat/>
    <w:rsid w:val="003C74F9"/>
    <w:pPr>
      <w:spacing w:after="0" w:line="240" w:lineRule="auto"/>
    </w:pPr>
  </w:style>
  <w:style w:type="paragraph" w:styleId="ListParagraph">
    <w:name w:val="List Paragraph"/>
    <w:basedOn w:val="Normal"/>
    <w:uiPriority w:val="34"/>
    <w:qFormat/>
    <w:rsid w:val="00D966DF"/>
    <w:pPr>
      <w:ind w:left="720"/>
      <w:contextualSpacing/>
    </w:pPr>
  </w:style>
  <w:style w:type="paragraph" w:styleId="NormalWeb">
    <w:name w:val="Normal (Web)"/>
    <w:basedOn w:val="Normal"/>
    <w:uiPriority w:val="99"/>
    <w:unhideWhenUsed/>
    <w:rsid w:val="00FF365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CommentReference">
    <w:name w:val="annotation reference"/>
    <w:basedOn w:val="DefaultParagraphFont"/>
    <w:uiPriority w:val="99"/>
    <w:semiHidden/>
    <w:unhideWhenUsed/>
    <w:rsid w:val="00AC31BF"/>
    <w:rPr>
      <w:sz w:val="16"/>
      <w:szCs w:val="16"/>
    </w:rPr>
  </w:style>
  <w:style w:type="paragraph" w:styleId="CommentText">
    <w:name w:val="annotation text"/>
    <w:basedOn w:val="Normal"/>
    <w:link w:val="CommentTextChar"/>
    <w:uiPriority w:val="99"/>
    <w:semiHidden/>
    <w:unhideWhenUsed/>
    <w:rsid w:val="00AC31BF"/>
    <w:pPr>
      <w:spacing w:line="240" w:lineRule="auto"/>
    </w:pPr>
    <w:rPr>
      <w:sz w:val="20"/>
      <w:szCs w:val="20"/>
    </w:rPr>
  </w:style>
  <w:style w:type="character" w:customStyle="1" w:styleId="CommentTextChar">
    <w:name w:val="Comment Text Char"/>
    <w:basedOn w:val="DefaultParagraphFont"/>
    <w:link w:val="CommentText"/>
    <w:uiPriority w:val="99"/>
    <w:semiHidden/>
    <w:rsid w:val="00AC31BF"/>
    <w:rPr>
      <w:sz w:val="20"/>
      <w:szCs w:val="20"/>
    </w:rPr>
  </w:style>
  <w:style w:type="paragraph" w:styleId="CommentSubject">
    <w:name w:val="annotation subject"/>
    <w:basedOn w:val="CommentText"/>
    <w:next w:val="CommentText"/>
    <w:link w:val="CommentSubjectChar"/>
    <w:uiPriority w:val="99"/>
    <w:semiHidden/>
    <w:unhideWhenUsed/>
    <w:rsid w:val="00AC31BF"/>
    <w:rPr>
      <w:b/>
      <w:bCs/>
    </w:rPr>
  </w:style>
  <w:style w:type="character" w:customStyle="1" w:styleId="CommentSubjectChar">
    <w:name w:val="Comment Subject Char"/>
    <w:basedOn w:val="CommentTextChar"/>
    <w:link w:val="CommentSubject"/>
    <w:uiPriority w:val="99"/>
    <w:semiHidden/>
    <w:rsid w:val="00AC31BF"/>
    <w:rPr>
      <w:b/>
      <w:bCs/>
      <w:sz w:val="20"/>
      <w:szCs w:val="20"/>
    </w:rPr>
  </w:style>
  <w:style w:type="paragraph" w:styleId="BalloonText">
    <w:name w:val="Balloon Text"/>
    <w:basedOn w:val="Normal"/>
    <w:link w:val="BalloonTextChar"/>
    <w:uiPriority w:val="99"/>
    <w:semiHidden/>
    <w:unhideWhenUsed/>
    <w:rsid w:val="00AC3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201A2DE6CC3664E9B0FDA71013BBCD6" ma:contentTypeVersion="10" ma:contentTypeDescription="Opret et nyt dokument." ma:contentTypeScope="" ma:versionID="52b6659a3eb0d7ac6b7c04e3128f5e55">
  <xsd:schema xmlns:xsd="http://www.w3.org/2001/XMLSchema" xmlns:xs="http://www.w3.org/2001/XMLSchema" xmlns:p="http://schemas.microsoft.com/office/2006/metadata/properties" xmlns:ns3="01dbf32f-1778-4334-b5ae-fd362c9d7e59" targetNamespace="http://schemas.microsoft.com/office/2006/metadata/properties" ma:root="true" ma:fieldsID="1b0547cae42024a4697a3c9fd2d8a284" ns3:_="">
    <xsd:import namespace="01dbf32f-1778-4334-b5ae-fd362c9d7e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bf32f-1778-4334-b5ae-fd362c9d7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2DE6-08D1-4546-82E6-650399C2E967}">
  <ds:schemaRefs>
    <ds:schemaRef ds:uri="http://schemas.microsoft.com/sharepoint/v3/contenttype/forms"/>
  </ds:schemaRefs>
</ds:datastoreItem>
</file>

<file path=customXml/itemProps2.xml><?xml version="1.0" encoding="utf-8"?>
<ds:datastoreItem xmlns:ds="http://schemas.openxmlformats.org/officeDocument/2006/customXml" ds:itemID="{61168EE0-F354-4CC3-B3A2-F436FFE7D2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BC3E91-658C-4795-9161-A95341E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bf32f-1778-4334-b5ae-fd362c9d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D8050-6AC0-469C-9DE4-E1C3088B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9346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Storgaard Sørensen</dc:creator>
  <cp:keywords/>
  <dc:description/>
  <cp:lastModifiedBy>Zakeri, Fatin</cp:lastModifiedBy>
  <cp:revision>2</cp:revision>
  <dcterms:created xsi:type="dcterms:W3CDTF">2021-06-10T22:57:00Z</dcterms:created>
  <dcterms:modified xsi:type="dcterms:W3CDTF">2021-06-10T22:57:00Z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0x010100F201A2DE6CC3664E9B0FDA71013BBCD6</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http://www.zotero.org/styles/jama</vt:lpwstr>
  </property>
  <property fmtid="{D5CDD505-2E9C-101B-9397-08002B2CF9AE}" pid="16" name="Mendeley Recent Style Name 6_1">
    <vt:lpwstr>JAMA (The Journal of the American Medical Association)</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4926f0da-bde4-3274-aad9-3263ab8aefa7</vt:lpwstr>
  </property>
  <property fmtid="{D5CDD505-2E9C-101B-9397-08002B2CF9AE}" pid="25" name="Mendeley Citation Style_1">
    <vt:lpwstr>http://www.zotero.org/styles/jama</vt:lpwstr>
  </property>
</Properties>
</file>