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480" w:before="0" w:after="0"/>
        <w:ind w:right="0" w:firstLine="0"/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snapToGrid w:val="off"/>
        <w:autoSpaceDE w:val="1"/>
        <w:autoSpaceDN w:val="1"/>
      </w:pPr>
      <w:bookmarkStart w:id="1" w:name="OLE_LINK4"/>
      <w:bookmarkStart w:id="2" w:name="OLE_LINK5"/>
      <w:r>
        <w:rPr>
          <w:b w:val="1"/>
          <w:color w:val="auto"/>
          <w:position w:val="0"/>
          <w:sz w:val="24"/>
          <w:szCs w:val="24"/>
          <w:rFonts w:ascii="Arial" w:eastAsia="Arial" w:hAnsi="Arial" w:hint="default"/>
        </w:rPr>
        <w:t xml:space="preserve">Supplemental Material</w:t>
      </w:r>
    </w:p>
    <w:p>
      <w:pPr>
        <w:numPr>
          <w:ilvl w:val="0"/>
          <w:numId w:val="0"/>
        </w:numPr>
        <w:jc w:val="center"/>
        <w:spacing w:lineRule="auto" w:line="480" w:before="0" w:after="0"/>
        <w:ind w:right="0" w:firstLine="0"/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snapToGrid w:val="off"/>
        <w:autoSpaceDE w:val="1"/>
        <w:autoSpaceDN w:val="1"/>
      </w:pPr>
      <w:r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Construction and validation of a nomogram for predicting the risk of deep </w:t>
      </w:r>
      <w:r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vein thrombosis in hepatocellular carcinoma patients after laparoscopic </w:t>
      </w:r>
      <w:r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t>hepatectomy:</w:t>
      </w:r>
      <w:r>
        <w:rPr>
          <w:b w:val="1"/>
          <w:color w:val="000000" w:themeColor="text1"/>
          <w:position w:val="0"/>
          <w:sz w:val="24"/>
          <w:szCs w:val="24"/>
          <w:rFonts w:ascii="Arial" w:eastAsia="宋体" w:hAnsi="宋体" w:hint="default"/>
        </w:rPr>
        <w:t xml:space="preserve"> </w:t>
      </w:r>
      <w:r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a retrospective study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snapToGrid w:val="off"/>
        <w:autoSpaceDE w:val="1"/>
        <w:autoSpaceDN w:val="1"/>
      </w:pPr>
      <w:bookmarkStart w:id="3" w:name="OLE_LINK1"/>
      <w:bookmarkStart w:id="4" w:name="OLE_LINK2"/>
      <w:bookmarkEnd w:id="1"/>
      <w:bookmarkEnd w:id="2"/>
      <w:r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Yao Chen, MD, Jianping Zhao, MD, PhD, Zhanguo Zhang, MD, PhD, Zeyang </w:t>
      </w:r>
      <w:r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Ding, MD, PhD, Yifa Chen, MD, PhD, Xiaoping Chen, MD, PhD, Wanguang </w:t>
      </w:r>
      <w:r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Zhang, MD, PhD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snapToGrid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snapToGrid w:val="off"/>
        <w:autoSpaceDE w:val="1"/>
        <w:autoSpaceDN w:val="1"/>
      </w:pPr>
      <w:bookmarkEnd w:id="3"/>
      <w:bookmarkEnd w:id="4"/>
    </w:p>
    <w:p>
      <w:pPr>
        <w:numPr>
          <w:ilvl w:val="0"/>
          <w:numId w:val="0"/>
        </w:numPr>
        <w:jc w:val="center"/>
        <w:spacing w:lineRule="auto" w:line="480" w:before="0" w:after="0"/>
        <w:ind w:right="-82" w:firstLine="0"/>
        <w:rPr>
          <w:b w:val="1"/>
          <w:color w:val="auto"/>
          <w:position w:val="0"/>
          <w:sz w:val="24"/>
          <w:szCs w:val="24"/>
          <w:rFonts w:ascii="Arial" w:eastAsia="Arial" w:hAnsi="Arial" w:hint="default"/>
        </w:rPr>
        <w:autoSpaceDE w:val="0"/>
        <w:autoSpaceDN w:val="0"/>
      </w:pPr>
      <w:r>
        <w:rPr>
          <w:b w:val="1"/>
          <w:color w:val="auto"/>
          <w:position w:val="0"/>
          <w:sz w:val="24"/>
          <w:szCs w:val="24"/>
          <w:rFonts w:ascii="Arial" w:eastAsia="Arial" w:hAnsi="Arial" w:hint="default"/>
        </w:rPr>
        <w:t xml:space="preserve">Table of Contents</w:t>
      </w:r>
    </w:p>
    <w:p>
      <w:pPr>
        <w:bidi w:val="0"/>
        <w:numPr>
          <w:ilvl w:val="0"/>
          <w:numId w:val="1"/>
        </w:numPr>
        <w:jc w:val="left"/>
        <w:spacing w:lineRule="auto" w:line="480" w:before="0" w:after="0"/>
        <w:ind w:right="-82" w:left="36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autoSpaceDE w:val="0"/>
        <w:autoSpaceDN w:val="0"/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Appendix A1......................................................................... 2</w:t>
      </w:r>
    </w:p>
    <w:p>
      <w:pPr>
        <w:numPr>
          <w:ilvl w:val="0"/>
          <w:numId w:val="0"/>
        </w:numPr>
        <w:jc w:val="left"/>
        <w:spacing w:lineRule="auto" w:line="480" w:before="0" w:after="0"/>
        <w:ind w:right="-82" w:firstLine="0"/>
        <w:rPr>
          <w:color w:val="000000"/>
          <w:position w:val="0"/>
          <w:sz w:val="24"/>
          <w:szCs w:val="24"/>
          <w:rFonts w:ascii="Arial" w:eastAsia="Arial" w:hAnsi="Arial" w:hint="default"/>
        </w:rPr>
        <w:autoSpaceDE w:val="0"/>
        <w:autoSpaceDN w:val="0"/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2.  Appendix A2........................................................................ 3</w:t>
      </w:r>
    </w:p>
    <w:p>
      <w:pPr>
        <w:numPr>
          <w:ilvl w:val="0"/>
          <w:numId w:val="0"/>
        </w:numPr>
        <w:jc w:val="left"/>
        <w:spacing w:lineRule="auto" w:line="480" w:before="0" w:after="0"/>
        <w:ind w:right="-82" w:firstLine="0"/>
        <w:rPr>
          <w:color w:val="000000"/>
          <w:position w:val="0"/>
          <w:sz w:val="24"/>
          <w:szCs w:val="24"/>
          <w:rFonts w:ascii="Arial" w:eastAsia="Arial" w:hAnsi="Arial" w:hint="default"/>
        </w:rPr>
        <w:autoSpaceDE w:val="0"/>
        <w:autoSpaceDN w:val="0"/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3.  Appendix A3........................................................................ 4</w:t>
      </w:r>
    </w:p>
    <w:p>
      <w:pPr>
        <w:numPr>
          <w:ilvl w:val="0"/>
          <w:numId w:val="0"/>
        </w:numPr>
        <w:jc w:val="left"/>
        <w:spacing w:lineRule="auto" w:line="480" w:before="0" w:after="0"/>
        <w:ind w:right="-82" w:firstLine="0"/>
        <w:rPr>
          <w:color w:val="000000"/>
          <w:position w:val="0"/>
          <w:sz w:val="24"/>
          <w:szCs w:val="24"/>
          <w:rFonts w:ascii="Arial" w:eastAsia="Arial" w:hAnsi="Arial" w:hint="default"/>
        </w:rPr>
        <w:autoSpaceDE w:val="0"/>
        <w:autoSpaceDN w:val="0"/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4.  Appendix A4........................................................................ 5</w:t>
      </w:r>
    </w:p>
    <w:p>
      <w:pPr>
        <w:sectPr>
          <w:footerReference w:type="default" r:id="rId5"/>
          <w:pgSz w:w="11906" w:h="16838" w:code="9"/>
          <w:pgMar w:top="1701" w:left="1701" w:bottom="1701" w:right="1701" w:header="851" w:footer="992" w:gutter="0"/>
          <w:pgNumType w:fmt="decimal"/>
          <w:docGrid w:type="lines" w:linePitch="312" w:charSpace="0"/>
        </w:sectPr>
        <w:numPr>
          <w:ilvl w:val="0"/>
          <w:numId w:val="0"/>
        </w:numPr>
        <w:jc w:val="left"/>
        <w:spacing w:lineRule="auto" w:line="480" w:before="0" w:after="0"/>
        <w:ind w:right="-82" w:firstLine="0"/>
        <w:rPr>
          <w:color w:val="000000"/>
          <w:position w:val="0"/>
          <w:sz w:val="24"/>
          <w:szCs w:val="24"/>
          <w:rFonts w:ascii="Arial" w:eastAsia="Arial" w:hAnsi="Arial" w:hint="default"/>
        </w:rPr>
        <w:autoSpaceDE w:val="0"/>
        <w:autoSpaceDN w:val="0"/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5.  Appendix A5........................................................................ 6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b w:val="1"/>
          <w:color w:val="auto"/>
          <w:position w:val="0"/>
          <w:sz w:val="24"/>
          <w:szCs w:val="24"/>
          <w:rFonts w:ascii="Arial" w:eastAsia="Arial" w:hAnsi="Arial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Arial" w:eastAsia="Arial" w:hAnsi="Arial" w:hint="default"/>
        </w:rPr>
        <w:t xml:space="preserve">Appendix A1 </w:t>
      </w:r>
      <w:r>
        <w:rPr>
          <w:color w:val="auto"/>
          <w:position w:val="0"/>
          <w:sz w:val="24"/>
          <w:szCs w:val="24"/>
          <w:rFonts w:ascii="Arial" w:eastAsia="Arial" w:hAnsi="Arial" w:hint="default"/>
        </w:rPr>
        <w:t xml:space="preserve">The R packages used for statistical analysis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color w:val="auto"/>
          <w:position w:val="0"/>
          <w:sz w:val="24"/>
          <w:szCs w:val="24"/>
          <w:rFonts w:ascii="Arial" w:eastAsia="Arial" w:hAnsi="Arial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Arial" w:eastAsia="Arial" w:hAnsi="Arial" w:hint="default"/>
        </w:rPr>
        <w:t xml:space="preserve">The “rms” package was used for multivariate logistic regression analysis, </w:t>
      </w:r>
      <w:r>
        <w:rPr>
          <w:color w:val="auto"/>
          <w:position w:val="0"/>
          <w:sz w:val="24"/>
          <w:szCs w:val="24"/>
          <w:rFonts w:ascii="Arial" w:eastAsia="Arial" w:hAnsi="Arial" w:hint="default"/>
        </w:rPr>
        <w:t xml:space="preserve">nomogram construction and calibration.</w:t>
      </w:r>
      <w:r>
        <w:rPr>
          <w:color w:val="000000"/>
          <w:position w:val="0"/>
          <w:sz w:val="24"/>
          <w:szCs w:val="24"/>
          <w:rFonts w:ascii="Arial" w:eastAsia="Arial" w:hAnsi="Arial" w:hint="default"/>
        </w:rPr>
        <w:t xml:space="preserve"> </w:t>
      </w:r>
      <w:r>
        <w:rPr>
          <w:color w:val="auto"/>
          <w:position w:val="0"/>
          <w:sz w:val="24"/>
          <w:szCs w:val="24"/>
          <w:rFonts w:ascii="Arial" w:eastAsia="Arial" w:hAnsi="Arial" w:hint="default"/>
        </w:rPr>
        <w:t xml:space="preserve">The “ResourceSelection” package was </w:t>
      </w:r>
      <w:r>
        <w:rPr>
          <w:color w:val="auto"/>
          <w:position w:val="0"/>
          <w:sz w:val="24"/>
          <w:szCs w:val="24"/>
          <w:rFonts w:ascii="Arial" w:eastAsia="Arial" w:hAnsi="Arial" w:hint="default"/>
        </w:rPr>
        <w:t xml:space="preserve">used for Hosmer-Lemeshow goodness of fit test. The “pROC” package was </w:t>
      </w:r>
      <w:r>
        <w:rPr>
          <w:color w:val="auto"/>
          <w:position w:val="0"/>
          <w:sz w:val="24"/>
          <w:szCs w:val="24"/>
          <w:rFonts w:ascii="Arial" w:eastAsia="Arial" w:hAnsi="Arial" w:hint="default"/>
        </w:rPr>
        <w:t xml:space="preserve">used for the receiver operator characteristic (ROC) curve analysis. The “</w:t>
      </w:r>
      <w:r>
        <w:rPr>
          <w:color w:val="auto"/>
          <w:position w:val="0"/>
          <w:sz w:val="24"/>
          <w:szCs w:val="24"/>
          <w:rFonts w:ascii="Arial" w:eastAsia="Arial" w:hAnsi="Arial" w:hint="default"/>
        </w:rPr>
        <w:t xml:space="preserve">ggplot2” package was used to draw the figures. The “rmda” package was used </w:t>
      </w:r>
      <w:r>
        <w:rPr>
          <w:color w:val="auto"/>
          <w:position w:val="0"/>
          <w:sz w:val="24"/>
          <w:szCs w:val="24"/>
          <w:rFonts w:ascii="Arial" w:eastAsia="Arial" w:hAnsi="Arial" w:hint="default"/>
        </w:rPr>
        <w:t xml:space="preserve">for decision curve analysis.</w: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240" w:before="0" w:after="9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numPr>
          <w:ilvl w:val="0"/>
          <w:numId w:val="0"/>
        </w:numPr>
        <w:jc w:val="left"/>
        <w:shd w:val="clear" w:color="000000" w:fill="FFFFFF"/>
        <w:spacing w:lineRule="auto" w:line="240" w:before="0" w:after="9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sectPr>
          <w:footerReference w:type="default" r:id="rId6"/>
          <w:pgSz w:w="11906" w:h="16838" w:code="9"/>
          <w:pgMar w:top="1701" w:left="1701" w:bottom="1701" w:right="1701" w:header="851" w:footer="992" w:gutter="0"/>
          <w:pgNumType w:fmt="decimal"/>
          <w:docGrid w:type="lines" w:linePitch="312" w:charSpace="0"/>
          <w:lnNumType w:countBy="1" w:distance="0" w:start="0" w:restart="newPage"/>
        </w:sectPr>
        <w:numPr>
          <w:ilvl w:val="0"/>
          <w:numId w:val="0"/>
        </w:numPr>
        <w:jc w:val="left"/>
        <w:shd w:val="clear" w:color="000000" w:fill="FFFFFF"/>
        <w:spacing w:lineRule="auto" w:line="240" w:before="0" w:after="9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numPr>
          <w:ilvl w:val="0"/>
          <w:numId w:val="0"/>
        </w:numPr>
        <w:jc w:val="left"/>
        <w:shd w:val="clear" w:color="000000" w:fill="FFFFFF"/>
        <w:spacing w:lineRule="exact" w:line="240" w:before="0" w:after="90"/>
        <w:ind w:right="0" w:firstLine="0"/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outlineLvl w:val="2"/>
        <w:autoSpaceDE w:val="1"/>
        <w:autoSpaceDN w:val="1"/>
      </w:pPr>
      <w:r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Appendix A2 </w:t>
      </w:r>
      <w:r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The distribution of the DVT 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jc w:val="center"/>
        <w:tblLook w:val="0004A0" w:firstRow="1" w:lastRow="0" w:firstColumn="1" w:lastColumn="0" w:noHBand="0" w:noVBand="1"/>
        <w:tblLayout w:type="auto"/>
      </w:tblPr>
      <w:tblGrid>
        <w:gridCol w:w="2117"/>
        <w:gridCol w:w="722"/>
        <w:gridCol w:w="727"/>
        <w:gridCol w:w="722"/>
        <w:gridCol w:w="727"/>
        <w:gridCol w:w="722"/>
        <w:gridCol w:w="727"/>
      </w:tblGrid>
      <w:tr>
        <w:trPr>
          <w:trHeight w:hRule="atleast" w:val="113"/>
          <w:hidden w:val="0"/>
        </w:trPr>
        <w:tc>
          <w:tcPr>
            <w:tcW w:type="dxa" w:w="2117"/>
            <w:vAlign w:val="top"/>
            <w:vMerge w:val="restart"/>
          </w:tcPr>
          <w:p>
            <w:pPr>
              <w:numPr>
                <w:ilvl w:val="0"/>
                <w:numId w:val="0"/>
              </w:numPr>
              <w:jc w:val="left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Variables</w:t>
            </w:r>
          </w:p>
        </w:tc>
        <w:tc>
          <w:tcPr>
            <w:tcW w:type="dxa" w:w="1449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Total</w:t>
            </w:r>
          </w:p>
        </w:tc>
        <w:tc>
          <w:tcPr>
            <w:tcW w:type="dxa" w:w="1449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TS</w:t>
            </w:r>
          </w:p>
        </w:tc>
        <w:tc>
          <w:tcPr>
            <w:tcW w:type="dxa" w:w="1449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VS</w:t>
            </w:r>
          </w:p>
        </w:tc>
      </w:tr>
      <w:tr>
        <w:trPr>
          <w:trHeight w:hRule="atleast" w:val="113"/>
          <w:hidden w:val="0"/>
        </w:trPr>
        <w:tc>
          <w:tcPr>
            <w:tcW w:type="dxa" w:w="2117"/>
            <w:vAlign w:val="top"/>
            <w:vMerge/>
          </w:tcPr>
          <w:p/>
        </w:tc>
        <w:tc>
          <w:tcPr>
            <w:tcW w:type="dxa" w:w="722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n = 66</w:t>
            </w:r>
          </w:p>
        </w:tc>
        <w:tc>
          <w:tcPr>
            <w:tcW w:type="dxa" w:w="72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%</w:t>
            </w:r>
          </w:p>
        </w:tc>
        <w:tc>
          <w:tcPr>
            <w:tcW w:type="dxa" w:w="722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n = 46</w:t>
            </w:r>
          </w:p>
        </w:tc>
        <w:tc>
          <w:tcPr>
            <w:tcW w:type="dxa" w:w="72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%</w:t>
            </w:r>
          </w:p>
        </w:tc>
        <w:tc>
          <w:tcPr>
            <w:tcW w:type="dxa" w:w="722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n = 22</w:t>
            </w:r>
          </w:p>
        </w:tc>
        <w:tc>
          <w:tcPr>
            <w:tcW w:type="dxa" w:w="72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%</w:t>
            </w:r>
          </w:p>
        </w:tc>
      </w:tr>
      <w:tr>
        <w:trPr>
          <w:trHeight w:hRule="atleast" w:val="416"/>
          <w:hidden w:val="0"/>
        </w:trPr>
        <w:tc>
          <w:tcPr>
            <w:tcW w:type="dxa" w:w="2117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Unilateral distal DVT</w:t>
            </w:r>
          </w:p>
        </w:tc>
        <w:tc>
          <w:tcPr>
            <w:tcW w:type="dxa" w:w="722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40</w:t>
            </w:r>
          </w:p>
        </w:tc>
        <w:tc>
          <w:tcPr>
            <w:tcW w:type="dxa" w:w="72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60.6%</w:t>
            </w:r>
          </w:p>
        </w:tc>
        <w:tc>
          <w:tcPr>
            <w:tcW w:type="dxa" w:w="72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29</w:t>
            </w:r>
          </w:p>
        </w:tc>
        <w:tc>
          <w:tcPr>
            <w:tcW w:type="dxa" w:w="72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64.5%</w:t>
            </w:r>
          </w:p>
        </w:tc>
        <w:tc>
          <w:tcPr>
            <w:tcW w:type="dxa" w:w="72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11</w:t>
            </w:r>
          </w:p>
        </w:tc>
        <w:tc>
          <w:tcPr>
            <w:tcW w:type="dxa" w:w="72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52.4%</w:t>
            </w:r>
          </w:p>
        </w:tc>
      </w:tr>
      <w:tr>
        <w:trPr>
          <w:trHeight w:hRule="atleast" w:val="424"/>
          <w:hidden w:val="0"/>
        </w:trPr>
        <w:tc>
          <w:tcPr>
            <w:tcW w:type="dxa" w:w="2117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Bilateral distal DVT</w:t>
            </w:r>
          </w:p>
        </w:tc>
        <w:tc>
          <w:tcPr>
            <w:tcW w:type="dxa" w:w="722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24</w:t>
            </w:r>
          </w:p>
        </w:tc>
        <w:tc>
          <w:tcPr>
            <w:tcW w:type="dxa" w:w="72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36.4%</w:t>
            </w:r>
          </w:p>
        </w:tc>
        <w:tc>
          <w:tcPr>
            <w:tcW w:type="dxa" w:w="72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14</w:t>
            </w:r>
          </w:p>
        </w:tc>
        <w:tc>
          <w:tcPr>
            <w:tcW w:type="dxa" w:w="72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31.1%</w:t>
            </w:r>
          </w:p>
        </w:tc>
        <w:tc>
          <w:tcPr>
            <w:tcW w:type="dxa" w:w="72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10</w:t>
            </w:r>
          </w:p>
        </w:tc>
        <w:tc>
          <w:tcPr>
            <w:tcW w:type="dxa" w:w="72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47.6%</w:t>
            </w:r>
          </w:p>
        </w:tc>
      </w:tr>
      <w:tr>
        <w:trPr>
          <w:trHeight w:hRule="atleast" w:val="417"/>
          <w:hidden w:val="0"/>
        </w:trPr>
        <w:tc>
          <w:tcPr>
            <w:tcW w:type="dxa" w:w="2117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Unilateral proximal DVT</w:t>
            </w:r>
          </w:p>
        </w:tc>
        <w:tc>
          <w:tcPr>
            <w:tcW w:type="dxa" w:w="722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2</w:t>
            </w:r>
          </w:p>
        </w:tc>
        <w:tc>
          <w:tcPr>
            <w:tcW w:type="dxa" w:w="72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3.0%</w:t>
            </w:r>
          </w:p>
        </w:tc>
        <w:tc>
          <w:tcPr>
            <w:tcW w:type="dxa" w:w="72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2</w:t>
            </w:r>
          </w:p>
        </w:tc>
        <w:tc>
          <w:tcPr>
            <w:tcW w:type="dxa" w:w="72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4.4%</w:t>
            </w:r>
          </w:p>
        </w:tc>
        <w:tc>
          <w:tcPr>
            <w:tcW w:type="dxa" w:w="72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0</w:t>
            </w:r>
          </w:p>
        </w:tc>
        <w:tc>
          <w:tcPr>
            <w:tcW w:type="dxa" w:w="72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-</w:t>
            </w:r>
          </w:p>
        </w:tc>
      </w:tr>
      <w:tr>
        <w:trPr>
          <w:trHeight w:hRule="atleast" w:val="387"/>
          <w:hidden w:val="0"/>
        </w:trPr>
        <w:tc>
          <w:tcPr>
            <w:tcW w:type="dxa" w:w="2117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Bilateral proximal DVT</w:t>
            </w:r>
          </w:p>
        </w:tc>
        <w:tc>
          <w:tcPr>
            <w:tcW w:type="dxa" w:w="722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0</w:t>
            </w:r>
          </w:p>
        </w:tc>
        <w:tc>
          <w:tcPr>
            <w:tcW w:type="dxa" w:w="72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-</w:t>
            </w:r>
          </w:p>
        </w:tc>
        <w:tc>
          <w:tcPr>
            <w:tcW w:type="dxa" w:w="72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0</w:t>
            </w:r>
          </w:p>
        </w:tc>
        <w:tc>
          <w:tcPr>
            <w:tcW w:type="dxa" w:w="72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-</w:t>
            </w:r>
          </w:p>
        </w:tc>
        <w:tc>
          <w:tcPr>
            <w:tcW w:type="dxa" w:w="72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0</w:t>
            </w:r>
          </w:p>
        </w:tc>
        <w:tc>
          <w:tcPr>
            <w:tcW w:type="dxa" w:w="72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-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18"/>
          <w:szCs w:val="18"/>
          <w:rFonts w:ascii="Arial" w:eastAsia="Arial" w:hAnsi="Arial" w:hint="default"/>
        </w:rPr>
        <w:autoSpaceDE w:val="1"/>
        <w:autoSpaceDN w:val="1"/>
      </w:pP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Abbreviations: DVT, deep venous thrombosis; TS, training set; VS, validation set.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Appendix A3 </w:t>
      </w:r>
      <w:r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Clinicopathological features of the No DVT and DVT patients</w:t>
      </w:r>
      <w:r>
        <w:rPr>
          <w:color w:val="FF0000"/>
          <w:position w:val="0"/>
          <w:sz w:val="24"/>
          <w:szCs w:val="24"/>
          <w:rFonts w:ascii="Arial" w:eastAsia="Arial" w:hAnsi="Arial" w:hint="default"/>
        </w:rPr>
        <w:t xml:space="preserve"> 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498" w:type="dxa"/>
        <w:jc w:val="center"/>
        <w:tblLook w:val="0004A0" w:firstRow="1" w:lastRow="0" w:firstColumn="1" w:lastColumn="0" w:noHBand="0" w:noVBand="1"/>
        <w:tblLayout w:type="fixed"/>
      </w:tblPr>
      <w:tblGrid>
        <w:gridCol w:w="2689"/>
        <w:gridCol w:w="1275"/>
        <w:gridCol w:w="1281"/>
        <w:gridCol w:w="1271"/>
        <w:gridCol w:w="2131"/>
        <w:gridCol w:w="851"/>
      </w:tblGrid>
      <w:tr>
        <w:trPr>
          <w:trHeight w:hRule="atleast" w:val="794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Variables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Total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n = 355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No DVT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n = 289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DVT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n = 66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t>OR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t>(95%CI)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1"/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i w:val="1"/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t>p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Age (years) (≥ 60)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112 (31.5)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89 (30.8)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23 (34.8)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2.115 (1.228 - 3.642)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0.006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Sex (male)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286 (80.6)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247 (85.5)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39 (59.1)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0.246 (0.136 - 0.443)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&lt;0.001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vertAlign w:val="superscript"/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BMI (kg/m</w:t>
            </w:r>
            <w:r>
              <w:rPr>
                <w:vertAlign w:val="superscript"/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2</w:t>
            </w: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) (&gt; 25)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63 (17.7)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40 (18.5)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23 (34.8)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3.330 (1.816 - 6.106)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&lt;0.001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Comorbidities (yes)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75 (21.1)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44 (15.2)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31 (47.0)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4.932 (2.761 - 8.810)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&lt;0.001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Virus hepatitis (yes) 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258 (72.7)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206 (71.3)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52 (78.8)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0.794 (0.428 - 1.473)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0.464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Hematocrit grade (≥ 39)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228 (64.2)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196 (67.8)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32 (48.5)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0.447 (0.260 - 0.768)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0.003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PLT (x10</w:t>
            </w:r>
            <w:r>
              <w:rPr>
                <w:vertAlign w:val="superscript"/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9</w:t>
            </w: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/L)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167.3 ± 51.9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166.2 ± 52.7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169.6 ± 50.3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1.001 (0.996 - 1.006)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0.485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INR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1.1 ± 0.1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1.1 ± 0.1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1.0 ± 0.1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2.259 (0.079 - 64.836)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0.478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Portal hypertension (yes) 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60 (16.9)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40 (13.8)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16 (24.2)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FF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1.782 (0.932 - 3.406)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0.081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Tumor number (multiple) 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52 (14.6)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46 (15.9)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6 (9.0)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0.528 (0.216 - 1.295)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0.157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MTS (cm)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4.3 ± 2.9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4.2 ± 2.8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4.4 ± 3.2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0.939 (0.844 - 1.044)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0.611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BCLC stage (A)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326 (91.8)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263 (91.0)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63 (95.5)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2.076 (0.609 - 7.076)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0.321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Extent of hepatectomy (major) 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104 (29.3)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91 (31.5)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13 (19.7)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0.534 (0.277 - 1.028)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0.058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OPP (lateral position)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133 (37.5)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92 (31.8)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41 (61.1)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3.512 (2.015 - 6.120)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&lt;0.001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OT (hour)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5.5 ± 1.7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5.4 ± 1.6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5.7 ± 1.8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0.853 (0.718 - 1.014)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0.060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IT (yes) 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95 (26.8)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70 (24.2)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25 (37.9)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1.908 (1.084 - 3.358)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0.024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Hemostatics (yes)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19 (5.4)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12 (4.2)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7 (10.6)</w:t>
            </w:r>
          </w:p>
        </w:tc>
        <w:tc>
          <w:tcPr>
            <w:tcW w:type="dxa" w:w="213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FF000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2.739 (1.034 - 7.251)</w:t>
            </w:r>
          </w:p>
        </w:tc>
        <w:tc>
          <w:tcPr>
            <w:tcW w:type="dxa" w:w="85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0.036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Complication grade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97 (27.3)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76 (26.3)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21 (31.9)</w:t>
            </w:r>
          </w:p>
        </w:tc>
        <w:tc>
          <w:tcPr>
            <w:tcW w:type="dxa" w:w="2131"/>
            <w:vAlign w:val="top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1.514 (0.471 - 4.871)</w:t>
            </w:r>
          </w:p>
        </w:tc>
        <w:tc>
          <w:tcPr>
            <w:tcW w:type="dxa" w:w="851"/>
            <w:vAlign w:val="top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0.484</w:t>
            </w:r>
          </w:p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36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≥ 3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18 (5.1)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13 (4.5)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5 (7.6)</w:t>
            </w:r>
          </w:p>
        </w:tc>
        <w:tc>
          <w:tcPr>
            <w:tcW w:type="dxa" w:w="2131"/>
            <w:vAlign w:val="top"/>
            <w:vMerge/>
          </w:tcPr>
          <w:p/>
        </w:tc>
        <w:tc>
          <w:tcPr>
            <w:tcW w:type="dxa" w:w="851"/>
            <w:vAlign w:val="top"/>
            <w:vMerge/>
          </w:tcPr>
          <w:p/>
        </w:tc>
      </w:tr>
      <w:tr>
        <w:trPr>
          <w:trHeight w:hRule="atleast" w:val="397"/>
          <w:hidden w:val="0"/>
        </w:trPr>
        <w:tc>
          <w:tcPr>
            <w:tcW w:type="dxa" w:w="2689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   &lt; 3</w:t>
            </w:r>
          </w:p>
        </w:tc>
        <w:tc>
          <w:tcPr>
            <w:tcW w:type="dxa" w:w="127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79 (22.2)</w:t>
            </w:r>
          </w:p>
        </w:tc>
        <w:tc>
          <w:tcPr>
            <w:tcW w:type="dxa" w:w="128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63 (21.8)</w:t>
            </w:r>
          </w:p>
        </w:tc>
        <w:tc>
          <w:tcPr>
            <w:tcW w:type="dxa" w:w="127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16 (24.2)</w:t>
            </w:r>
          </w:p>
        </w:tc>
        <w:tc>
          <w:tcPr>
            <w:tcW w:type="dxa" w:w="2131"/>
            <w:vAlign w:val="top"/>
            <w:vMerge/>
          </w:tcPr>
          <w:p/>
        </w:tc>
        <w:tc>
          <w:tcPr>
            <w:tcW w:type="dxa" w:w="851"/>
            <w:vAlign w:val="top"/>
            <w:vMerge/>
          </w:tcPr>
          <w:p/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18"/>
          <w:szCs w:val="18"/>
          <w:rFonts w:ascii="Arial" w:eastAsia="Arial" w:hAnsi="Arial" w:hint="default"/>
        </w:rPr>
        <w:autoSpaceDE w:val="1"/>
        <w:autoSpaceDN w:val="1"/>
      </w:pP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Abbreviations: DVT, deep vein thrombosis; BMI, body mass index; PLT, platelets; INR, international </w:t>
      </w: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normalized ratio; MTS, maximum tumor size; BCLC, barcelona clinic liver cancer; OPP, operative position; </w:t>
      </w: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OT, operative time; IT, intraoperative transfusion; OR, odds ratio; CI, confidence interval.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18"/>
          <w:szCs w:val="18"/>
          <w:rFonts w:ascii="Arial" w:eastAsia="Arial" w:hAnsi="Arial" w:hint="default"/>
        </w:rPr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left"/>
        <w:shd w:val="clear" w:color="000000" w:fill="FFFFFF"/>
        <w:spacing w:lineRule="exact" w:line="240" w:before="0" w:after="90"/>
        <w:ind w:right="0" w:firstLine="0"/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outlineLvl w:val="2"/>
        <w:autoSpaceDE w:val="1"/>
        <w:autoSpaceDN w:val="1"/>
      </w:pPr>
      <w:r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Appendix A4</w:t>
      </w:r>
      <w:r>
        <w:rPr>
          <w:b w:val="1"/>
          <w:color w:val="333333"/>
          <w:position w:val="0"/>
          <w:sz w:val="24"/>
          <w:szCs w:val="24"/>
          <w:rFonts w:ascii="Arial" w:eastAsia="Arial" w:hAnsi="Arial" w:hint="default"/>
        </w:rPr>
        <w:t xml:space="preserve"> </w:t>
      </w:r>
      <w:r>
        <w:rPr>
          <w:color w:val="333333"/>
          <w:position w:val="0"/>
          <w:sz w:val="24"/>
          <w:szCs w:val="24"/>
          <w:rFonts w:ascii="Arial" w:eastAsia="Arial" w:hAnsi="Arial" w:hint="default"/>
        </w:rPr>
        <w:t xml:space="preserve">Performance of the TRN in the TS and the VS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5773" w:type="dxa"/>
        <w:jc w:val="center"/>
        <w:tblLook w:val="0004A0" w:firstRow="1" w:lastRow="0" w:firstColumn="1" w:lastColumn="0" w:noHBand="0" w:noVBand="1"/>
        <w:tblLayout w:type="fixed"/>
      </w:tblPr>
      <w:tblGrid>
        <w:gridCol w:w="1804"/>
        <w:gridCol w:w="1985"/>
        <w:gridCol w:w="1984"/>
      </w:tblGrid>
      <w:tr>
        <w:trPr>
          <w:trHeight w:hRule="atleast" w:val="397"/>
          <w:hidden w:val="0"/>
        </w:trPr>
        <w:tc>
          <w:tcPr>
            <w:tcW w:type="dxa" w:w="180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Variable</w:t>
            </w:r>
          </w:p>
        </w:tc>
        <w:tc>
          <w:tcPr>
            <w:tcW w:type="dxa" w:w="1985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TS</w:t>
            </w:r>
          </w:p>
        </w:tc>
        <w:tc>
          <w:tcPr>
            <w:tcW w:type="dxa" w:w="198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VS</w:t>
            </w:r>
          </w:p>
        </w:tc>
      </w:tr>
      <w:tr>
        <w:trPr>
          <w:trHeight w:hRule="atleast" w:val="397"/>
          <w:hidden w:val="0"/>
        </w:trPr>
        <w:tc>
          <w:tcPr>
            <w:tcW w:type="dxa" w:w="180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AUC (95%CI)</w:t>
            </w:r>
          </w:p>
        </w:tc>
        <w:tc>
          <w:tcPr>
            <w:tcW w:type="dxa" w:w="1985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38"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0.861 (0.802-0.920)</w:t>
            </w:r>
          </w:p>
        </w:tc>
        <w:tc>
          <w:tcPr>
            <w:tcW w:type="dxa" w:w="198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0.818 (0.716-0.919)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80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H-L test </w:t>
            </w:r>
            <w:r>
              <w:rPr>
                <w:i w:val="1"/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>p</w:t>
            </w: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 value</w:t>
            </w:r>
          </w:p>
        </w:tc>
        <w:tc>
          <w:tcPr>
            <w:tcW w:type="dxa" w:w="1985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38"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0.626</w:t>
            </w:r>
          </w:p>
        </w:tc>
        <w:tc>
          <w:tcPr>
            <w:tcW w:type="dxa" w:w="198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0.259</w:t>
            </w:r>
          </w:p>
        </w:tc>
      </w:tr>
      <w:tr>
        <w:trPr>
          <w:trHeight w:hRule="atleast" w:val="397"/>
          <w:hidden w:val="0"/>
        </w:trPr>
        <w:tc>
          <w:tcPr>
            <w:tcW w:type="dxa" w:w="180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Sensitivity (95%CI) </w:t>
            </w:r>
          </w:p>
        </w:tc>
        <w:tc>
          <w:tcPr>
            <w:tcW w:type="dxa" w:w="1985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38"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44.4 (30.0-59.9)</w:t>
            </w:r>
          </w:p>
        </w:tc>
        <w:tc>
          <w:tcPr>
            <w:tcW w:type="dxa" w:w="198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38.1 (19.0-61.3)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80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Specificity (95%CI)</w:t>
            </w:r>
          </w:p>
        </w:tc>
        <w:tc>
          <w:tcPr>
            <w:tcW w:type="dxa" w:w="1985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38"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96.5 (92.6-98.4)</w:t>
            </w:r>
          </w:p>
        </w:tc>
        <w:tc>
          <w:tcPr>
            <w:tcW w:type="dxa" w:w="198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98.9 (93.2-99.9)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80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PPV (95%CI)</w:t>
            </w:r>
          </w:p>
        </w:tc>
        <w:tc>
          <w:tcPr>
            <w:tcW w:type="dxa" w:w="1985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74.1 (53.4-88.1)</w:t>
            </w:r>
          </w:p>
        </w:tc>
        <w:tc>
          <w:tcPr>
            <w:tcW w:type="dxa" w:w="198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88.9 (50.7-99.4)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80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NPV (95%CI)</w:t>
            </w:r>
          </w:p>
        </w:tc>
        <w:tc>
          <w:tcPr>
            <w:tcW w:type="dxa" w:w="1985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88.4 (83.2-92.2)</w:t>
            </w:r>
          </w:p>
        </w:tc>
        <w:tc>
          <w:tcPr>
            <w:tcW w:type="dxa" w:w="198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87.4 (79.0-92.8)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80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Accuracy (95%CI)</w:t>
            </w:r>
          </w:p>
        </w:tc>
        <w:tc>
          <w:tcPr>
            <w:tcW w:type="dxa" w:w="1985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86.8 (82.5-91.1)</w:t>
            </w:r>
          </w:p>
        </w:tc>
        <w:tc>
          <w:tcPr>
            <w:tcW w:type="dxa" w:w="1984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18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87.5 (81.4-93.6)</w:t>
            </w:r>
          </w:p>
        </w:tc>
      </w:tr>
    </w:tbl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right="0" w:firstLine="0"/>
        <w:rPr>
          <w:color w:val="auto"/>
          <w:position w:val="0"/>
          <w:sz w:val="18"/>
          <w:szCs w:val="18"/>
          <w:rFonts w:ascii="Arial" w:eastAsia="Arial" w:hAnsi="Arial" w:hint="default"/>
        </w:rPr>
        <w:outlineLvl w:val="2"/>
        <w:autoSpaceDE w:val="1"/>
        <w:autoSpaceDN w:val="1"/>
      </w:pP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Abbreviations: TRN, DVT risk nomogram</w:t>
      </w:r>
      <w:r>
        <w:rPr>
          <w:color w:val="333333"/>
          <w:position w:val="0"/>
          <w:sz w:val="18"/>
          <w:szCs w:val="18"/>
          <w:rFonts w:ascii="Arial" w:eastAsia="Arial" w:hAnsi="Arial" w:hint="default"/>
        </w:rPr>
        <w:t xml:space="preserve">; DVT, deep vein thrombosis; </w:t>
      </w: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AUC, area under the curve; H-L test, </w:t>
      </w: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hosmer-lemeshow </w:t>
      </w:r>
      <w:r>
        <w:rPr>
          <w:color w:val="333333"/>
          <w:position w:val="0"/>
          <w:sz w:val="18"/>
          <w:szCs w:val="18"/>
          <w:rFonts w:ascii="Arial" w:eastAsia="Arial" w:hAnsi="Arial" w:hint="default"/>
        </w:rPr>
        <w:t xml:space="preserve">goodness of fit test</w:t>
      </w: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; PPV, positive predictive value; NPV, negative predictive value; CI, </w:t>
      </w: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confidence interval; TS, training set; VS, validation set.</w:t>
      </w:r>
    </w:p>
    <w:p>
      <w:pPr>
        <w:numPr>
          <w:ilvl w:val="0"/>
          <w:numId w:val="0"/>
        </w:numPr>
        <w:jc w:val="left"/>
        <w:shd w:val="clear" w:color="000000" w:fill="FFFFFF"/>
        <w:spacing w:lineRule="exact" w:line="240" w:before="0" w:after="90"/>
        <w:ind w:right="0" w:firstLine="0"/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outlineLvl w:val="2"/>
        <w:autoSpaceDE w:val="1"/>
        <w:autoSpaceDN w:val="1"/>
      </w:pPr>
      <w:r>
        <w:br w:type="page"/>
      </w:r>
      <w:r>
        <w:rPr>
          <w:b w:val="1"/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Appendix A5 </w:t>
      </w:r>
      <w:r>
        <w:rPr>
          <w:color w:val="000000" w:themeColor="text1"/>
          <w:position w:val="0"/>
          <w:sz w:val="24"/>
          <w:szCs w:val="24"/>
          <w:rFonts w:ascii="Arial" w:eastAsia="Arial" w:hAnsi="Arial" w:hint="default"/>
        </w:rPr>
        <w:t xml:space="preserve">The distribution of patients according to the Caprini score 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jc w:val="center"/>
        <w:tblLook w:val="0004A0" w:firstRow="1" w:lastRow="0" w:firstColumn="1" w:lastColumn="0" w:noHBand="0" w:noVBand="1"/>
        <w:tblLayout w:type="auto"/>
      </w:tblPr>
      <w:tblGrid>
        <w:gridCol w:w="1277"/>
        <w:gridCol w:w="1532"/>
        <w:gridCol w:w="1152"/>
        <w:gridCol w:w="1432"/>
        <w:gridCol w:w="1192"/>
      </w:tblGrid>
      <w:tr>
        <w:trPr>
          <w:trHeight w:hRule="atleast" w:val="397"/>
          <w:hidden w:val="0"/>
        </w:trPr>
        <w:tc>
          <w:tcPr>
            <w:tcW w:type="dxa" w:w="1277"/>
            <w:vAlign w:val="center"/>
            <w:vMerge w:val="restart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Caprini score</w:t>
            </w:r>
          </w:p>
        </w:tc>
        <w:tc>
          <w:tcPr>
            <w:tcW w:type="dxa" w:w="2684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TS</w:t>
            </w:r>
          </w:p>
        </w:tc>
        <w:tc>
          <w:tcPr>
            <w:tcW w:type="dxa" w:w="2624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VS</w:t>
            </w:r>
          </w:p>
        </w:tc>
      </w:tr>
      <w:tr>
        <w:trPr>
          <w:trHeight w:hRule="atleast" w:val="397"/>
          <w:hidden w:val="0"/>
        </w:trPr>
        <w:tc>
          <w:tcPr>
            <w:tcW w:type="dxa" w:w="1277"/>
            <w:vAlign w:val="center"/>
            <w:vMerge/>
            <w:shd w:val="clear" w:color="000000"/>
          </w:tcPr>
          <w:p/>
        </w:tc>
        <w:tc>
          <w:tcPr>
            <w:tcW w:type="dxa" w:w="15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No </w:t>
            </w: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DVT (n=198)</w:t>
            </w:r>
          </w:p>
        </w:tc>
        <w:tc>
          <w:tcPr>
            <w:tcW w:type="dxa" w:w="115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DVT (n=45)</w:t>
            </w:r>
          </w:p>
        </w:tc>
        <w:tc>
          <w:tcPr>
            <w:tcW w:type="dxa" w:w="14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No DVT (n=91)</w:t>
            </w:r>
          </w:p>
        </w:tc>
        <w:tc>
          <w:tcPr>
            <w:tcW w:type="dxa" w:w="119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Arial" w:eastAsia="Arial" w:hAnsi="Arial" w:hint="default"/>
              </w:rPr>
              <w:t xml:space="preserve">DVT (n=21)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277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5 (%)</w:t>
            </w:r>
          </w:p>
        </w:tc>
        <w:tc>
          <w:tcPr>
            <w:tcW w:type="dxa" w:w="15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36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28(14.1)</w:t>
            </w:r>
          </w:p>
        </w:tc>
        <w:tc>
          <w:tcPr>
            <w:tcW w:type="dxa" w:w="115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5 (11.1)</w:t>
            </w:r>
          </w:p>
        </w:tc>
        <w:tc>
          <w:tcPr>
            <w:tcW w:type="dxa" w:w="14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12 (13.2)</w:t>
            </w:r>
          </w:p>
        </w:tc>
        <w:tc>
          <w:tcPr>
            <w:tcW w:type="dxa" w:w="119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t xml:space="preserve">4 (19.0)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277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6 (%)</w:t>
            </w:r>
          </w:p>
        </w:tc>
        <w:tc>
          <w:tcPr>
            <w:tcW w:type="dxa" w:w="15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36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99(50.0)</w:t>
            </w:r>
          </w:p>
        </w:tc>
        <w:tc>
          <w:tcPr>
            <w:tcW w:type="dxa" w:w="115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14 (31.1)</w:t>
            </w:r>
          </w:p>
        </w:tc>
        <w:tc>
          <w:tcPr>
            <w:tcW w:type="dxa" w:w="14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40 (44.0)</w:t>
            </w:r>
          </w:p>
        </w:tc>
        <w:tc>
          <w:tcPr>
            <w:tcW w:type="dxa" w:w="119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t xml:space="preserve">6 </w:t>
            </w: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(28.6)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277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7 (%)</w:t>
            </w:r>
          </w:p>
        </w:tc>
        <w:tc>
          <w:tcPr>
            <w:tcW w:type="dxa" w:w="15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36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47(23.8)</w:t>
            </w:r>
          </w:p>
        </w:tc>
        <w:tc>
          <w:tcPr>
            <w:tcW w:type="dxa" w:w="115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20 (44.5)</w:t>
            </w:r>
          </w:p>
        </w:tc>
        <w:tc>
          <w:tcPr>
            <w:tcW w:type="dxa" w:w="14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23 (25.3)</w:t>
            </w:r>
          </w:p>
        </w:tc>
        <w:tc>
          <w:tcPr>
            <w:tcW w:type="dxa" w:w="119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t xml:space="preserve">9 </w:t>
            </w: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(42.9)</w:t>
            </w:r>
          </w:p>
        </w:tc>
      </w:tr>
      <w:tr>
        <w:trPr>
          <w:trHeight w:hRule="atleast" w:val="397"/>
          <w:hidden w:val="0"/>
        </w:trPr>
        <w:tc>
          <w:tcPr>
            <w:tcW w:type="dxa" w:w="1277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8 (%)</w:t>
            </w:r>
          </w:p>
        </w:tc>
        <w:tc>
          <w:tcPr>
            <w:tcW w:type="dxa" w:w="15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36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24(12.1)</w:t>
            </w:r>
          </w:p>
        </w:tc>
        <w:tc>
          <w:tcPr>
            <w:tcW w:type="dxa" w:w="115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6 (13.3)</w:t>
            </w:r>
          </w:p>
        </w:tc>
        <w:tc>
          <w:tcPr>
            <w:tcW w:type="dxa" w:w="143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 xml:space="preserve">16 (17.6)</w:t>
            </w:r>
          </w:p>
        </w:tc>
        <w:tc>
          <w:tcPr>
            <w:tcW w:type="dxa" w:w="1192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Arial" w:eastAsia="Arial" w:hAnsi="Arial" w:hint="default"/>
              </w:rPr>
              <w:t xml:space="preserve">2 </w:t>
            </w:r>
            <w:r>
              <w:rPr>
                <w:color w:val="231F20"/>
                <w:position w:val="0"/>
                <w:sz w:val="18"/>
                <w:szCs w:val="18"/>
                <w:rFonts w:ascii="Arial" w:eastAsia="Arial" w:hAnsi="Arial" w:hint="default"/>
              </w:rPr>
              <w:t>(9.5)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18"/>
          <w:szCs w:val="18"/>
          <w:rFonts w:ascii="Arial" w:eastAsia="Arial" w:hAnsi="Arial" w:hint="default"/>
        </w:rPr>
        <w:autoSpaceDE w:val="1"/>
        <w:autoSpaceDN w:val="1"/>
      </w:pPr>
      <w:r>
        <w:rPr>
          <w:color w:val="auto"/>
          <w:position w:val="0"/>
          <w:sz w:val="18"/>
          <w:szCs w:val="18"/>
          <w:rFonts w:ascii="Arial" w:eastAsia="Arial" w:hAnsi="Arial" w:hint="default"/>
        </w:rPr>
        <w:t xml:space="preserve">Abbreviations: DVT, deep venous thrombosis; TS, training set; VS, validation set.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等线" w:eastAsia="宋体" w:hAnsi="宋体" w:hint="default"/>
        </w:rPr>
        <w:autoSpaceDE w:val="1"/>
        <w:autoSpaceDN w:val="1"/>
      </w:pPr>
    </w:p>
    <w:sectPr>
      <w:pgSz w:w="11906" w:h="16838" w:code="9"/>
      <w:pgMar w:top="1701" w:left="1701" w:bottom="1701" w:right="1701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numPr>
        <w:ilvl w:val="0"/>
        <w:numId w:val="0"/>
      </w:numPr>
      <w:jc w:val="center"/>
      <w:spacing w:lineRule="auto" w:line="240" w:before="0" w:after="0"/>
      <w:ind w:right="0" w:firstLine="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等线" w:eastAsia="宋体" w:hAnsi="宋体" w:hint="default"/>
      </w:rPr>
      <w:snapToGrid w:val="off"/>
      <w:autoSpaceDE w:val="1"/>
      <w:autoSpaceDN w:val="1"/>
    </w:pPr>
    <w:r>
      <w:rPr>
        <w:color w:val="auto"/>
        <w:position w:val="0"/>
        <w:sz w:val="18"/>
        <w:szCs w:val="18"/>
        <w:rFonts w:ascii="等线" w:eastAsia="宋体" w:hAnsi="宋体" w:hint="default"/>
      </w:rPr>
      <w:fldChar w:fldCharType="begin"/>
    </w:r>
    <w:r>
      <w:instrText>PAGE  \* MERGEFORMAT</w:instrText>
    </w:r>
    <w:r>
      <w:fldChar w:fldCharType="separate"/>
    </w:r>
    <w:r>
      <w:rPr>
        <w:color w:val="auto"/>
        <w:position w:val="0"/>
        <w:sz w:val="18"/>
        <w:szCs w:val="18"/>
        <w:rFonts w:ascii="等线" w:eastAsia="宋体" w:hAnsi="宋体" w:hint="default"/>
      </w:rPr>
      <w:t>1</w:t>
    </w:r>
    <w:r>
      <w:rPr>
        <w:color w:val="auto"/>
        <w:position w:val="0"/>
        <w:sz w:val="18"/>
        <w:szCs w:val="18"/>
        <w:rFonts w:ascii="等线" w:eastAsia="宋体" w:hAnsi="宋体" w:hint="default"/>
      </w:rPr>
      <w:fldChar w:fldCharType="end"/>
    </w:r>
  </w:p>
  <w:p>
    <w:pPr>
      <w:pStyle w:val="PO154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等线" w:eastAsia="宋体" w:hAnsi="宋体" w:hint="default"/>
      </w:rPr>
      <w:snapToGrid w:val="off"/>
      <w:autoSpaceDE w:val="1"/>
      <w:autoSpaceDN w:val="1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numPr>
        <w:ilvl w:val="0"/>
        <w:numId w:val="0"/>
      </w:numPr>
      <w:jc w:val="center"/>
      <w:spacing w:lineRule="auto" w:line="240" w:before="0" w:after="0"/>
      <w:ind w:right="0" w:firstLine="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等线" w:eastAsia="宋体" w:hAnsi="宋体" w:hint="default"/>
      </w:rPr>
      <w:snapToGrid w:val="off"/>
      <w:autoSpaceDE w:val="1"/>
      <w:autoSpaceDN w:val="1"/>
    </w:pPr>
    <w:r>
      <w:rPr>
        <w:color w:val="auto"/>
        <w:position w:val="0"/>
        <w:sz w:val="18"/>
        <w:szCs w:val="18"/>
        <w:rFonts w:ascii="等线" w:eastAsia="宋体" w:hAnsi="宋体" w:hint="default"/>
      </w:rPr>
      <w:fldChar w:fldCharType="begin"/>
    </w:r>
    <w:r>
      <w:instrText>PAGE  \* MERGEFORMAT</w:instrText>
    </w:r>
    <w:r>
      <w:fldChar w:fldCharType="separate"/>
    </w:r>
    <w:r>
      <w:rPr>
        <w:color w:val="auto"/>
        <w:position w:val="0"/>
        <w:sz w:val="18"/>
        <w:szCs w:val="18"/>
        <w:rFonts w:ascii="等线" w:eastAsia="宋体" w:hAnsi="宋体" w:hint="default"/>
      </w:rPr>
      <w:t>6</w:t>
    </w:r>
    <w:r>
      <w:rPr>
        <w:color w:val="auto"/>
        <w:position w:val="0"/>
        <w:sz w:val="18"/>
        <w:szCs w:val="18"/>
        <w:rFonts w:ascii="等线" w:eastAsia="宋体" w:hAnsi="宋体" w:hint="default"/>
      </w:rPr>
      <w:fldChar w:fldCharType="end"/>
    </w:r>
  </w:p>
  <w:p>
    <w:pPr>
      <w:pStyle w:val="PO154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等线" w:eastAsia="宋体" w:hAnsi="宋体" w:hint="default"/>
      </w:rPr>
      <w:snapToGrid w:val="off"/>
      <w:autoSpaceDE w:val="1"/>
      <w:autoSpaceDN w:val="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multilevel"/>
    <w:nsid w:val="2F000000"/>
    <w:tmpl w:val="1F000014"/>
    <w:lvl w:ilvl="0">
      <w:lvlJc w:val="left"/>
      <w:numFmt w:val="decimal"/>
      <w:start w:val="1"/>
      <w:suff w:val="tab"/>
      <w:pPr>
        <w:ind w:left="360" w:hanging="360"/>
        <w:jc w:val="both"/>
      </w:pPr>
      <w:rPr>
        <w:rFonts w:ascii="Times New Roman" w:eastAsia="宋体" w:hAnsi="Times New Roman"/>
        <w:b/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1353" w:hanging="360"/>
        <w:jc w:val="both"/>
      </w:pPr>
      <w:rPr>
        <w:b/>
        <w:shd w:val="clear"/>
        <w:sz w:val="20"/>
        <w:szCs w:val="20"/>
        <w:w w:val="100"/>
      </w:rPr>
      <w:lvlText w:val="%1.%2"/>
    </w:lvl>
    <w:lvl w:ilvl="2">
      <w:lvlJc w:val="left"/>
      <w:numFmt w:val="decimal"/>
      <w:start w:val="1"/>
      <w:suff w:val="tab"/>
      <w:pPr>
        <w:ind w:left="2404" w:hanging="720"/>
        <w:jc w:val="both"/>
      </w:pPr>
      <w:rPr>
        <w:shd w:val="clear"/>
        <w:sz w:val="20"/>
        <w:szCs w:val="20"/>
        <w:w w:val="100"/>
      </w:rPr>
      <w:lvlText w:val="%1.%2.%3"/>
    </w:lvl>
    <w:lvl w:ilvl="3">
      <w:lvlJc w:val="left"/>
      <w:numFmt w:val="decimal"/>
      <w:start w:val="1"/>
      <w:suff w:val="tab"/>
      <w:pPr>
        <w:ind w:left="3246" w:hanging="720"/>
        <w:jc w:val="both"/>
      </w:pPr>
      <w:rPr>
        <w:shd w:val="clear"/>
        <w:sz w:val="20"/>
        <w:szCs w:val="20"/>
        <w:w w:val="100"/>
      </w:rPr>
      <w:lvlText w:val="%1.%2.%3.%4"/>
    </w:lvl>
    <w:lvl w:ilvl="4">
      <w:lvlJc w:val="left"/>
      <w:numFmt w:val="decimal"/>
      <w:start w:val="1"/>
      <w:suff w:val="tab"/>
      <w:pPr>
        <w:ind w:left="4448" w:hanging="1080"/>
        <w:jc w:val="both"/>
      </w:pPr>
      <w:rPr>
        <w:shd w:val="clear"/>
        <w:sz w:val="20"/>
        <w:szCs w:val="20"/>
        <w:w w:val="100"/>
      </w:rPr>
      <w:lvlText w:val="%1.%2.%3.%4.%5"/>
    </w:lvl>
    <w:lvl w:ilvl="5">
      <w:lvlJc w:val="left"/>
      <w:numFmt w:val="decimal"/>
      <w:start w:val="1"/>
      <w:suff w:val="tab"/>
      <w:pPr>
        <w:ind w:left="5290" w:hanging="1080"/>
        <w:jc w:val="both"/>
      </w:pPr>
      <w:rPr>
        <w:shd w:val="clear"/>
        <w:sz w:val="20"/>
        <w:szCs w:val="20"/>
        <w:w w:val="100"/>
      </w:rPr>
      <w:lvlText w:val="%1.%2.%3.%4.%5.%6"/>
    </w:lvl>
    <w:lvl w:ilvl="6">
      <w:lvlJc w:val="left"/>
      <w:numFmt w:val="decimal"/>
      <w:start w:val="1"/>
      <w:suff w:val="tab"/>
      <w:pPr>
        <w:ind w:left="6492" w:hanging="1440"/>
        <w:jc w:val="both"/>
      </w:pPr>
      <w:rPr>
        <w:shd w:val="clear"/>
        <w:sz w:val="20"/>
        <w:szCs w:val="20"/>
        <w:w w:val="100"/>
      </w:rPr>
      <w:lvlText w:val="%1.%2.%3.%4.%5.%6.%7"/>
    </w:lvl>
    <w:lvl w:ilvl="7">
      <w:lvlJc w:val="left"/>
      <w:numFmt w:val="decimal"/>
      <w:start w:val="1"/>
      <w:suff w:val="tab"/>
      <w:pPr>
        <w:ind w:left="7334" w:hanging="1440"/>
        <w:jc w:val="both"/>
      </w:pPr>
      <w:rPr>
        <w:shd w:val="clear"/>
        <w:sz w:val="20"/>
        <w:szCs w:val="20"/>
        <w:w w:val="100"/>
      </w:rPr>
      <w:lvlText w:val="%1.%2.%3.%4.%5.%6.%7.%8"/>
    </w:lvl>
    <w:lvl w:ilvl="8">
      <w:lvlJc w:val="left"/>
      <w:numFmt w:val="decimal"/>
      <w:start w:val="1"/>
      <w:suff w:val="tab"/>
      <w:pPr>
        <w:ind w:left="8536" w:hanging="1800"/>
        <w:jc w:val="both"/>
      </w:pPr>
      <w:rPr>
        <w:shd w:val="clear"/>
        <w:sz w:val="20"/>
        <w:szCs w:val="20"/>
        <w:w w:val="100"/>
      </w:rPr>
      <w:lvlText w:val="%1.%2.%3.%4.%5.%6.%7.%8.%9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等线" w:eastAsia="等线" w:hAnsi="等线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等线" w:eastAsia="宋体" w:hAnsi="等线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字符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字符"/>
    <w:basedOn w:val="PO2"/>
    <w:link w:val="PO154"/>
    <w:uiPriority w:val="155"/>
    <w:rPr>
      <w:shd w:val="clear"/>
      <w:sz w:val="18"/>
      <w:szCs w:val="18"/>
      <w:w w:val="100"/>
    </w:rPr>
  </w:style>
  <w:style w:styleId="PO156" w:type="character">
    <w:name w:val="line number"/>
    <w:basedOn w:val="PO2"/>
    <w:uiPriority w:val="156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footer" Target="footer9.xml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4624</Characters>
  <CharactersWithSpaces>0</CharactersWithSpaces>
  <Company>Microsoft</Company>
  <DocSecurity>0</DocSecurity>
  <HyperlinksChanged>false</HyperlinksChanged>
  <Lines>32</Lines>
  <LinksUpToDate>false</LinksUpToDate>
  <Pages>6</Pages>
  <Paragraphs>9</Paragraphs>
  <Words>691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chenyao</dc:creator>
  <cp:lastModifiedBy/>
  <dcterms:modified xsi:type="dcterms:W3CDTF">2021-05-31T17:30:00Z</dcterms:modified>
</cp:coreProperties>
</file>