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0D7F1" w14:textId="1DDA2498" w:rsidR="00BF5261" w:rsidRPr="00097A0F" w:rsidRDefault="00F54D88" w:rsidP="000D011B">
      <w:pPr>
        <w:spacing w:line="480" w:lineRule="auto"/>
        <w:jc w:val="center"/>
        <w:rPr>
          <w:b/>
          <w:bCs/>
        </w:rPr>
      </w:pPr>
      <w:r w:rsidRPr="00097A0F">
        <w:rPr>
          <w:b/>
          <w:bCs/>
        </w:rPr>
        <w:t>Appe</w:t>
      </w:r>
      <w:r w:rsidR="003F0D28" w:rsidRPr="00097A0F">
        <w:rPr>
          <w:b/>
          <w:bCs/>
        </w:rPr>
        <w:t>n</w:t>
      </w:r>
      <w:r w:rsidRPr="00097A0F">
        <w:rPr>
          <w:b/>
          <w:bCs/>
        </w:rPr>
        <w:t>dix</w:t>
      </w:r>
      <w:r w:rsidR="00BF5261" w:rsidRPr="00097A0F">
        <w:rPr>
          <w:b/>
          <w:bCs/>
        </w:rPr>
        <w:t xml:space="preserve"> A</w:t>
      </w:r>
    </w:p>
    <w:p w14:paraId="13549C19" w14:textId="77777777" w:rsidR="00097A0F" w:rsidRDefault="00097A0F" w:rsidP="00F3271A">
      <w:pPr>
        <w:spacing w:line="480" w:lineRule="auto"/>
      </w:pPr>
    </w:p>
    <w:p w14:paraId="6BA1EADC" w14:textId="724E0624" w:rsidR="00184B42" w:rsidRPr="00184B42" w:rsidRDefault="00184B42" w:rsidP="00F3271A">
      <w:pPr>
        <w:spacing w:line="480" w:lineRule="auto"/>
        <w:rPr>
          <w:lang w:val="en-US"/>
        </w:rPr>
      </w:pPr>
      <w:r>
        <w:t xml:space="preserve">This appendix provides a short introduction to the indices used in the study. </w:t>
      </w:r>
      <w:r w:rsidR="002254F2">
        <w:t xml:space="preserve">There are many </w:t>
      </w:r>
      <w:r w:rsidR="00F36D22">
        <w:t xml:space="preserve">good </w:t>
      </w:r>
      <w:r w:rsidR="002254F2">
        <w:t xml:space="preserve">texts that present detailed examinations of the individual types of indices including the technical properties (see e.g. </w:t>
      </w:r>
      <w:r w:rsidR="00552030" w:rsidRPr="0008330F">
        <w:rPr>
          <w:vertAlign w:val="superscript"/>
        </w:rPr>
        <w:fldChar w:fldCharType="begin"/>
      </w:r>
      <w:r w:rsidR="00552030" w:rsidRPr="0008330F">
        <w:rPr>
          <w:vertAlign w:val="superscript"/>
        </w:rPr>
        <w:instrText xml:space="preserve"> ADDIN EN.CITE &lt;EndNote&gt;&lt;Cite&gt;&lt;Author&gt;Wagstaff&lt;/Author&gt;&lt;Year&gt;1991&lt;/Year&gt;&lt;RecNum&gt;145&lt;/RecNum&gt;&lt;DisplayText&gt;(1, 2)&lt;/DisplayText&gt;&lt;record&gt;&lt;rec-number&gt;145&lt;/rec-number&gt;&lt;foreign-keys&gt;&lt;key app="EN" db-id="vv5vv92zi5wpvged2w9xvffd2taaxp52fdxr" timestamp="1618823500" guid="4f9a61d1-0e72-4e69-8c00-f8c4263a92cd"&gt;145&lt;/key&gt;&lt;/foreign-keys&gt;&lt;contributors&gt;&lt;authors&gt;&lt;author&gt;Wagstaff, Adam&lt;/author&gt;&lt;author&gt;Paci, Pierella&lt;/author&gt;&lt;author&gt;Doorslaer, Eddy Van&lt;/author&gt;&lt;/authors&gt;&lt;/contributors&gt;&lt;titles&gt;&lt;title&gt;On the measurement of inequalities in health&lt;/title&gt;&lt;secondary-title&gt;Social Science &amp;amp; Medicine&lt;/secondary-title&gt;&lt;/titles&gt;&lt;pages&gt;545-557&lt;/pages&gt;&lt;volume&gt;33&lt;/volume&gt;&lt;keywords&gt;&lt;keyword&gt;-inequalities&lt;/keyword&gt;&lt;keyword&gt;comparative research&lt;/keyword&gt;&lt;keyword&gt;in health&lt;/keyword&gt;&lt;keyword&gt;morbidity&lt;/keyword&gt;&lt;keyword&gt;mortality&lt;/keyword&gt;&lt;keyword&gt;social class&lt;/keyword&gt;&lt;/keywords&gt;&lt;dates&gt;&lt;year&gt;1991&lt;/year&gt;&lt;/dates&gt;&lt;urls&gt;&lt;/urls&gt;&lt;/record&gt;&lt;/Cite&gt;&lt;Cite&gt;&lt;Author&gt;Mackenbach&lt;/Author&gt;&lt;Year&gt;1997&lt;/Year&gt;&lt;RecNum&gt;97&lt;/RecNum&gt;&lt;record&gt;&lt;rec-number&gt;97&lt;/rec-number&gt;&lt;foreign-keys&gt;&lt;key app="EN" db-id="vv5vv92zi5wpvged2w9xvffd2taaxp52fdxr" timestamp="1618823500" guid="f4a27a4e-df9c-4f75-96da-bf7cf39e54e4"&gt;97&lt;/key&gt;&lt;/foreign-keys&gt;&lt;contributors&gt;&lt;authors&gt;&lt;author&gt;Mackenbach, Johan P.&lt;/author&gt;&lt;author&gt;Kunst, Anton E.&lt;/author&gt;&lt;/authors&gt;&lt;/contributors&gt;&lt;titles&gt;&lt;title&gt;Measuring the magnitude of socio-economic inequalities in health: An overview of available measures illustrated with two examples from Europe&lt;/title&gt;&lt;secondary-title&gt;Social Science and Medicine&lt;/secondary-title&gt;&lt;/titles&gt;&lt;pages&gt;757-771&lt;/pages&gt;&lt;volume&gt;44&lt;/volume&gt;&lt;dates&gt;&lt;year&gt;1997&lt;/year&gt;&lt;/dates&gt;&lt;urls&gt;&lt;/urls&gt;&lt;/record&gt;&lt;/Cite&gt;&lt;/EndNote&gt;</w:instrText>
      </w:r>
      <w:r w:rsidR="00552030" w:rsidRPr="0008330F">
        <w:rPr>
          <w:vertAlign w:val="superscript"/>
        </w:rPr>
        <w:fldChar w:fldCharType="separate"/>
      </w:r>
      <w:r w:rsidR="00552030" w:rsidRPr="0008330F">
        <w:rPr>
          <w:noProof/>
          <w:vertAlign w:val="superscript"/>
        </w:rPr>
        <w:t>(1, 2)</w:t>
      </w:r>
      <w:r w:rsidR="00552030" w:rsidRPr="0008330F">
        <w:rPr>
          <w:vertAlign w:val="superscript"/>
        </w:rPr>
        <w:fldChar w:fldCharType="end"/>
      </w:r>
      <w:r w:rsidR="002254F2">
        <w:t xml:space="preserve">). There are also a few texts discussing the </w:t>
      </w:r>
      <w:r w:rsidR="00F354A1">
        <w:t xml:space="preserve">different types of indices from the point of view of policy </w:t>
      </w:r>
      <w:r w:rsidR="006D4C6F" w:rsidRPr="00537E7B">
        <w:rPr>
          <w:vertAlign w:val="superscript"/>
        </w:rPr>
        <w:fldChar w:fldCharType="begin">
          <w:fldData xml:space="preserve">PEVuZE5vdGU+PENpdGU+PEF1dGhvcj5Mb3c8L0F1dGhvcj48WWVhcj4yMDA0PC9ZZWFyPjxSZWNO
dW0+MTEyPC9SZWNOdW0+PERpc3BsYXlUZXh0PigzLTYpPC9EaXNwbGF5VGV4dD48cmVjb3JkPjxy
ZWMtbnVtYmVyPjExMjwvcmVjLW51bWJlcj48Zm9yZWlnbi1rZXlzPjxrZXkgYXBwPSJFTiIgZGIt
aWQ9InZ2NXZ2OTJ6aTV3cHZnZWQydzl4dmZmZDJ0YWF4cDUyZmR4ciIgdGltZXN0YW1wPSIxNjE4
ODIzNTAwIiBndWlkPSI2NzJkOWZlYy00ZmE0LTQyZTQtOTRhMS0zMjkxOWRjZjM1YjMiPjExMjwv
a2V5PjwvZm9yZWlnbi1rZXlzPjxjb250cmlidXRvcnM+PGF1dGhvcnM+PGF1dGhvcj5Mb3csIEFu
bmU8L2F1dGhvcj48YXV0aG9yPkxvdywgQWxsYW48L2F1dGhvcj48L2F1dGhvcnM+PC9jb250cmli
dXRvcnM+PHRpdGxlcz48dGl0bGU+TWVhc3VyaW5nIHRoZSBnYXA6IFF1YW50aWZ5aW5nIGFuZCBj
b21wYXJpbmcgbG9jYWwgaGVhbHRoIGluZXF1YWxpdGllczwvdGl0bGU+PHNlY29uZGFyeS10aXRs
ZT5Kb3VybmFsIG9mIFB1YmxpYyBIZWFsdGg8L3NlY29uZGFyeS10aXRsZT48L3RpdGxlcz48cGFn
ZXM+Mzg4LTM5NTwvcGFnZXM+PHZvbHVtZT4yNjwvdm9sdW1lPjxrZXl3b3Jkcz48a2V5d29yZD5F
cXVpdHk8L2tleXdvcmQ+PGtleXdvcmQ+SGVhbHRoIGluZXF1YWxpdGllczwva2V5d29yZD48a2V5
d29yZD5NZWFzdXJlbWVudDwva2V5d29yZD48a2V5d29yZD5SZWxhdGl2ZSBnYXBzPC9rZXl3b3Jk
Pjwva2V5d29yZHM+PGRhdGVzPjx5ZWFyPjIwMDQ8L3llYXI+PC9kYXRlcz48dXJscz48L3VybHM+
PGVsZWN0cm9uaWMtcmVzb3VyY2UtbnVtPjEwLjEwOTMvcHVibWVkL2ZkaDE3NTwvZWxlY3Ryb25p
Yy1yZXNvdXJjZS1udW0+PC9yZWNvcmQ+PC9DaXRlPjxDaXRlPjxBdXRob3I+QXNhZGE8L0F1dGhv
cj48WWVhcj4yMDEwPC9ZZWFyPjxSZWNOdW0+MTkxPC9SZWNOdW0+PHJlY29yZD48cmVjLW51bWJl
cj4xOTE8L3JlYy1udW1iZXI+PGZvcmVpZ24ta2V5cz48a2V5IGFwcD0iRU4iIGRiLWlkPSJ2djV2
djkyemk1d3B2Z2VkMnc5eHZmZmQydGFheHA1MmZkeHIiIHRpbWVzdGFtcD0iMTYxODgyMzUwMCIg
Z3VpZD0iZDhkMTE2NTctNGEyMC00MzZkLWIzZmItNjRmYmRiZWJhYWRmIj4xOTE8L2tleT48L2Zv
cmVpZ24ta2V5cz48Y29udHJpYnV0b3JzPjxhdXRob3JzPjxhdXRob3I+QXNhZGEsIFl1a2lrbzwv
YXV0aG9yPjwvYXV0aG9ycz48L2NvbnRyaWJ1dG9ycz48dGl0bGVzPjx0aXRsZT5PbiB0aGUgQ2hv
aWNlIG9mIEFic29sdXRlIG9yIFJlbGF0aXZlIEluZXF1YWxpdHkgTWVhc3VyZXM8L3RpdGxlPjxz
ZWNvbmRhcnktdGl0bGU+VGhlIE1pbGJhbmsgcXVhcnRlcmx5PC9zZWNvbmRhcnktdGl0bGU+PC90
aXRsZXM+PHBhZ2VzPjYxNi02MjI8L3BhZ2VzPjx2b2x1bWU+ODg8L3ZvbHVtZT48a2V5d29yZHM+
PGtleXdvcmQ+NTc5MCB1bml2ZXJzaXR5PC9rZXl3b3JkPjxrZXl3b3JkPmFkZHJlc3MgY29ycmVz
cG9uZGVuY2UgdG88L2tleXdvcmQ+PGtleXdvcmQ+YW5kPC9rZXl3b3JkPjxrZXl3b3JkPmRhbGhv
dXNpZSB1bml2ZXJzaXR5PC9rZXl3b3JkPjxrZXl3b3JkPmRlcGFydG1lbnQgb2YgY29tbXVuaXR5
IGhlYWx0aDwva2V5d29yZD48a2V5d29yZD5lcGlkZW1pb2xvZ3k8L2tleXdvcmQ+PGtleXdvcmQ+
ZXRoaWNzPC9rZXl3b3JkPjxrZXl3b3JkPmZhY3VsdHkgb2YgbWVkaWNpbmU8L2tleXdvcmQ+PGtl
eXdvcmQ+aGVhbHRoIGluZXF1YWxpdGllczwva2V5d29yZD48a2V5d29yZD5oZWFsdGggcG9saWN5
PC9rZXl3b3JkPjxrZXl3b3JkPm1lYXN1cmVtZW50PC9rZXl3b3JkPjxrZXl3b3JkPnl1a2lrbyBh
c2FkYTwva2V5d29yZD48L2tleXdvcmRzPjxkYXRlcz48eWVhcj4yMDEwPC95ZWFyPjwvZGF0ZXM+
PHVybHM+PC91cmxzPjwvcmVjb3JkPjwvQ2l0ZT48Q2l0ZT48QXV0aG9yPktqZWxsc3NvbjwvQXV0
aG9yPjxZZWFyPjIwMTU8L1llYXI+PFJlY051bT4xNDI8L1JlY051bT48cmVjb3JkPjxyZWMtbnVt
YmVyPjE0MjwvcmVjLW51bWJlcj48Zm9yZWlnbi1rZXlzPjxrZXkgYXBwPSJFTiIgZGItaWQ9InZ2
NXZ2OTJ6aTV3cHZnZWQydzl4dmZmZDJ0YWF4cDUyZmR4ciIgdGltZXN0YW1wPSIxNjE4ODIzNTAw
IiBndWlkPSI3ODkyNDg2Yy1kYmExLTRkNmYtYWIwNi05ZDFjZDY3MDhiYWMiPjE0Mjwva2V5Pjwv
Zm9yZWlnbi1rZXlzPjxjb250cmlidXRvcnM+PGF1dGhvcnM+PGF1dGhvcj5LamVsbHNzb24sIEd1
c3RhdjwvYXV0aG9yPjxhdXRob3I+R2VyZHRoYW0sIFVsZi1nPC9hdXRob3I+PGF1dGhvcj5QZXRy
aWUsIERlbm5pczwvYXV0aG9yPjwvYXV0aG9ycz48L2NvbnRyaWJ1dG9ycz48dGl0bGVzPjx0aXRs
ZT5MaWVzLCBEYW1uZWQgTGllcywgYW5kIEhlYWx0aCBJbmVxdWFsaXR5IE1lYXN1cmVtZW50czwv
dGl0bGU+PHNlY29uZGFyeS10aXRsZT5FcGlkZW1pb2xvZ3k8L3NlY29uZGFyeS10aXRsZT48L3Rp
dGxlcz48cGVyaW9kaWNhbD48ZnVsbC10aXRsZT5FcGlkZW1pb2xvZ3k8L2Z1bGwtdGl0bGU+PC9w
ZXJpb2RpY2FsPjxwYWdlcz42NzMtNjgwPC9wYWdlcz48dm9sdW1lPjI2PC92b2x1bWU+PGRhdGVz
Pjx5ZWFyPjIwMTU8L3llYXI+PC9kYXRlcz48aXNibj4wMDAwMDAwMDAwMDAwPC9pc2JuPjx1cmxz
PjwvdXJscz48ZWxlY3Ryb25pYy1yZXNvdXJjZS1udW0+MTAuMTA5Ny9FREUuMDAwMDAwMDAwMDAw
MDMxOTwvZWxlY3Ryb25pYy1yZXNvdXJjZS1udW0+PC9yZWNvcmQ+PC9DaXRlPjxDaXRlPjxBdXRo
b3I+SGFycGVyPC9BdXRob3I+PFllYXI+MjAxMDwvWWVhcj48UmVjTnVtPjE3OTwvUmVjTnVtPjxy
ZWNvcmQ+PHJlYy1udW1iZXI+MTc5PC9yZWMtbnVtYmVyPjxmb3JlaWduLWtleXM+PGtleSBhcHA9
IkVOIiBkYi1pZD0idnY1dnY5MnppNXdwdmdlZDJ3OXh2ZmZkMnRhYXhwNTJmZHhyIiB0aW1lc3Rh
bXA9IjE2MTg4MjM1MDAiIGd1aWQ9IjdjNWNkYmFkLTAzMjUtNDQ1ZS1hMzg3LWM1ZTg0YjUyMjA4
NyI+MTc5PC9rZXk+PC9mb3JlaWduLWtleXM+PHJlZi10eXBlIG5hbWU9IkpvdXJuYWwgQXJ0aWNs
ZSI+MTc8L3JlZi10eXBlPjxjb250cmlidXRvcnM+PGF1dGhvcnM+PGF1dGhvcj5IYXJwZXIsIFMg
QSBNPC9hdXRob3I+PGF1dGhvcj5LaW5nLCBOaWNob2xhcyBCPC9hdXRob3I+PGF1dGhvcj5TdGVw
aGVuLCBDPC9hdXRob3I+PGF1dGhvcj5SZWljaG1hbiwgTWFyc2hhIEU8L2F1dGhvcj48YXV0aG9y
Pldlc3Rlcm4sIENhc2U8L2F1dGhvcj48YXV0aG9yPkNhbmNlciwgTmF0aW9uYWw8L2F1dGhvcj48
L2F1dGhvcnM+PC9jb250cmlidXRvcnM+PHRpdGxlcz48dGl0bGU+SW1wbGljaXQgVmFsdWUgSnVk
Z21lbnRzIGluIHRoZSBNZWFzdXJlbWVudCBvZiBIZWFsdGggSW5lcXVhbGl0aWVzPC90aXRsZT48
c2Vjb25kYXJ5LXRpdGxlPk1pbGJhbmsgcXVhcnRlcmx5PC9zZWNvbmRhcnktdGl0bGU+PC90aXRs
ZXM+PHBlcmlvZGljYWw+PGZ1bGwtdGl0bGU+TWlsYmFuayBxdWFydGVybHk8L2Z1bGwtdGl0bGU+
PC9wZXJpb2RpY2FsPjxwYWdlcz40LTI5PC9wYWdlcz48dm9sdW1lPjg4PC92b2x1bWU+PG51bWJl
cj4xPC9udW1iZXI+PGtleXdvcmRzPjxrZXl3b3JkPjEwMjAgcGluZSBhdmVudWUgd2VzdDwva2V5
d29yZD48a2V5d29yZD5hZGRyZXNzIGNvcnJlc3BvbmRlbmNlIHRvPC9rZXl3b3JkPjxrZXl3b3Jk
PmFuZCBvY2N1cGF0aW9uYWwgaGVhbHRoPC9rZXl3b3JkPjxrZXl3b3JkPmJpb3N0YXRpc3RpY3M8
L2tleXdvcmQ+PGtleXdvcmQ+ZGVwYXJ0bWVudCBvZiBlcGlkZW1pb2xvZ3k8L2tleXdvcmQ+PGtl
eXdvcmQ+ZXRoaWNzPC9rZXl3b3JkPjxrZXl3b3JkPmhlYWx0aCBpbmVxdWFsaXRpZXM8L2tleXdv
cmQ+PGtleXdvcmQ+aGVhbHRoIHBvbGljeTwva2V5d29yZD48a2V5d29yZD5tY2dpbGwgdW5pdmVy
c2l0eTwva2V5d29yZD48a2V5d29yZD5tZWFzdXJlbWVudDwva2V5d29yZD48a2V5d29yZD5yb29t
PC9rZXl3b3JkPjxrZXl3b3JkPnNhbSBoYXJwZXI8L2tleXdvcmQ+PC9rZXl3b3Jkcz48ZGF0ZXM+
PHllYXI+MjAxMDwveWVhcj48L2RhdGVzPjx1cmxzPjwvdXJscz48L3JlY29yZD48L0NpdGU+PC9F
bmROb3RlPn==
</w:fldData>
        </w:fldChar>
      </w:r>
      <w:r w:rsidR="005F6E58" w:rsidRPr="00537E7B">
        <w:rPr>
          <w:vertAlign w:val="superscript"/>
        </w:rPr>
        <w:instrText xml:space="preserve"> ADDIN EN.CITE </w:instrText>
      </w:r>
      <w:r w:rsidR="005F6E58" w:rsidRPr="00537E7B">
        <w:rPr>
          <w:vertAlign w:val="superscript"/>
        </w:rPr>
        <w:fldChar w:fldCharType="begin">
          <w:fldData xml:space="preserve">PEVuZE5vdGU+PENpdGU+PEF1dGhvcj5Mb3c8L0F1dGhvcj48WWVhcj4yMDA0PC9ZZWFyPjxSZWNO
dW0+MTEyPC9SZWNOdW0+PERpc3BsYXlUZXh0PigzLTYpPC9EaXNwbGF5VGV4dD48cmVjb3JkPjxy
ZWMtbnVtYmVyPjExMjwvcmVjLW51bWJlcj48Zm9yZWlnbi1rZXlzPjxrZXkgYXBwPSJFTiIgZGIt
aWQ9InZ2NXZ2OTJ6aTV3cHZnZWQydzl4dmZmZDJ0YWF4cDUyZmR4ciIgdGltZXN0YW1wPSIxNjE4
ODIzNTAwIiBndWlkPSI2NzJkOWZlYy00ZmE0LTQyZTQtOTRhMS0zMjkxOWRjZjM1YjMiPjExMjwv
a2V5PjwvZm9yZWlnbi1rZXlzPjxjb250cmlidXRvcnM+PGF1dGhvcnM+PGF1dGhvcj5Mb3csIEFu
bmU8L2F1dGhvcj48YXV0aG9yPkxvdywgQWxsYW48L2F1dGhvcj48L2F1dGhvcnM+PC9jb250cmli
dXRvcnM+PHRpdGxlcz48dGl0bGU+TWVhc3VyaW5nIHRoZSBnYXA6IFF1YW50aWZ5aW5nIGFuZCBj
b21wYXJpbmcgbG9jYWwgaGVhbHRoIGluZXF1YWxpdGllczwvdGl0bGU+PHNlY29uZGFyeS10aXRs
ZT5Kb3VybmFsIG9mIFB1YmxpYyBIZWFsdGg8L3NlY29uZGFyeS10aXRsZT48L3RpdGxlcz48cGFn
ZXM+Mzg4LTM5NTwvcGFnZXM+PHZvbHVtZT4yNjwvdm9sdW1lPjxrZXl3b3Jkcz48a2V5d29yZD5F
cXVpdHk8L2tleXdvcmQ+PGtleXdvcmQ+SGVhbHRoIGluZXF1YWxpdGllczwva2V5d29yZD48a2V5
d29yZD5NZWFzdXJlbWVudDwva2V5d29yZD48a2V5d29yZD5SZWxhdGl2ZSBnYXBzPC9rZXl3b3Jk
Pjwva2V5d29yZHM+PGRhdGVzPjx5ZWFyPjIwMDQ8L3llYXI+PC9kYXRlcz48dXJscz48L3VybHM+
PGVsZWN0cm9uaWMtcmVzb3VyY2UtbnVtPjEwLjEwOTMvcHVibWVkL2ZkaDE3NTwvZWxlY3Ryb25p
Yy1yZXNvdXJjZS1udW0+PC9yZWNvcmQ+PC9DaXRlPjxDaXRlPjxBdXRob3I+QXNhZGE8L0F1dGhv
cj48WWVhcj4yMDEwPC9ZZWFyPjxSZWNOdW0+MTkxPC9SZWNOdW0+PHJlY29yZD48cmVjLW51bWJl
cj4xOTE8L3JlYy1udW1iZXI+PGZvcmVpZ24ta2V5cz48a2V5IGFwcD0iRU4iIGRiLWlkPSJ2djV2
djkyemk1d3B2Z2VkMnc5eHZmZmQydGFheHA1MmZkeHIiIHRpbWVzdGFtcD0iMTYxODgyMzUwMCIg
Z3VpZD0iZDhkMTE2NTctNGEyMC00MzZkLWIzZmItNjRmYmRiZWJhYWRmIj4xOTE8L2tleT48L2Zv
cmVpZ24ta2V5cz48Y29udHJpYnV0b3JzPjxhdXRob3JzPjxhdXRob3I+QXNhZGEsIFl1a2lrbzwv
YXV0aG9yPjwvYXV0aG9ycz48L2NvbnRyaWJ1dG9ycz48dGl0bGVzPjx0aXRsZT5PbiB0aGUgQ2hv
aWNlIG9mIEFic29sdXRlIG9yIFJlbGF0aXZlIEluZXF1YWxpdHkgTWVhc3VyZXM8L3RpdGxlPjxz
ZWNvbmRhcnktdGl0bGU+VGhlIE1pbGJhbmsgcXVhcnRlcmx5PC9zZWNvbmRhcnktdGl0bGU+PC90
aXRsZXM+PHBhZ2VzPjYxNi02MjI8L3BhZ2VzPjx2b2x1bWU+ODg8L3ZvbHVtZT48a2V5d29yZHM+
PGtleXdvcmQ+NTc5MCB1bml2ZXJzaXR5PC9rZXl3b3JkPjxrZXl3b3JkPmFkZHJlc3MgY29ycmVz
cG9uZGVuY2UgdG88L2tleXdvcmQ+PGtleXdvcmQ+YW5kPC9rZXl3b3JkPjxrZXl3b3JkPmRhbGhv
dXNpZSB1bml2ZXJzaXR5PC9rZXl3b3JkPjxrZXl3b3JkPmRlcGFydG1lbnQgb2YgY29tbXVuaXR5
IGhlYWx0aDwva2V5d29yZD48a2V5d29yZD5lcGlkZW1pb2xvZ3k8L2tleXdvcmQ+PGtleXdvcmQ+
ZXRoaWNzPC9rZXl3b3JkPjxrZXl3b3JkPmZhY3VsdHkgb2YgbWVkaWNpbmU8L2tleXdvcmQ+PGtl
eXdvcmQ+aGVhbHRoIGluZXF1YWxpdGllczwva2V5d29yZD48a2V5d29yZD5oZWFsdGggcG9saWN5
PC9rZXl3b3JkPjxrZXl3b3JkPm1lYXN1cmVtZW50PC9rZXl3b3JkPjxrZXl3b3JkPnl1a2lrbyBh
c2FkYTwva2V5d29yZD48L2tleXdvcmRzPjxkYXRlcz48eWVhcj4yMDEwPC95ZWFyPjwvZGF0ZXM+
PHVybHM+PC91cmxzPjwvcmVjb3JkPjwvQ2l0ZT48Q2l0ZT48QXV0aG9yPktqZWxsc3NvbjwvQXV0
aG9yPjxZZWFyPjIwMTU8L1llYXI+PFJlY051bT4xNDI8L1JlY051bT48cmVjb3JkPjxyZWMtbnVt
YmVyPjE0MjwvcmVjLW51bWJlcj48Zm9yZWlnbi1rZXlzPjxrZXkgYXBwPSJFTiIgZGItaWQ9InZ2
NXZ2OTJ6aTV3cHZnZWQydzl4dmZmZDJ0YWF4cDUyZmR4ciIgdGltZXN0YW1wPSIxNjE4ODIzNTAw
IiBndWlkPSI3ODkyNDg2Yy1kYmExLTRkNmYtYWIwNi05ZDFjZDY3MDhiYWMiPjE0Mjwva2V5Pjwv
Zm9yZWlnbi1rZXlzPjxjb250cmlidXRvcnM+PGF1dGhvcnM+PGF1dGhvcj5LamVsbHNzb24sIEd1
c3RhdjwvYXV0aG9yPjxhdXRob3I+R2VyZHRoYW0sIFVsZi1nPC9hdXRob3I+PGF1dGhvcj5QZXRy
aWUsIERlbm5pczwvYXV0aG9yPjwvYXV0aG9ycz48L2NvbnRyaWJ1dG9ycz48dGl0bGVzPjx0aXRs
ZT5MaWVzLCBEYW1uZWQgTGllcywgYW5kIEhlYWx0aCBJbmVxdWFsaXR5IE1lYXN1cmVtZW50czwv
dGl0bGU+PHNlY29uZGFyeS10aXRsZT5FcGlkZW1pb2xvZ3k8L3NlY29uZGFyeS10aXRsZT48L3Rp
dGxlcz48cGVyaW9kaWNhbD48ZnVsbC10aXRsZT5FcGlkZW1pb2xvZ3k8L2Z1bGwtdGl0bGU+PC9w
ZXJpb2RpY2FsPjxwYWdlcz42NzMtNjgwPC9wYWdlcz48dm9sdW1lPjI2PC92b2x1bWU+PGRhdGVz
Pjx5ZWFyPjIwMTU8L3llYXI+PC9kYXRlcz48aXNibj4wMDAwMDAwMDAwMDAwPC9pc2JuPjx1cmxz
PjwvdXJscz48ZWxlY3Ryb25pYy1yZXNvdXJjZS1udW0+MTAuMTA5Ny9FREUuMDAwMDAwMDAwMDAw
MDMxOTwvZWxlY3Ryb25pYy1yZXNvdXJjZS1udW0+PC9yZWNvcmQ+PC9DaXRlPjxDaXRlPjxBdXRo
b3I+SGFycGVyPC9BdXRob3I+PFllYXI+MjAxMDwvWWVhcj48UmVjTnVtPjE3OTwvUmVjTnVtPjxy
ZWNvcmQ+PHJlYy1udW1iZXI+MTc5PC9yZWMtbnVtYmVyPjxmb3JlaWduLWtleXM+PGtleSBhcHA9
IkVOIiBkYi1pZD0idnY1dnY5MnppNXdwdmdlZDJ3OXh2ZmZkMnRhYXhwNTJmZHhyIiB0aW1lc3Rh
bXA9IjE2MTg4MjM1MDAiIGd1aWQ9IjdjNWNkYmFkLTAzMjUtNDQ1ZS1hMzg3LWM1ZTg0YjUyMjA4
NyI+MTc5PC9rZXk+PC9mb3JlaWduLWtleXM+PHJlZi10eXBlIG5hbWU9IkpvdXJuYWwgQXJ0aWNs
ZSI+MTc8L3JlZi10eXBlPjxjb250cmlidXRvcnM+PGF1dGhvcnM+PGF1dGhvcj5IYXJwZXIsIFMg
QSBNPC9hdXRob3I+PGF1dGhvcj5LaW5nLCBOaWNob2xhcyBCPC9hdXRob3I+PGF1dGhvcj5TdGVw
aGVuLCBDPC9hdXRob3I+PGF1dGhvcj5SZWljaG1hbiwgTWFyc2hhIEU8L2F1dGhvcj48YXV0aG9y
Pldlc3Rlcm4sIENhc2U8L2F1dGhvcj48YXV0aG9yPkNhbmNlciwgTmF0aW9uYWw8L2F1dGhvcj48
L2F1dGhvcnM+PC9jb250cmlidXRvcnM+PHRpdGxlcz48dGl0bGU+SW1wbGljaXQgVmFsdWUgSnVk
Z21lbnRzIGluIHRoZSBNZWFzdXJlbWVudCBvZiBIZWFsdGggSW5lcXVhbGl0aWVzPC90aXRsZT48
c2Vjb25kYXJ5LXRpdGxlPk1pbGJhbmsgcXVhcnRlcmx5PC9zZWNvbmRhcnktdGl0bGU+PC90aXRs
ZXM+PHBlcmlvZGljYWw+PGZ1bGwtdGl0bGU+TWlsYmFuayBxdWFydGVybHk8L2Z1bGwtdGl0bGU+
PC9wZXJpb2RpY2FsPjxwYWdlcz40LTI5PC9wYWdlcz48dm9sdW1lPjg4PC92b2x1bWU+PG51bWJl
cj4xPC9udW1iZXI+PGtleXdvcmRzPjxrZXl3b3JkPjEwMjAgcGluZSBhdmVudWUgd2VzdDwva2V5
d29yZD48a2V5d29yZD5hZGRyZXNzIGNvcnJlc3BvbmRlbmNlIHRvPC9rZXl3b3JkPjxrZXl3b3Jk
PmFuZCBvY2N1cGF0aW9uYWwgaGVhbHRoPC9rZXl3b3JkPjxrZXl3b3JkPmJpb3N0YXRpc3RpY3M8
L2tleXdvcmQ+PGtleXdvcmQ+ZGVwYXJ0bWVudCBvZiBlcGlkZW1pb2xvZ3k8L2tleXdvcmQ+PGtl
eXdvcmQ+ZXRoaWNzPC9rZXl3b3JkPjxrZXl3b3JkPmhlYWx0aCBpbmVxdWFsaXRpZXM8L2tleXdv
cmQ+PGtleXdvcmQ+aGVhbHRoIHBvbGljeTwva2V5d29yZD48a2V5d29yZD5tY2dpbGwgdW5pdmVy
c2l0eTwva2V5d29yZD48a2V5d29yZD5tZWFzdXJlbWVudDwva2V5d29yZD48a2V5d29yZD5yb29t
PC9rZXl3b3JkPjxrZXl3b3JkPnNhbSBoYXJwZXI8L2tleXdvcmQ+PC9rZXl3b3Jkcz48ZGF0ZXM+
PHllYXI+MjAxMDwveWVhcj48L2RhdGVzPjx1cmxzPjwvdXJscz48L3JlY29yZD48L0NpdGU+PC9F
bmROb3RlPn==
</w:fldData>
        </w:fldChar>
      </w:r>
      <w:r w:rsidR="005F6E58" w:rsidRPr="00537E7B">
        <w:rPr>
          <w:vertAlign w:val="superscript"/>
        </w:rPr>
        <w:instrText xml:space="preserve"> ADDIN EN.CITE.DATA </w:instrText>
      </w:r>
      <w:r w:rsidR="005F6E58" w:rsidRPr="00537E7B">
        <w:rPr>
          <w:vertAlign w:val="superscript"/>
        </w:rPr>
      </w:r>
      <w:r w:rsidR="005F6E58" w:rsidRPr="00537E7B">
        <w:rPr>
          <w:vertAlign w:val="superscript"/>
        </w:rPr>
        <w:fldChar w:fldCharType="end"/>
      </w:r>
      <w:r w:rsidR="006D4C6F" w:rsidRPr="00537E7B">
        <w:rPr>
          <w:vertAlign w:val="superscript"/>
        </w:rPr>
      </w:r>
      <w:r w:rsidR="006D4C6F" w:rsidRPr="00537E7B">
        <w:rPr>
          <w:vertAlign w:val="superscript"/>
        </w:rPr>
        <w:fldChar w:fldCharType="separate"/>
      </w:r>
      <w:r w:rsidR="00E42A36" w:rsidRPr="00537E7B">
        <w:rPr>
          <w:noProof/>
          <w:vertAlign w:val="superscript"/>
        </w:rPr>
        <w:t>(3-6)</w:t>
      </w:r>
      <w:r w:rsidR="006D4C6F" w:rsidRPr="00537E7B">
        <w:rPr>
          <w:vertAlign w:val="superscript"/>
        </w:rPr>
        <w:fldChar w:fldCharType="end"/>
      </w:r>
      <w:r w:rsidR="00F3271A">
        <w:t>.</w:t>
      </w:r>
      <w:r w:rsidR="00F354A1">
        <w:t xml:space="preserve"> </w:t>
      </w:r>
      <w:r w:rsidR="00F36D22">
        <w:t>For the present context of socioeconomic position-related inequality in health, a</w:t>
      </w:r>
      <w:r w:rsidR="00F354A1">
        <w:t xml:space="preserve">ll indices </w:t>
      </w:r>
      <w:r w:rsidR="00F36D22">
        <w:t xml:space="preserve">are </w:t>
      </w:r>
      <w:r w:rsidR="00F354A1">
        <w:t xml:space="preserve">constructed from two </w:t>
      </w:r>
      <w:r w:rsidR="00F36D22">
        <w:t>measures</w:t>
      </w:r>
      <w:r w:rsidR="00F354A1">
        <w:t>: socioeconomic position (</w:t>
      </w:r>
      <w:r w:rsidR="00F36D22">
        <w:t>hereafter we refer to income for simplicity</w:t>
      </w:r>
      <w:r w:rsidR="00F354A1">
        <w:t>) and health</w:t>
      </w:r>
      <w:r w:rsidR="00F36D22">
        <w:t>,</w:t>
      </w:r>
      <w:r w:rsidR="00F354A1">
        <w:t xml:space="preserve"> whether measured as ill health or good health.</w:t>
      </w:r>
    </w:p>
    <w:p w14:paraId="3B5DB337" w14:textId="34AD2998" w:rsidR="00BF5261" w:rsidRPr="001E5047" w:rsidRDefault="00184B42" w:rsidP="000D011B">
      <w:pPr>
        <w:spacing w:line="480" w:lineRule="auto"/>
      </w:pPr>
      <w:r>
        <w:t xml:space="preserve">  </w:t>
      </w:r>
    </w:p>
    <w:p w14:paraId="2308F0CA" w14:textId="77777777" w:rsidR="00BF5261" w:rsidRPr="001E5047" w:rsidRDefault="00BF5261" w:rsidP="000D011B">
      <w:pPr>
        <w:tabs>
          <w:tab w:val="left" w:pos="284"/>
          <w:tab w:val="left" w:pos="426"/>
          <w:tab w:val="left" w:pos="1134"/>
        </w:tabs>
        <w:spacing w:line="480" w:lineRule="auto"/>
        <w:rPr>
          <w:i/>
        </w:rPr>
      </w:pPr>
      <w:r w:rsidRPr="001E5047">
        <w:rPr>
          <w:i/>
        </w:rPr>
        <w:t xml:space="preserve">Concentration indices  </w:t>
      </w:r>
    </w:p>
    <w:p w14:paraId="41EDC5B4" w14:textId="6D1D9FB4" w:rsidR="003E1690" w:rsidRDefault="00D20901" w:rsidP="00FB7250">
      <w:pPr>
        <w:spacing w:line="480" w:lineRule="auto"/>
      </w:pPr>
      <w:r>
        <w:t xml:space="preserve">Concentration indices quantify the inequality in one variable over the distribution of another, e.g., whether good health is concentrated in the poor or rich end of the income distribution. Concentration indices were first </w:t>
      </w:r>
      <w:r w:rsidR="007C5A43">
        <w:t>used</w:t>
      </w:r>
      <w:r>
        <w:t xml:space="preserve"> in economics where they were used to analyse tax progressivity</w:t>
      </w:r>
      <w:r w:rsidR="00537E7B">
        <w:t xml:space="preserve"> </w:t>
      </w:r>
      <w:r w:rsidR="00FA19B1" w:rsidRPr="00537E7B">
        <w:rPr>
          <w:vertAlign w:val="superscript"/>
        </w:rPr>
        <w:fldChar w:fldCharType="begin"/>
      </w:r>
      <w:r w:rsidR="00CC4EF1" w:rsidRPr="00537E7B">
        <w:rPr>
          <w:vertAlign w:val="superscript"/>
        </w:rPr>
        <w:instrText xml:space="preserve"> ADDIN EN.CITE &lt;EndNote&gt;&lt;Cite&gt;&lt;Author&gt;Kakwani&lt;/Author&gt;&lt;Year&gt;1977&lt;/Year&gt;&lt;RecNum&gt;653&lt;/RecNum&gt;&lt;DisplayText&gt;(7)&lt;/DisplayText&gt;&lt;record&gt;&lt;rec-number&gt;653&lt;/rec-number&gt;&lt;foreign-keys&gt;&lt;key app="EN" db-id="vv5vv92zi5wpvged2w9xvffd2taaxp52fdxr" timestamp="1626372559" guid="adf8fdc5-6409-4967-be0b-1b64056ba21c"&gt;653&lt;/key&gt;&lt;/foreign-keys&gt;&lt;ref-type name="Journal Article"&gt;17&lt;/ref-type&gt;&lt;contributors&gt;&lt;authors&gt;&lt;author&gt;Kakwani, Nanok C.&lt;/author&gt;&lt;/authors&gt;&lt;/contributors&gt;&lt;titles&gt;&lt;title&gt;Measurement of Tax Progressivity: An International Comparison&lt;/title&gt;&lt;secondary-title&gt;Economic Journal&lt;/secondary-title&gt;&lt;/titles&gt;&lt;periodical&gt;&lt;full-title&gt;Economic Journal&lt;/full-title&gt;&lt;/periodical&gt;&lt;pages&gt;71-80&lt;/pages&gt;&lt;volume&gt;87&lt;/volume&gt;&lt;number&gt;345&lt;/number&gt;&lt;dates&gt;&lt;year&gt;1977&lt;/year&gt;&lt;/dates&gt;&lt;urls&gt;&lt;related-urls&gt;&lt;url&gt;https://EconPapers.repec.org/RePEc:ecj:econjl:v:87:y:1977:i:345:p:71-80&lt;/url&gt;&lt;/related-urls&gt;&lt;/urls&gt;&lt;/record&gt;&lt;/Cite&gt;&lt;/EndNote&gt;</w:instrText>
      </w:r>
      <w:r w:rsidR="00FA19B1" w:rsidRPr="00537E7B">
        <w:rPr>
          <w:vertAlign w:val="superscript"/>
        </w:rPr>
        <w:fldChar w:fldCharType="separate"/>
      </w:r>
      <w:r w:rsidR="00FA19B1" w:rsidRPr="00537E7B">
        <w:rPr>
          <w:noProof/>
          <w:vertAlign w:val="superscript"/>
        </w:rPr>
        <w:t>(7)</w:t>
      </w:r>
      <w:r w:rsidR="00FA19B1" w:rsidRPr="00537E7B">
        <w:rPr>
          <w:vertAlign w:val="superscript"/>
        </w:rPr>
        <w:fldChar w:fldCharType="end"/>
      </w:r>
      <w:r w:rsidR="00004553">
        <w:t xml:space="preserve"> </w:t>
      </w:r>
      <w:r>
        <w:t xml:space="preserve">but over the past couple of decades application has emerged to health </w:t>
      </w:r>
      <w:r w:rsidR="00004553" w:rsidRPr="00537E7B">
        <w:rPr>
          <w:vertAlign w:val="superscript"/>
        </w:rPr>
        <w:fldChar w:fldCharType="begin"/>
      </w:r>
      <w:r w:rsidR="00CC4EF1" w:rsidRPr="00537E7B">
        <w:rPr>
          <w:vertAlign w:val="superscript"/>
        </w:rPr>
        <w:instrText xml:space="preserve"> ADDIN EN.CITE &lt;EndNote&gt;&lt;Cite&gt;&lt;Author&gt;O&amp;apos;Donnell&lt;/Author&gt;&lt;Year&gt;2008&lt;/Year&gt;&lt;RecNum&gt;654&lt;/RecNum&gt;&lt;DisplayText&gt;(8)&lt;/DisplayText&gt;&lt;record&gt;&lt;rec-number&gt;654&lt;/rec-number&gt;&lt;foreign-keys&gt;&lt;key app="EN" db-id="vv5vv92zi5wpvged2w9xvffd2taaxp52fdxr" timestamp="1626372755" guid="cc51f91c-c9cf-47be-88af-fad09c65fdb8"&gt;654&lt;/key&gt;&lt;/foreign-keys&gt;&lt;ref-type name="Book"&gt;6&lt;/ref-type&gt;&lt;contributors&gt;&lt;authors&gt;&lt;author&gt;O&amp;apos;Donnell, Owen&lt;/author&gt;&lt;author&gt;van Doorslaer, Eddy&lt;/author&gt;&lt;author&gt;Wagstaff, Adam&lt;/author&gt;&lt;author&gt;Lindelow, Magnus&lt;/author&gt;&lt;/authors&gt;&lt;/contributors&gt;&lt;titles&gt;&lt;title&gt;Analyzing Health Equity Using Household Survey Data&lt;/title&gt;&lt;/titles&gt;&lt;dates&gt;&lt;year&gt;2008&lt;/year&gt;&lt;/dates&gt;&lt;pub-location&gt;Washington, DC&lt;/pub-location&gt;&lt;publisher&gt;World Bank Institute&lt;/publisher&gt;&lt;urls&gt;&lt;related-urls&gt;&lt;url&gt;https://elibrary.worldbank.org/doi/abs/10.1596/978-0-8213-6933-3&lt;/url&gt;&lt;/related-urls&gt;&lt;/urls&gt;&lt;electronic-resource-num&gt;10.1596/978-0-8213-6933-3&lt;/electronic-resource-num&gt;&lt;/record&gt;&lt;/Cite&gt;&lt;/EndNote&gt;</w:instrText>
      </w:r>
      <w:r w:rsidR="00004553" w:rsidRPr="00537E7B">
        <w:rPr>
          <w:vertAlign w:val="superscript"/>
        </w:rPr>
        <w:fldChar w:fldCharType="separate"/>
      </w:r>
      <w:r w:rsidR="00004553" w:rsidRPr="00537E7B">
        <w:rPr>
          <w:noProof/>
          <w:vertAlign w:val="superscript"/>
        </w:rPr>
        <w:t>(8)</w:t>
      </w:r>
      <w:r w:rsidR="00004553" w:rsidRPr="00537E7B">
        <w:rPr>
          <w:vertAlign w:val="superscript"/>
        </w:rPr>
        <w:fldChar w:fldCharType="end"/>
      </w:r>
      <w:r>
        <w:t>. There are many variants of the concentration index</w:t>
      </w:r>
      <w:r w:rsidR="003E1690">
        <w:t xml:space="preserve"> whose relevance depend</w:t>
      </w:r>
      <w:r w:rsidR="009961CC">
        <w:t>s</w:t>
      </w:r>
      <w:r w:rsidR="003E1690">
        <w:t xml:space="preserve"> on the scale of the inequality measure (e.g. dichotomous or continuous, bounded or unbounded etc.) and the more ideological stand on what inequality is (e.g. absolute versus relative goals)</w:t>
      </w:r>
      <w:r w:rsidR="00537E7B">
        <w:t xml:space="preserve"> </w:t>
      </w:r>
      <w:r w:rsidR="00F62CFE" w:rsidRPr="00537E7B">
        <w:rPr>
          <w:vertAlign w:val="superscript"/>
        </w:rPr>
        <w:fldChar w:fldCharType="begin"/>
      </w:r>
      <w:r w:rsidR="00F62CFE" w:rsidRPr="00537E7B">
        <w:rPr>
          <w:vertAlign w:val="superscript"/>
        </w:rPr>
        <w:instrText xml:space="preserve"> ADDIN EN.CITE &lt;EndNote&gt;&lt;Cite&gt;&lt;Author&gt;Erreygers&lt;/Author&gt;&lt;Year&gt;2011&lt;/Year&gt;&lt;RecNum&gt;127&lt;/RecNum&gt;&lt;DisplayText&gt;(9)&lt;/DisplayText&gt;&lt;record&gt;&lt;rec-number&gt;127&lt;/rec-number&gt;&lt;foreign-keys&gt;&lt;key app="EN" db-id="vv5vv92zi5wpvged2w9xvffd2taaxp52fdxr" timestamp="1618823500" guid="0b3b7b09-98dd-4a9f-a307-ff9e1447b391"&gt;127&lt;/key&gt;&lt;/foreign-keys&gt;&lt;contributors&gt;&lt;authors&gt;&lt;author&gt;Erreygers, Guido&lt;/author&gt;&lt;author&gt;Ourti, Tom Van&lt;/author&gt;&lt;/authors&gt;&lt;/contributors&gt;&lt;titles&gt;&lt;title&gt;Measuring socioeconomic inequality in health , health care and health financing by means of rank-dependent indices : A recipe for good practice&lt;/title&gt;&lt;secondary-title&gt;Journal of Health Economics&lt;/secondary-title&gt;&lt;/titles&gt;&lt;pages&gt;685-694&lt;/pages&gt;&lt;volume&gt;30&lt;/volume&gt;&lt;dates&gt;&lt;year&gt;2011&lt;/year&gt;&lt;/dates&gt;&lt;publisher&gt;Elsevier B.V.&lt;/publisher&gt;&lt;urls&gt;&lt;/urls&gt;&lt;electronic-resource-num&gt;10.1016/j.jhealeco.2011.04.004&lt;/electronic-resource-num&gt;&lt;/record&gt;&lt;/Cite&gt;&lt;/EndNote&gt;</w:instrText>
      </w:r>
      <w:r w:rsidR="00F62CFE" w:rsidRPr="00537E7B">
        <w:rPr>
          <w:vertAlign w:val="superscript"/>
        </w:rPr>
        <w:fldChar w:fldCharType="separate"/>
      </w:r>
      <w:r w:rsidR="00F62CFE" w:rsidRPr="00537E7B">
        <w:rPr>
          <w:noProof/>
          <w:vertAlign w:val="superscript"/>
        </w:rPr>
        <w:t>(9)</w:t>
      </w:r>
      <w:r w:rsidR="00F62CFE" w:rsidRPr="00537E7B">
        <w:rPr>
          <w:vertAlign w:val="superscript"/>
        </w:rPr>
        <w:fldChar w:fldCharType="end"/>
      </w:r>
      <w:r w:rsidR="003E1690">
        <w:t>.</w:t>
      </w:r>
    </w:p>
    <w:p w14:paraId="2A64C417" w14:textId="77777777" w:rsidR="003E1690" w:rsidRDefault="003E1690" w:rsidP="00FB7250">
      <w:pPr>
        <w:spacing w:line="480" w:lineRule="auto"/>
      </w:pPr>
    </w:p>
    <w:p w14:paraId="4EC9D3B6" w14:textId="64335FC9" w:rsidR="009961CC" w:rsidRDefault="009961CC" w:rsidP="00FB7250">
      <w:pPr>
        <w:spacing w:line="480" w:lineRule="auto"/>
      </w:pPr>
      <w:r>
        <w:t xml:space="preserve">When the cumulative proportion of health is plotted against the cumulative proportion of the population ranked by </w:t>
      </w:r>
      <w:r w:rsidR="007C5A43">
        <w:t>income</w:t>
      </w:r>
      <w:r>
        <w:t>, the 45</w:t>
      </w:r>
      <w:r>
        <w:sym w:font="Symbol" w:char="F0B0"/>
      </w:r>
      <w:r>
        <w:t xml:space="preserve"> line represents </w:t>
      </w:r>
      <w:r w:rsidR="007C5A43">
        <w:t>income</w:t>
      </w:r>
      <w:r>
        <w:t>-related health equality. Any deviation from the 45</w:t>
      </w:r>
      <w:r>
        <w:sym w:font="Symbol" w:char="F0B0"/>
      </w:r>
      <w:r>
        <w:t xml:space="preserve"> line represents inequality, whether the concentration curve lies above (health is concentrated on higher </w:t>
      </w:r>
      <w:r w:rsidR="007C5A43">
        <w:t>income individuals</w:t>
      </w:r>
      <w:r>
        <w:t xml:space="preserve">) or below (health is concentrated on lower </w:t>
      </w:r>
      <w:r w:rsidR="007C5A43">
        <w:t>income individuals</w:t>
      </w:r>
      <w:r>
        <w:t xml:space="preserve">). </w:t>
      </w:r>
    </w:p>
    <w:p w14:paraId="3668C1E4" w14:textId="6BE325DC" w:rsidR="009961CC" w:rsidRDefault="009961CC" w:rsidP="00FB7250">
      <w:pPr>
        <w:spacing w:line="480" w:lineRule="auto"/>
      </w:pPr>
    </w:p>
    <w:p w14:paraId="630729EB" w14:textId="60DB388C" w:rsidR="0007737A" w:rsidRDefault="009961CC" w:rsidP="00FB7250">
      <w:pPr>
        <w:spacing w:line="480" w:lineRule="auto"/>
      </w:pPr>
      <w:r>
        <w:lastRenderedPageBreak/>
        <w:t>The formal definition</w:t>
      </w:r>
      <w:r w:rsidR="0007737A">
        <w:t xml:space="preserve"> of the </w:t>
      </w:r>
      <w:r w:rsidR="00C51C46">
        <w:t xml:space="preserve">standard </w:t>
      </w:r>
      <w:r w:rsidR="0007737A">
        <w:t xml:space="preserve">concentration index </w:t>
      </w:r>
      <m:oMath>
        <m:r>
          <w:rPr>
            <w:rFonts w:ascii="Cambria Math" w:hAnsi="Cambria Math"/>
          </w:rPr>
          <m:t>C</m:t>
        </m:r>
      </m:oMath>
      <w:r w:rsidR="00C51C46">
        <w:t xml:space="preserve"> is</w:t>
      </w:r>
    </w:p>
    <w:p w14:paraId="55154054" w14:textId="77777777" w:rsidR="00F36D22" w:rsidRDefault="00F36D22" w:rsidP="00FB7250">
      <w:pPr>
        <w:spacing w:line="480" w:lineRule="auto"/>
      </w:pPr>
    </w:p>
    <w:p w14:paraId="611A3BE9" w14:textId="7FF80AF6" w:rsidR="009961CC" w:rsidRDefault="0007737A" w:rsidP="00BD4A88">
      <w:pPr>
        <w:spacing w:line="480" w:lineRule="auto"/>
        <w:jc w:val="center"/>
      </w:pPr>
      <m:oMathPara>
        <m:oMath>
          <m:r>
            <w:rPr>
              <w:rFonts w:ascii="Cambria Math" w:hAnsi="Cambria Math"/>
            </w:rPr>
            <m:t>C</m:t>
          </m:r>
          <m:d>
            <m:dPr>
              <m:ctrlPr>
                <w:rPr>
                  <w:rFonts w:ascii="Cambria Math" w:hAnsi="Cambria Math"/>
                  <w:i/>
                </w:rPr>
              </m:ctrlPr>
            </m:dPr>
            <m:e>
              <m:r>
                <w:rPr>
                  <w:rFonts w:ascii="Cambria Math" w:hAnsi="Cambria Math"/>
                </w:rPr>
                <m:t>h</m:t>
              </m:r>
            </m:e>
            <m:e>
              <m:r>
                <w:rPr>
                  <w:rFonts w:ascii="Cambria Math" w:hAnsi="Cambria Math"/>
                </w:rPr>
                <m:t>y</m:t>
              </m:r>
            </m:e>
          </m:d>
          <m:r>
            <w:rPr>
              <w:rFonts w:ascii="Cambria Math" w:hAnsi="Cambria Math"/>
            </w:rPr>
            <m:t>=</m:t>
          </m:r>
          <m:sSub>
            <m:sSubPr>
              <m:ctrlPr>
                <w:rPr>
                  <w:rFonts w:ascii="Cambria Math" w:hAnsi="Cambria Math"/>
                </w:rPr>
              </m:ctrlPr>
            </m:sSubPr>
            <m:e>
              <m:f>
                <m:fPr>
                  <m:ctrlPr>
                    <w:rPr>
                      <w:rFonts w:ascii="Cambria Math" w:hAnsi="Cambria Math"/>
                      <w:i/>
                    </w:rPr>
                  </m:ctrlPr>
                </m:fPr>
                <m:num>
                  <m:r>
                    <m:rPr>
                      <m:sty m:val="p"/>
                    </m:rPr>
                    <w:rPr>
                      <w:rFonts w:ascii="Cambria Math" w:hAnsi="Cambria Math"/>
                    </w:rPr>
                    <m:t>2(cov(</m:t>
                  </m:r>
                  <m:d>
                    <m:dPr>
                      <m:ctrlPr>
                        <w:rPr>
                          <w:rFonts w:ascii="Cambria Math" w:hAnsi="Cambria Math"/>
                        </w:rPr>
                      </m:ctrlPr>
                    </m:dPr>
                    <m:e>
                      <m:sSub>
                        <m:sSubPr>
                          <m:ctrlPr>
                            <w:rPr>
                              <w:rFonts w:ascii="Cambria Math" w:hAnsi="Cambria Math"/>
                              <w:i/>
                            </w:rPr>
                          </m:ctrlPr>
                        </m:sSubPr>
                        <m:e>
                          <m:r>
                            <w:rPr>
                              <w:rFonts w:ascii="Cambria Math" w:hAnsi="Cambria Math"/>
                            </w:rPr>
                            <m:t>h</m:t>
                          </m:r>
                        </m:e>
                        <m:sub>
                          <m:r>
                            <w:rPr>
                              <w:rFonts w:ascii="Cambria Math" w:hAnsi="Cambria Math"/>
                            </w:rPr>
                            <m:t>i</m:t>
                          </m:r>
                        </m:sub>
                      </m:sSub>
                    </m:e>
                    <m:e>
                      <m:sSub>
                        <m:sSubPr>
                          <m:ctrlPr>
                            <w:rPr>
                              <w:rFonts w:ascii="Cambria Math" w:hAnsi="Cambria Math"/>
                              <w:i/>
                            </w:rPr>
                          </m:ctrlPr>
                        </m:sSubPr>
                        <m:e>
                          <m:r>
                            <w:rPr>
                              <w:rFonts w:ascii="Cambria Math" w:hAnsi="Cambria Math"/>
                            </w:rPr>
                            <m:t>R</m:t>
                          </m:r>
                        </m:e>
                        <m:sub>
                          <m:r>
                            <w:rPr>
                              <w:rFonts w:ascii="Cambria Math" w:hAnsi="Cambria Math"/>
                            </w:rPr>
                            <m:t>i</m:t>
                          </m:r>
                        </m:sub>
                      </m:sSub>
                    </m:e>
                  </m:d>
                </m:num>
                <m:den>
                  <m:acc>
                    <m:accPr>
                      <m:chr m:val="̅"/>
                      <m:ctrlPr>
                        <w:rPr>
                          <w:rFonts w:ascii="Cambria Math" w:hAnsi="Cambria Math"/>
                        </w:rPr>
                      </m:ctrlPr>
                    </m:accPr>
                    <m:e>
                      <m:r>
                        <w:rPr>
                          <w:rFonts w:ascii="Cambria Math" w:hAnsi="Cambria Math"/>
                        </w:rPr>
                        <m:t>h</m:t>
                      </m:r>
                    </m:e>
                  </m:acc>
                </m:den>
              </m:f>
            </m:e>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i</m:t>
                          </m:r>
                        </m:sub>
                      </m:sSub>
                    </m:num>
                    <m:den>
                      <m:acc>
                        <m:accPr>
                          <m:chr m:val="̅"/>
                          <m:ctrlPr>
                            <w:rPr>
                              <w:rFonts w:ascii="Cambria Math" w:hAnsi="Cambria Math"/>
                              <w:i/>
                            </w:rPr>
                          </m:ctrlPr>
                        </m:accPr>
                        <m:e>
                          <m:r>
                            <w:rPr>
                              <w:rFonts w:ascii="Cambria Math" w:hAnsi="Cambria Math"/>
                            </w:rPr>
                            <m:t>h</m:t>
                          </m:r>
                        </m:e>
                      </m:acc>
                    </m:den>
                  </m:f>
                  <m:d>
                    <m:dPr>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-1</m:t>
                      </m:r>
                    </m:e>
                  </m:d>
                </m:e>
              </m:d>
            </m:e>
          </m:nary>
        </m:oMath>
      </m:oMathPara>
    </w:p>
    <w:p w14:paraId="7A122BC4" w14:textId="77777777" w:rsidR="00F36D22" w:rsidRDefault="00F36D22" w:rsidP="00F36D22">
      <w:pPr>
        <w:widowControl w:val="0"/>
        <w:snapToGrid w:val="0"/>
        <w:spacing w:line="480" w:lineRule="auto"/>
        <w:rPr>
          <w:rFonts w:eastAsiaTheme="minorHAnsi"/>
          <w:lang w:eastAsia="en-US"/>
        </w:rPr>
      </w:pPr>
    </w:p>
    <w:p w14:paraId="0701E3C2" w14:textId="498CD44F" w:rsidR="00BF5261" w:rsidRPr="001E5047" w:rsidRDefault="00C51C46" w:rsidP="00EA6C2A">
      <w:pPr>
        <w:spacing w:line="480" w:lineRule="auto"/>
      </w:pPr>
      <w:r>
        <w:rPr>
          <w:rFonts w:eastAsiaTheme="minorHAnsi"/>
          <w:lang w:eastAsia="en-US"/>
        </w:rPr>
        <w:t>w</w:t>
      </w:r>
      <w:r w:rsidR="009961CC" w:rsidRPr="009961CC">
        <w:rPr>
          <w:rFonts w:eastAsiaTheme="minorHAnsi"/>
          <w:lang w:eastAsia="en-US"/>
        </w:rPr>
        <w:t>here</w:t>
      </w:r>
      <w:r>
        <w:rPr>
          <w:rFonts w:eastAsiaTheme="minorHAnsi"/>
          <w:lang w:eastAsia="en-US"/>
        </w:rPr>
        <w:t xml:space="preserve"> </w:t>
      </w:r>
      <m:oMath>
        <m:r>
          <w:rPr>
            <w:rFonts w:ascii="Cambria Math" w:hAnsi="Cambria Math"/>
          </w:rPr>
          <m:t xml:space="preserve">h </m:t>
        </m:r>
      </m:oMath>
      <w:r>
        <w:rPr>
          <w:rFonts w:eastAsiaTheme="minorEastAsia"/>
        </w:rPr>
        <w:t xml:space="preserve">is health, </w:t>
      </w:r>
      <m:oMath>
        <m:r>
          <w:rPr>
            <w:rFonts w:ascii="Cambria Math" w:hAnsi="Cambria Math"/>
          </w:rPr>
          <m:t>y</m:t>
        </m:r>
      </m:oMath>
      <w:r>
        <w:t xml:space="preserve"> is the ranking measure of </w:t>
      </w:r>
      <w:r w:rsidR="00EA6C2A">
        <w:t xml:space="preserve">income </w:t>
      </w:r>
      <w:r>
        <w:t xml:space="preserve">resulting in the ranking </w:t>
      </w:r>
      <m:oMath>
        <m:r>
          <w:rPr>
            <w:rFonts w:ascii="Cambria Math" w:hAnsi="Cambria Math"/>
          </w:rPr>
          <m:t>R</m:t>
        </m:r>
      </m:oMath>
      <w:r>
        <w:t xml:space="preserve"> across individuals, and </w:t>
      </w:r>
      <m:oMath>
        <m:r>
          <w:rPr>
            <w:rFonts w:ascii="Cambria Math" w:hAnsi="Cambria Math"/>
          </w:rPr>
          <m:t>cov</m:t>
        </m:r>
      </m:oMath>
      <w:r>
        <w:t xml:space="preserve"> is covariance</w:t>
      </w:r>
      <w:r w:rsidR="00F36D22">
        <w:t xml:space="preserve">. The concentration index ranges from </w:t>
      </w:r>
      <m:oMath>
        <m:f>
          <m:fPr>
            <m:ctrlPr>
              <w:rPr>
                <w:rFonts w:ascii="Cambria Math" w:hAnsi="Cambria Math"/>
                <w:i/>
              </w:rPr>
            </m:ctrlPr>
          </m:fPr>
          <m:num>
            <m:r>
              <w:rPr>
                <w:rFonts w:ascii="Cambria Math" w:hAnsi="Cambria Math"/>
              </w:rPr>
              <m:t>1-n</m:t>
            </m:r>
          </m:num>
          <m:den>
            <m:r>
              <w:rPr>
                <w:rFonts w:ascii="Cambria Math" w:hAnsi="Cambria Math"/>
              </w:rPr>
              <m:t>n</m:t>
            </m:r>
          </m:den>
        </m:f>
      </m:oMath>
      <w:r w:rsidR="00F36D22" w:rsidRPr="00F36D22">
        <w:t xml:space="preserve"> </w:t>
      </w:r>
      <w:r w:rsidR="00F36D22">
        <w:t xml:space="preserve"> </w:t>
      </w:r>
      <w:r w:rsidR="00F36D22" w:rsidRPr="00F36D22">
        <w:t>(all health is concentrated on the poorest individual</w:t>
      </w:r>
      <w:r w:rsidR="00F36D22">
        <w:t xml:space="preserve">) to </w:t>
      </w:r>
      <m:oMath>
        <m:f>
          <m:fPr>
            <m:ctrlPr>
              <w:rPr>
                <w:rFonts w:ascii="Cambria Math" w:hAnsi="Cambria Math"/>
                <w:i/>
              </w:rPr>
            </m:ctrlPr>
          </m:fPr>
          <m:num>
            <m:r>
              <w:rPr>
                <w:rFonts w:ascii="Cambria Math" w:hAnsi="Cambria Math"/>
              </w:rPr>
              <m:t>n-1</m:t>
            </m:r>
          </m:num>
          <m:den>
            <m:r>
              <w:rPr>
                <w:rFonts w:ascii="Cambria Math" w:hAnsi="Cambria Math"/>
              </w:rPr>
              <m:t>n</m:t>
            </m:r>
          </m:den>
        </m:f>
      </m:oMath>
      <w:r w:rsidR="00F36D22">
        <w:t xml:space="preserve"> (all health </w:t>
      </w:r>
      <w:r w:rsidR="00EA6C2A">
        <w:t xml:space="preserve">is </w:t>
      </w:r>
      <w:r w:rsidR="00F36D22">
        <w:t xml:space="preserve">concentrated on the richest individual) </w:t>
      </w:r>
      <w:r w:rsidR="003642C3" w:rsidRPr="00537E7B">
        <w:rPr>
          <w:vertAlign w:val="superscript"/>
        </w:rPr>
        <w:fldChar w:fldCharType="begin"/>
      </w:r>
      <w:r w:rsidR="003642C3" w:rsidRPr="00537E7B">
        <w:rPr>
          <w:vertAlign w:val="superscript"/>
        </w:rPr>
        <w:instrText xml:space="preserve"> ADDIN EN.CITE &lt;EndNote&gt;&lt;Cite&gt;&lt;Author&gt;O’Donnell&lt;/Author&gt;&lt;Year&gt;2016&lt;/Year&gt;&lt;RecNum&gt;109&lt;/RecNum&gt;&lt;DisplayText&gt;(10)&lt;/DisplayText&gt;&lt;record&gt;&lt;rec-number&gt;109&lt;/rec-number&gt;&lt;foreign-keys&gt;&lt;key app="EN" db-id="vv5vv92zi5wpvged2w9xvffd2taaxp52fdxr" timestamp="1618823500" guid="8d1fdee0-e856-4bd3-9f44-c4b43d8828f6"&gt;109&lt;/key&gt;&lt;/foreign-keys&gt;&lt;contributors&gt;&lt;authors&gt;&lt;author&gt;O’Donnell, Owen&lt;/author&gt;&lt;author&gt;O’Neill, Stephen&lt;/author&gt;&lt;author&gt;Van Ourti, Tom&lt;/author&gt;&lt;author&gt;Walsh, Brendan&lt;/author&gt;&lt;/authors&gt;&lt;/contributors&gt;&lt;titles&gt;&lt;title&gt;conindex: Estimation of concentration indices&lt;/title&gt;&lt;secondary-title&gt;Stata Journal&lt;/secondary-title&gt;&lt;/titles&gt;&lt;pages&gt;112-138&lt;/pages&gt;&lt;volume&gt;16&lt;/volume&gt;&lt;keywords&gt;&lt;keyword&gt;Concentration index&lt;/keyword&gt;&lt;keyword&gt;Health&lt;/keyword&gt;&lt;keyword&gt;Health care&lt;/keyword&gt;&lt;keyword&gt;Inequality&lt;/keyword&gt;&lt;keyword&gt;Rank-dependent indices&lt;/keyword&gt;&lt;keyword&gt;conindex&lt;/keyword&gt;&lt;keyword&gt;st0427&lt;/keyword&gt;&lt;/keywords&gt;&lt;dates&gt;&lt;year&gt;2016&lt;/year&gt;&lt;/dates&gt;&lt;accession-num&gt;27053927&lt;/accession-num&gt;&lt;urls&gt;&lt;/urls&gt;&lt;electronic-resource-num&gt;10.1177/1536867x1601600112&lt;/electronic-resource-num&gt;&lt;/record&gt;&lt;/Cite&gt;&lt;/EndNote&gt;</w:instrText>
      </w:r>
      <w:r w:rsidR="003642C3" w:rsidRPr="00537E7B">
        <w:rPr>
          <w:vertAlign w:val="superscript"/>
        </w:rPr>
        <w:fldChar w:fldCharType="separate"/>
      </w:r>
      <w:r w:rsidR="003642C3" w:rsidRPr="00537E7B">
        <w:rPr>
          <w:noProof/>
          <w:vertAlign w:val="superscript"/>
        </w:rPr>
        <w:t>(10)</w:t>
      </w:r>
      <w:r w:rsidR="003642C3" w:rsidRPr="00537E7B">
        <w:rPr>
          <w:vertAlign w:val="superscript"/>
        </w:rPr>
        <w:fldChar w:fldCharType="end"/>
      </w:r>
      <w:r w:rsidR="0007737A">
        <w:t>.</w:t>
      </w:r>
      <w:r w:rsidR="00930828">
        <w:t xml:space="preserve"> Estimation commands has become standard in conventional software such as Stata.  </w:t>
      </w:r>
    </w:p>
    <w:p w14:paraId="55816C51" w14:textId="77777777" w:rsidR="00BF5261" w:rsidRPr="001E5047" w:rsidRDefault="00BF5261" w:rsidP="00EA6C2A">
      <w:pPr>
        <w:tabs>
          <w:tab w:val="left" w:pos="284"/>
        </w:tabs>
        <w:spacing w:line="480" w:lineRule="auto"/>
        <w:rPr>
          <w:i/>
        </w:rPr>
      </w:pPr>
    </w:p>
    <w:p w14:paraId="69FAD9CC" w14:textId="59456004" w:rsidR="00BF5261" w:rsidRPr="001E5047" w:rsidRDefault="00BF5261">
      <w:pPr>
        <w:tabs>
          <w:tab w:val="left" w:pos="284"/>
        </w:tabs>
        <w:spacing w:line="480" w:lineRule="auto"/>
        <w:rPr>
          <w:i/>
        </w:rPr>
      </w:pPr>
      <w:r w:rsidRPr="001E5047">
        <w:rPr>
          <w:i/>
        </w:rPr>
        <w:t>Slope and relative index of inequality</w:t>
      </w:r>
    </w:p>
    <w:p w14:paraId="183B1EFE" w14:textId="70AF2110" w:rsidR="008272EB" w:rsidRDefault="00876057">
      <w:pPr>
        <w:spacing w:line="480" w:lineRule="auto"/>
      </w:pPr>
      <w:r>
        <w:t xml:space="preserve">The SII </w:t>
      </w:r>
      <w:r w:rsidR="00930828">
        <w:t xml:space="preserve">and the RII quantify </w:t>
      </w:r>
      <w:r w:rsidR="00F354A1">
        <w:t xml:space="preserve">the </w:t>
      </w:r>
      <w:r w:rsidR="001E5047">
        <w:t xml:space="preserve">absolute </w:t>
      </w:r>
      <w:r w:rsidR="00930828">
        <w:t xml:space="preserve">and the relative health inequality, respectively, in a population. </w:t>
      </w:r>
      <w:r w:rsidR="007F0FAF">
        <w:t>Both the SII and the RII are estimated using a linear regression</w:t>
      </w:r>
      <w:r w:rsidR="001E75E8">
        <w:t xml:space="preserve"> and they reflect the distribution across the entire population studied</w:t>
      </w:r>
      <w:r w:rsidR="00537E7B">
        <w:t xml:space="preserve"> </w:t>
      </w:r>
      <w:r w:rsidR="001E75E8" w:rsidRPr="00537E7B">
        <w:rPr>
          <w:vertAlign w:val="superscript"/>
        </w:rPr>
        <w:fldChar w:fldCharType="begin"/>
      </w:r>
      <w:r w:rsidR="003642C3" w:rsidRPr="00537E7B">
        <w:rPr>
          <w:vertAlign w:val="superscript"/>
        </w:rPr>
        <w:instrText xml:space="preserve"> ADDIN EN.CITE &lt;EndNote&gt;&lt;Cite&gt;&lt;Author&gt;Khang&lt;/Author&gt;&lt;Year&gt;2019&lt;/Year&gt;&lt;RecNum&gt;162&lt;/RecNum&gt;&lt;DisplayText&gt;(1, 11)&lt;/DisplayText&gt;&lt;record&gt;&lt;rec-number&gt;162&lt;/rec-number&gt;&lt;foreign-keys&gt;&lt;key app="EN" db-id="vv5vv92zi5wpvged2w9xvffd2taaxp52fdxr" timestamp="1618823500" guid="eb46dadd-e9e0-4e19-b2d6-a92d9923a0a7"&gt;162&lt;/key&gt;&lt;/foreign-keys&gt;&lt;contributors&gt;&lt;authors&gt;&lt;author&gt;Khang, Young-ho&lt;/author&gt;&lt;author&gt;Lim, Dohee&lt;/author&gt;&lt;author&gt;Kang, Hee-yeon&lt;/author&gt;&lt;author&gt;Chang, Youngs&lt;/author&gt;&lt;author&gt;Bahk, Jinwook&lt;/author&gt;&lt;author&gt;Kim, Ikhan&lt;/author&gt;&lt;author&gt;Jung-choi, Kyunghee&lt;/author&gt;&lt;/authors&gt;&lt;/contributors&gt;&lt;titles&gt;&lt;title&gt;A publicly well-accepted measure versus an academically desirable measure of health inequality : cross- sectional comparison of the difference between income quintiles with the slope index of inequality&lt;/title&gt;&lt;/titles&gt;&lt;pages&gt;1-7&lt;/pages&gt;&lt;dates&gt;&lt;year&gt;2019&lt;/year&gt;&lt;/dates&gt;&lt;urls&gt;&lt;/urls&gt;&lt;electronic-resource-num&gt;10.1136/bmjopen-2018-028687&lt;/electronic-resource-num&gt;&lt;/record&gt;&lt;/Cite&gt;&lt;Cite&gt;&lt;Author&gt;Wagstaff&lt;/Author&gt;&lt;Year&gt;1991&lt;/Year&gt;&lt;RecNum&gt;145&lt;/RecNum&gt;&lt;record&gt;&lt;rec-number&gt;145&lt;/rec-number&gt;&lt;foreign-keys&gt;&lt;key app="EN" db-id="vv5vv92zi5wpvged2w9xvffd2taaxp52fdxr" timestamp="1618823500" guid="4f9a61d1-0e72-4e69-8c00-f8c4263a92cd"&gt;145&lt;/key&gt;&lt;/foreign-keys&gt;&lt;contributors&gt;&lt;authors&gt;&lt;author&gt;Wagstaff, Adam&lt;/author&gt;&lt;author&gt;Paci, Pierella&lt;/author&gt;&lt;author&gt;Doorslaer, Eddy Van&lt;/author&gt;&lt;/authors&gt;&lt;/contributors&gt;&lt;titles&gt;&lt;title&gt;On the measurement of inequalities in health&lt;/title&gt;&lt;secondary-title&gt;Social Science &amp;amp; Medicine&lt;/secondary-title&gt;&lt;/titles&gt;&lt;pages&gt;545-557&lt;/pages&gt;&lt;volume&gt;33&lt;/volume&gt;&lt;keywords&gt;&lt;keyword&gt;-inequalities&lt;/keyword&gt;&lt;keyword&gt;comparative research&lt;/keyword&gt;&lt;keyword&gt;in health&lt;/keyword&gt;&lt;keyword&gt;morbidity&lt;/keyword&gt;&lt;keyword&gt;mortality&lt;/keyword&gt;&lt;keyword&gt;social class&lt;/keyword&gt;&lt;/keywords&gt;&lt;dates&gt;&lt;year&gt;1991&lt;/year&gt;&lt;/dates&gt;&lt;urls&gt;&lt;/urls&gt;&lt;/record&gt;&lt;/Cite&gt;&lt;/EndNote&gt;</w:instrText>
      </w:r>
      <w:r w:rsidR="001E75E8" w:rsidRPr="00537E7B">
        <w:rPr>
          <w:vertAlign w:val="superscript"/>
        </w:rPr>
        <w:fldChar w:fldCharType="separate"/>
      </w:r>
      <w:r w:rsidR="003642C3" w:rsidRPr="00537E7B">
        <w:rPr>
          <w:noProof/>
          <w:vertAlign w:val="superscript"/>
        </w:rPr>
        <w:t>(1, 11)</w:t>
      </w:r>
      <w:r w:rsidR="001E75E8" w:rsidRPr="00537E7B">
        <w:rPr>
          <w:vertAlign w:val="superscript"/>
        </w:rPr>
        <w:fldChar w:fldCharType="end"/>
      </w:r>
      <w:r w:rsidR="008B543E">
        <w:t>.</w:t>
      </w:r>
      <w:r w:rsidR="007F0FAF">
        <w:t xml:space="preserve"> </w:t>
      </w:r>
      <w:r w:rsidR="00F4305D">
        <w:t>Similar to the concentration indices the population is ranked according to their income. The direction of the rank is determined by the studied exposure as the standard is to rank the population from the worst situation (</w:t>
      </w:r>
      <w:proofErr w:type="spellStart"/>
      <w:r w:rsidR="006F5838">
        <w:t>ie</w:t>
      </w:r>
      <w:proofErr w:type="spellEnd"/>
      <w:r w:rsidR="006F5838">
        <w:t xml:space="preserve"> </w:t>
      </w:r>
      <w:r w:rsidR="00635CFA">
        <w:t xml:space="preserve">the </w:t>
      </w:r>
      <w:r w:rsidR="00F4305D">
        <w:t>lowest income) to the best situation (</w:t>
      </w:r>
      <w:r w:rsidR="00635CFA">
        <w:t xml:space="preserve">the </w:t>
      </w:r>
      <w:r w:rsidR="00F4305D">
        <w:t xml:space="preserve">highest income) </w:t>
      </w:r>
      <w:r w:rsidR="00F4305D" w:rsidRPr="00537E7B">
        <w:rPr>
          <w:vertAlign w:val="superscript"/>
        </w:rPr>
        <w:fldChar w:fldCharType="begin"/>
      </w:r>
      <w:r w:rsidR="00F4305D" w:rsidRPr="00537E7B">
        <w:rPr>
          <w:vertAlign w:val="superscript"/>
        </w:rPr>
        <w:instrText xml:space="preserve"> ADDIN EN.CITE &lt;EndNote&gt;&lt;Cite&gt;&lt;Author&gt;Pamuk&lt;/Author&gt;&lt;Year&gt;1985&lt;/Year&gt;&lt;RecNum&gt;652&lt;/RecNum&gt;&lt;DisplayText&gt;(12)&lt;/DisplayText&gt;&lt;record&gt;&lt;rec-number&gt;652&lt;/rec-number&gt;&lt;foreign-keys&gt;&lt;key app="EN" db-id="vv5vv92zi5wpvged2w9xvffd2taaxp52fdxr" timestamp="1626337566" guid="e2502cc9-1fd8-467c-80b7-d427138523ed"&gt;652&lt;/key&gt;&lt;/foreign-keys&gt;&lt;ref-type name="Journal Article"&gt;17&lt;/ref-type&gt;&lt;contributors&gt;&lt;authors&gt;&lt;author&gt;Elsie R. Pamuk&lt;/author&gt;&lt;/authors&gt;&lt;/contributors&gt;&lt;titles&gt;&lt;title&gt;Social Class Inequality in Mortality from 1921 to 1972 in England and Wales&lt;/title&gt;&lt;secondary-title&gt;Population Studies&lt;/secondary-title&gt;&lt;/titles&gt;&lt;periodical&gt;&lt;full-title&gt;Population Studies&lt;/full-title&gt;&lt;/periodical&gt;&lt;pages&gt;17-31&lt;/pages&gt;&lt;volume&gt;39&lt;/volume&gt;&lt;number&gt;1&lt;/number&gt;&lt;dates&gt;&lt;year&gt;1985&lt;/year&gt;&lt;/dates&gt;&lt;urls&gt;&lt;/urls&gt;&lt;/record&gt;&lt;/Cite&gt;&lt;/EndNote&gt;</w:instrText>
      </w:r>
      <w:r w:rsidR="00F4305D" w:rsidRPr="00537E7B">
        <w:rPr>
          <w:vertAlign w:val="superscript"/>
        </w:rPr>
        <w:fldChar w:fldCharType="separate"/>
      </w:r>
      <w:r w:rsidR="00F4305D" w:rsidRPr="00537E7B">
        <w:rPr>
          <w:noProof/>
          <w:vertAlign w:val="superscript"/>
        </w:rPr>
        <w:t>(12)</w:t>
      </w:r>
      <w:r w:rsidR="00F4305D" w:rsidRPr="00537E7B">
        <w:rPr>
          <w:vertAlign w:val="superscript"/>
        </w:rPr>
        <w:fldChar w:fldCharType="end"/>
      </w:r>
      <w:r w:rsidR="00F4305D">
        <w:t>.</w:t>
      </w:r>
    </w:p>
    <w:p w14:paraId="262A2DD8" w14:textId="6D1771F7" w:rsidR="00AA599B" w:rsidRDefault="007F0FAF" w:rsidP="00AA599B">
      <w:pPr>
        <w:tabs>
          <w:tab w:val="left" w:pos="360"/>
          <w:tab w:val="left" w:pos="540"/>
        </w:tabs>
        <w:spacing w:line="480" w:lineRule="auto"/>
      </w:pPr>
      <w:r>
        <w:t>T</w:t>
      </w:r>
      <w:r w:rsidR="00210339">
        <w:t xml:space="preserve">he </w:t>
      </w:r>
      <w:r w:rsidR="00852BF2">
        <w:t>SII</w:t>
      </w:r>
      <w:r w:rsidR="00210339">
        <w:t xml:space="preserve"> </w:t>
      </w:r>
      <w:r w:rsidR="00E17BAA">
        <w:t>is</w:t>
      </w:r>
      <w:r w:rsidR="00013152">
        <w:t xml:space="preserve"> estimated </w:t>
      </w:r>
      <w:r w:rsidR="00F354A1">
        <w:t xml:space="preserve">as the </w:t>
      </w:r>
      <w:r w:rsidR="00013152">
        <w:t>gap</w:t>
      </w:r>
      <w:r w:rsidR="00537E7B">
        <w:t xml:space="preserve"> </w:t>
      </w:r>
      <w:r>
        <w:t xml:space="preserve">between the </w:t>
      </w:r>
      <w:r w:rsidR="00930828">
        <w:t xml:space="preserve">health </w:t>
      </w:r>
      <w:r>
        <w:t>of the hypothetically</w:t>
      </w:r>
      <w:r w:rsidR="00013152">
        <w:t xml:space="preserve"> worst off and </w:t>
      </w:r>
      <w:r w:rsidR="008B543E">
        <w:t xml:space="preserve">the hypothetically </w:t>
      </w:r>
      <w:proofErr w:type="gramStart"/>
      <w:r w:rsidR="00013152">
        <w:t>best off</w:t>
      </w:r>
      <w:proofErr w:type="gramEnd"/>
      <w:r w:rsidR="00876057">
        <w:t xml:space="preserve"> individual in a population</w:t>
      </w:r>
      <w:r w:rsidR="00233B68">
        <w:t xml:space="preserve">. </w:t>
      </w:r>
      <w:r w:rsidR="00930828">
        <w:t xml:space="preserve">The formal definition of </w:t>
      </w:r>
      <w:r w:rsidR="00233B68">
        <w:t xml:space="preserve">the SII is </w:t>
      </w:r>
      <w:r w:rsidR="00930828">
        <w:t xml:space="preserve">thus the </w:t>
      </w:r>
      <w:r w:rsidR="00D161F7">
        <w:t xml:space="preserve">difference </w:t>
      </w:r>
      <w:r w:rsidR="00013152">
        <w:t xml:space="preserve">between </w:t>
      </w:r>
      <w:r>
        <w:t>the regression-based extremes</w:t>
      </w:r>
      <w:r w:rsidR="00537E7B">
        <w:t xml:space="preserve"> </w:t>
      </w:r>
      <w:r w:rsidR="0016624F" w:rsidRPr="00537E7B">
        <w:rPr>
          <w:vertAlign w:val="superscript"/>
        </w:rPr>
        <w:fldChar w:fldCharType="begin"/>
      </w:r>
      <w:r w:rsidR="00552030" w:rsidRPr="00537E7B">
        <w:rPr>
          <w:vertAlign w:val="superscript"/>
        </w:rPr>
        <w:instrText xml:space="preserve"> ADDIN EN.CITE &lt;EndNote&gt;&lt;Cite&gt;&lt;Author&gt;Mackenbach&lt;/Author&gt;&lt;Year&gt;1997&lt;/Year&gt;&lt;RecNum&gt;97&lt;/RecNum&gt;&lt;DisplayText&gt;(2)&lt;/DisplayText&gt;&lt;record&gt;&lt;rec-number&gt;97&lt;/rec-number&gt;&lt;foreign-keys&gt;&lt;key app="EN" db-id="vv5vv92zi5wpvged2w9xvffd2taaxp52fdxr" timestamp="1618823500" guid="f4a27a4e-df9c-4f75-96da-bf7cf39e54e4"&gt;97&lt;/key&gt;&lt;/foreign-keys&gt;&lt;contributors&gt;&lt;authors&gt;&lt;author&gt;Mackenbach, Johan P.&lt;/author&gt;&lt;author&gt;Kunst, Anton E.&lt;/author&gt;&lt;/authors&gt;&lt;/contributors&gt;&lt;titles&gt;&lt;title&gt;Measuring the magnitude of socio-economic inequalities in health: An overview of available measures illustrated with two examples from Europe&lt;/title&gt;&lt;secondary-title&gt;Social Science and Medicine&lt;/secondary-title&gt;&lt;/titles&gt;&lt;pages&gt;757-771&lt;/pages&gt;&lt;volume&gt;44&lt;/volume&gt;&lt;dates&gt;&lt;year&gt;1997&lt;/year&gt;&lt;/dates&gt;&lt;urls&gt;&lt;/urls&gt;&lt;/record&gt;&lt;/Cite&gt;&lt;/EndNote&gt;</w:instrText>
      </w:r>
      <w:r w:rsidR="0016624F" w:rsidRPr="00537E7B">
        <w:rPr>
          <w:vertAlign w:val="superscript"/>
        </w:rPr>
        <w:fldChar w:fldCharType="separate"/>
      </w:r>
      <w:r w:rsidR="00552030" w:rsidRPr="00537E7B">
        <w:rPr>
          <w:vertAlign w:val="superscript"/>
        </w:rPr>
        <w:t>(2)</w:t>
      </w:r>
      <w:r w:rsidR="0016624F" w:rsidRPr="00537E7B">
        <w:rPr>
          <w:vertAlign w:val="superscript"/>
        </w:rPr>
        <w:fldChar w:fldCharType="end"/>
      </w:r>
      <w:r w:rsidR="002009C3">
        <w:t>:</w:t>
      </w:r>
    </w:p>
    <w:p w14:paraId="6A0370E6" w14:textId="377BFBBB" w:rsidR="00AA599B" w:rsidRDefault="008B543E" w:rsidP="00EA6C2A">
      <w:pPr>
        <w:spacing w:line="480" w:lineRule="auto"/>
      </w:pPr>
      <m:oMathPara>
        <m:oMath>
          <m:r>
            <m:rPr>
              <m:sty m:val="p"/>
            </m:rPr>
            <w:rPr>
              <w:rFonts w:ascii="Cambria Math" w:hAnsi="Cambria Math"/>
            </w:rPr>
            <m:t>SII=f(1)-f(0)</m:t>
          </m:r>
        </m:oMath>
      </m:oMathPara>
    </w:p>
    <w:p w14:paraId="73E3171E" w14:textId="7AD48441" w:rsidR="00BF5261" w:rsidRDefault="00175B46" w:rsidP="00AA599B">
      <w:pPr>
        <w:spacing w:line="480" w:lineRule="auto"/>
      </w:pPr>
      <w:r>
        <w:t xml:space="preserve">Where </w:t>
      </w:r>
      <w:r>
        <w:rPr>
          <w:i/>
          <w:iCs/>
        </w:rPr>
        <w:t xml:space="preserve">f(X) </w:t>
      </w:r>
      <w:r>
        <w:t xml:space="preserve">is the estimated health and 1 and 0 the position of the most and least privileged respectively </w:t>
      </w:r>
      <w:r w:rsidR="00CC4EF1" w:rsidRPr="00782AF6">
        <w:rPr>
          <w:vertAlign w:val="superscript"/>
        </w:rPr>
        <w:fldChar w:fldCharType="begin"/>
      </w:r>
      <w:r w:rsidR="00CC4EF1" w:rsidRPr="00782AF6">
        <w:rPr>
          <w:vertAlign w:val="superscript"/>
        </w:rPr>
        <w:instrText xml:space="preserve"> ADDIN EN.CITE &lt;EndNote&gt;&lt;Cite&gt;&lt;Author&gt;Moreno-Betancur&lt;/Author&gt;&lt;Year&gt;2015&lt;/Year&gt;&lt;RecNum&gt;157&lt;/RecNum&gt;&lt;DisplayText&gt;(13)&lt;/DisplayText&gt;&lt;record&gt;&lt;rec-number&gt;157&lt;/rec-number&gt;&lt;foreign-keys&gt;&lt;key app="EN" db-id="vv5vv92zi5wpvged2w9xvffd2taaxp52fdxr" timestamp="1618823500" guid="d00e44f1-c676-4e8b-8a05-5487b087b295"&gt;157&lt;/key&gt;&lt;/foreign-keys&gt;&lt;contributors&gt;&lt;authors&gt;&lt;author&gt;Moreno-Betancur, Margarita&lt;/author&gt;&lt;author&gt;Latouche, Aurélien&lt;/author&gt;&lt;author&gt;Menvielle, Gwenn&lt;/author&gt;&lt;author&gt;Kunst, Anton E&lt;/author&gt;&lt;author&gt;Rey, Grégoire&lt;/author&gt;&lt;/authors&gt;&lt;/contributors&gt;&lt;titles&gt;&lt;title&gt;Relative Index of Inequality and Slope Index of Inequality A Structured Regression Framework for Estimation&lt;/title&gt;&lt;secondary-title&gt;Epidemiology&lt;/secondary-title&gt;&lt;/titles&gt;&lt;periodical&gt;&lt;full-title&gt;Epidemiology&lt;/full-title&gt;&lt;/periodical&gt;&lt;pages&gt;518-527&lt;/pages&gt;&lt;volume&gt;26&lt;/volume&gt;&lt;dates&gt;&lt;year&gt;2015&lt;/year&gt;&lt;/dates&gt;&lt;isbn&gt;0000000000000&lt;/isbn&gt;&lt;urls&gt;&lt;/urls&gt;&lt;electronic-resource-num&gt;10.1097/EDE.0000000000000311&lt;/electronic-resource-num&gt;&lt;/record&gt;&lt;/Cite&gt;&lt;/EndNote&gt;</w:instrText>
      </w:r>
      <w:r w:rsidR="00CC4EF1" w:rsidRPr="00782AF6">
        <w:rPr>
          <w:vertAlign w:val="superscript"/>
        </w:rPr>
        <w:fldChar w:fldCharType="separate"/>
      </w:r>
      <w:r w:rsidR="00CC4EF1" w:rsidRPr="00782AF6">
        <w:rPr>
          <w:noProof/>
          <w:vertAlign w:val="superscript"/>
        </w:rPr>
        <w:t>(13)</w:t>
      </w:r>
      <w:r w:rsidR="00CC4EF1" w:rsidRPr="00782AF6">
        <w:rPr>
          <w:vertAlign w:val="superscript"/>
        </w:rPr>
        <w:fldChar w:fldCharType="end"/>
      </w:r>
      <w:r w:rsidR="00CC4EF1">
        <w:t xml:space="preserve">. </w:t>
      </w:r>
      <w:r w:rsidR="00635CFA">
        <w:t xml:space="preserve">When the outcome is undesirable (ill health) </w:t>
      </w:r>
      <w:r w:rsidR="00930828">
        <w:t>the SII</w:t>
      </w:r>
      <w:r w:rsidR="00BF65D8">
        <w:t xml:space="preserve"> would reflect </w:t>
      </w:r>
      <w:r w:rsidR="002A2416">
        <w:t xml:space="preserve">the excess risk </w:t>
      </w:r>
      <w:r w:rsidR="00635CFA">
        <w:t>from</w:t>
      </w:r>
      <w:r w:rsidR="002A2416">
        <w:t xml:space="preserve"> being exposed </w:t>
      </w:r>
      <w:r w:rsidR="00BF65D8">
        <w:t xml:space="preserve">(to </w:t>
      </w:r>
      <w:r w:rsidR="00635CFA">
        <w:t xml:space="preserve">the </w:t>
      </w:r>
      <w:r w:rsidR="00BF65D8">
        <w:t>low</w:t>
      </w:r>
      <w:r w:rsidR="00635CFA">
        <w:t>est</w:t>
      </w:r>
      <w:r w:rsidR="00BF65D8">
        <w:t xml:space="preserve"> income)</w:t>
      </w:r>
      <w:r w:rsidR="00782AF6">
        <w:t xml:space="preserve"> </w:t>
      </w:r>
      <w:r w:rsidR="002A2416" w:rsidRPr="00782AF6">
        <w:rPr>
          <w:vertAlign w:val="superscript"/>
        </w:rPr>
        <w:fldChar w:fldCharType="begin"/>
      </w:r>
      <w:r w:rsidR="003642C3" w:rsidRPr="00782AF6">
        <w:rPr>
          <w:vertAlign w:val="superscript"/>
        </w:rPr>
        <w:instrText xml:space="preserve"> ADDIN EN.CITE &lt;EndNote&gt;&lt;Cite&gt;&lt;Author&gt;Moreno-Betancur&lt;/Author&gt;&lt;Year&gt;2015&lt;/Year&gt;&lt;RecNum&gt;157&lt;/RecNum&gt;&lt;DisplayText&gt;(13)&lt;/DisplayText&gt;&lt;record&gt;&lt;rec-number&gt;157&lt;/rec-number&gt;&lt;foreign-keys&gt;&lt;key app="EN" db-id="vv5vv92zi5wpvged2w9xvffd2taaxp52fdxr" timestamp="1618823500" guid="d00e44f1-c676-4e8b-8a05-5487b087b295"&gt;157&lt;/key&gt;&lt;/foreign-keys&gt;&lt;contributors&gt;&lt;authors&gt;&lt;author&gt;Moreno-Betancur, Margarita&lt;/author&gt;&lt;author&gt;Latouche, Aurélien&lt;/author&gt;&lt;author&gt;Menvielle, Gwenn&lt;/author&gt;&lt;author&gt;Kunst, Anton E&lt;/author&gt;&lt;author&gt;Rey, Grégoire&lt;/author&gt;&lt;/authors&gt;&lt;/contributors&gt;&lt;titles&gt;&lt;title&gt;Relative Index of Inequality and Slope Index of Inequality A Structured Regression Framework for Estimation&lt;/title&gt;&lt;secondary-title&gt;Epidemiology&lt;/secondary-title&gt;&lt;/titles&gt;&lt;periodical&gt;&lt;full-title&gt;Epidemiology&lt;/full-title&gt;&lt;/periodical&gt;&lt;pages&gt;518-527&lt;/pages&gt;&lt;volume&gt;26&lt;/volume&gt;&lt;dates&gt;&lt;year&gt;2015&lt;/year&gt;&lt;/dates&gt;&lt;isbn&gt;0000000000000&lt;/isbn&gt;&lt;urls&gt;&lt;/urls&gt;&lt;electronic-resource-num&gt;10.1097/EDE.0000000000000311&lt;/electronic-resource-num&gt;&lt;/record&gt;&lt;/Cite&gt;&lt;/EndNote&gt;</w:instrText>
      </w:r>
      <w:r w:rsidR="002A2416" w:rsidRPr="00782AF6">
        <w:rPr>
          <w:vertAlign w:val="superscript"/>
        </w:rPr>
        <w:fldChar w:fldCharType="separate"/>
      </w:r>
      <w:r w:rsidR="003642C3" w:rsidRPr="00782AF6">
        <w:rPr>
          <w:noProof/>
          <w:vertAlign w:val="superscript"/>
        </w:rPr>
        <w:t>(13)</w:t>
      </w:r>
      <w:r w:rsidR="002A2416" w:rsidRPr="00782AF6">
        <w:rPr>
          <w:vertAlign w:val="superscript"/>
        </w:rPr>
        <w:fldChar w:fldCharType="end"/>
      </w:r>
      <w:r w:rsidR="002A2416">
        <w:t xml:space="preserve">. </w:t>
      </w:r>
    </w:p>
    <w:p w14:paraId="146BC2D4" w14:textId="45E2ABBF" w:rsidR="00AA599B" w:rsidRDefault="002009C3" w:rsidP="00AA599B">
      <w:pPr>
        <w:spacing w:line="480" w:lineRule="auto"/>
      </w:pPr>
      <w:r>
        <w:lastRenderedPageBreak/>
        <w:t>The relative counterpart to the SII is the RII</w:t>
      </w:r>
      <w:r w:rsidR="00E80D5C">
        <w:t xml:space="preserve"> which, based on the same regression</w:t>
      </w:r>
      <w:r w:rsidR="00635CFA">
        <w:t>,</w:t>
      </w:r>
      <w:r w:rsidR="00E80D5C">
        <w:t xml:space="preserve"> is </w:t>
      </w:r>
      <w:r>
        <w:t xml:space="preserve">the ratio between </w:t>
      </w:r>
      <w:r w:rsidR="00E80D5C">
        <w:t>the</w:t>
      </w:r>
      <w:r>
        <w:t xml:space="preserve"> extremes:</w:t>
      </w:r>
    </w:p>
    <w:p w14:paraId="5CE1C43E" w14:textId="23E39B3A" w:rsidR="00AA599B" w:rsidRDefault="002009C3" w:rsidP="00EA6C2A">
      <w:pPr>
        <w:spacing w:line="480" w:lineRule="auto"/>
      </w:pPr>
      <m:oMathPara>
        <m:oMath>
          <m:r>
            <w:rPr>
              <w:rFonts w:ascii="Cambria Math" w:hAnsi="Cambria Math"/>
            </w:rPr>
            <m:t>RII=</m:t>
          </m:r>
          <m:f>
            <m:fPr>
              <m:ctrlPr>
                <w:rPr>
                  <w:rFonts w:ascii="Cambria Math" w:hAnsi="Cambria Math"/>
                  <w:i/>
                </w:rPr>
              </m:ctrlPr>
            </m:fPr>
            <m:num>
              <m:r>
                <w:rPr>
                  <w:rFonts w:ascii="Cambria Math" w:hAnsi="Cambria Math"/>
                </w:rPr>
                <m:t>f(1)</m:t>
              </m:r>
            </m:num>
            <m:den>
              <m:r>
                <w:rPr>
                  <w:rFonts w:ascii="Cambria Math" w:hAnsi="Cambria Math"/>
                </w:rPr>
                <m:t>f(0)</m:t>
              </m:r>
            </m:den>
          </m:f>
        </m:oMath>
      </m:oMathPara>
    </w:p>
    <w:p w14:paraId="553796E9" w14:textId="62F0CFFE" w:rsidR="00097A0F" w:rsidRDefault="00635CFA" w:rsidP="00EA6C2A">
      <w:pPr>
        <w:spacing w:line="480" w:lineRule="auto"/>
      </w:pPr>
      <w:r>
        <w:t>Parallel to the SII</w:t>
      </w:r>
      <w:r w:rsidR="00EA6C2A">
        <w:t>,</w:t>
      </w:r>
      <w:r>
        <w:t xml:space="preserve"> the </w:t>
      </w:r>
      <w:r w:rsidR="008048F2">
        <w:t xml:space="preserve">RII </w:t>
      </w:r>
      <w:r>
        <w:t>can be</w:t>
      </w:r>
      <w:r w:rsidR="00810258">
        <w:t xml:space="preserve"> interpreted as</w:t>
      </w:r>
      <w:r w:rsidR="008048F2">
        <w:t xml:space="preserve"> analogous to the relative risk </w:t>
      </w:r>
      <w:r w:rsidR="000A7657" w:rsidRPr="00782AF6">
        <w:rPr>
          <w:vertAlign w:val="superscript"/>
        </w:rPr>
        <w:fldChar w:fldCharType="begin"/>
      </w:r>
      <w:r w:rsidR="00552030" w:rsidRPr="00782AF6">
        <w:rPr>
          <w:vertAlign w:val="superscript"/>
        </w:rPr>
        <w:instrText xml:space="preserve"> ADDIN EN.CITE &lt;EndNote&gt;&lt;Cite&gt;&lt;Author&gt;Low&lt;/Author&gt;&lt;Year&gt;2004&lt;/Year&gt;&lt;RecNum&gt;112&lt;/RecNum&gt;&lt;DisplayText&gt;(2, 3)&lt;/DisplayText&gt;&lt;record&gt;&lt;rec-number&gt;112&lt;/rec-number&gt;&lt;foreign-keys&gt;&lt;key app="EN" db-id="vv5vv92zi5wpvged2w9xvffd2taaxp52fdxr" timestamp="1618823500" guid="672d9fec-4fa4-42e4-94a1-32919dcf35b3"&gt;112&lt;/key&gt;&lt;/foreign-keys&gt;&lt;contributors&gt;&lt;authors&gt;&lt;author&gt;Low, Anne&lt;/author&gt;&lt;author&gt;Low, Allan&lt;/author&gt;&lt;/authors&gt;&lt;/contributors&gt;&lt;titles&gt;&lt;title&gt;Measuring the gap: Quantifying and comparing local health inequalities&lt;/title&gt;&lt;secondary-title&gt;Journal of Public Health&lt;/secondary-title&gt;&lt;/titles&gt;&lt;pages&gt;388-395&lt;/pages&gt;&lt;volume&gt;26&lt;/volume&gt;&lt;keywords&gt;&lt;keyword&gt;Equity&lt;/keyword&gt;&lt;keyword&gt;Health inequalities&lt;/keyword&gt;&lt;keyword&gt;Measurement&lt;/keyword&gt;&lt;keyword&gt;Relative gaps&lt;/keyword&gt;&lt;/keywords&gt;&lt;dates&gt;&lt;year&gt;2004&lt;/year&gt;&lt;/dates&gt;&lt;urls&gt;&lt;/urls&gt;&lt;electronic-resource-num&gt;10.1093/pubmed/fdh175&lt;/electronic-resource-num&gt;&lt;/record&gt;&lt;/Cite&gt;&lt;Cite&gt;&lt;Author&gt;Mackenbach&lt;/Author&gt;&lt;Year&gt;1997&lt;/Year&gt;&lt;RecNum&gt;97&lt;/RecNum&gt;&lt;record&gt;&lt;rec-number&gt;97&lt;/rec-number&gt;&lt;foreign-keys&gt;&lt;key app="EN" db-id="vv5vv92zi5wpvged2w9xvffd2taaxp52fdxr" timestamp="1618823500" guid="f4a27a4e-df9c-4f75-96da-bf7cf39e54e4"&gt;97&lt;/key&gt;&lt;/foreign-keys&gt;&lt;contributors&gt;&lt;authors&gt;&lt;author&gt;Mackenbach, Johan P.&lt;/author&gt;&lt;author&gt;Kunst, Anton E.&lt;/author&gt;&lt;/authors&gt;&lt;/contributors&gt;&lt;titles&gt;&lt;title&gt;Measuring the magnitude of socio-economic inequalities in health: An overview of available measures illustrated with two examples from Europe&lt;/title&gt;&lt;secondary-title&gt;Social Science and Medicine&lt;/secondary-title&gt;&lt;/titles&gt;&lt;pages&gt;757-771&lt;/pages&gt;&lt;volume&gt;44&lt;/volume&gt;&lt;dates&gt;&lt;year&gt;1997&lt;/year&gt;&lt;/dates&gt;&lt;urls&gt;&lt;/urls&gt;&lt;/record&gt;&lt;/Cite&gt;&lt;/EndNote&gt;</w:instrText>
      </w:r>
      <w:r w:rsidR="000A7657" w:rsidRPr="00782AF6">
        <w:rPr>
          <w:vertAlign w:val="superscript"/>
        </w:rPr>
        <w:fldChar w:fldCharType="separate"/>
      </w:r>
      <w:r w:rsidR="00552030" w:rsidRPr="00782AF6">
        <w:rPr>
          <w:noProof/>
          <w:vertAlign w:val="superscript"/>
        </w:rPr>
        <w:t>(2, 3)</w:t>
      </w:r>
      <w:r w:rsidR="000A7657" w:rsidRPr="00782AF6">
        <w:rPr>
          <w:vertAlign w:val="superscript"/>
        </w:rPr>
        <w:fldChar w:fldCharType="end"/>
      </w:r>
      <w:r w:rsidR="000A7657">
        <w:t>.</w:t>
      </w:r>
      <w:r w:rsidR="00EA6C2A">
        <w:t xml:space="preserve"> </w:t>
      </w:r>
      <w:r w:rsidR="007A3646">
        <w:t>The</w:t>
      </w:r>
      <w:r w:rsidR="001A3954">
        <w:t xml:space="preserve"> size</w:t>
      </w:r>
      <w:r w:rsidR="00CF1C28">
        <w:t xml:space="preserve"> and sign</w:t>
      </w:r>
      <w:r w:rsidR="001A3954">
        <w:t xml:space="preserve"> of both the</w:t>
      </w:r>
      <w:r w:rsidR="007A3646">
        <w:t xml:space="preserve"> SII and RII </w:t>
      </w:r>
      <w:r w:rsidR="00773F57">
        <w:t xml:space="preserve">are not confined within a fixed range but </w:t>
      </w:r>
      <w:r w:rsidR="00EA6C2A">
        <w:t xml:space="preserve">are </w:t>
      </w:r>
      <w:r w:rsidR="001A3954">
        <w:t>determined by the range</w:t>
      </w:r>
      <w:r w:rsidR="00CF1C28">
        <w:t xml:space="preserve"> and definition</w:t>
      </w:r>
      <w:r w:rsidR="001A3954">
        <w:t xml:space="preserve"> of </w:t>
      </w:r>
      <w:r w:rsidR="00782AF6">
        <w:t>h</w:t>
      </w:r>
      <w:r w:rsidR="00CF1C28">
        <w:t>ealth</w:t>
      </w:r>
      <w:r w:rsidR="00782AF6">
        <w:t>/ill health</w:t>
      </w:r>
      <w:r w:rsidR="001A3954">
        <w:t>.</w:t>
      </w:r>
      <w:r w:rsidR="00D0440A">
        <w:t xml:space="preserve"> </w:t>
      </w:r>
      <w:r w:rsidR="001A3954">
        <w:t xml:space="preserve"> </w:t>
      </w:r>
    </w:p>
    <w:p w14:paraId="729D768E" w14:textId="77777777" w:rsidR="00097A0F" w:rsidRPr="00097A0F" w:rsidRDefault="00097A0F" w:rsidP="00F45F29">
      <w:pPr>
        <w:spacing w:line="480" w:lineRule="auto"/>
      </w:pPr>
    </w:p>
    <w:p w14:paraId="294C8757" w14:textId="77777777" w:rsidR="00BF65D8" w:rsidRDefault="00BF65D8" w:rsidP="00827A1A">
      <w:pPr>
        <w:spacing w:line="480" w:lineRule="auto"/>
        <w:rPr>
          <w:b/>
          <w:bCs/>
          <w:lang w:val="en-US"/>
        </w:rPr>
      </w:pPr>
      <w:r>
        <w:rPr>
          <w:b/>
          <w:bCs/>
          <w:lang w:val="en-US"/>
        </w:rPr>
        <w:br w:type="page"/>
      </w:r>
    </w:p>
    <w:p w14:paraId="7C3AFB96" w14:textId="3C79D77C" w:rsidR="002A2416" w:rsidRPr="0085229B" w:rsidRDefault="0085229B" w:rsidP="00827A1A">
      <w:pPr>
        <w:spacing w:line="480" w:lineRule="auto"/>
        <w:ind w:left="720" w:hanging="720"/>
        <w:rPr>
          <w:b/>
          <w:bCs/>
          <w:lang w:val="en-US"/>
        </w:rPr>
      </w:pPr>
      <w:r w:rsidRPr="0085229B">
        <w:rPr>
          <w:b/>
          <w:bCs/>
          <w:lang w:val="en-US"/>
        </w:rPr>
        <w:lastRenderedPageBreak/>
        <w:t>References</w:t>
      </w:r>
    </w:p>
    <w:p w14:paraId="38D8811A" w14:textId="77777777" w:rsidR="00782AF6" w:rsidRPr="00782AF6" w:rsidRDefault="002A2416" w:rsidP="00827A1A">
      <w:pPr>
        <w:pStyle w:val="EndNoteBibliography"/>
        <w:ind w:left="720" w:hanging="720"/>
        <w:rPr>
          <w:noProof/>
        </w:rPr>
      </w:pPr>
      <w:r w:rsidRPr="0085229B">
        <w:fldChar w:fldCharType="begin"/>
      </w:r>
      <w:r w:rsidRPr="0085229B">
        <w:instrText xml:space="preserve"> ADDIN EN.REFLIST </w:instrText>
      </w:r>
      <w:r w:rsidRPr="0085229B">
        <w:fldChar w:fldCharType="separate"/>
      </w:r>
      <w:r w:rsidR="00782AF6" w:rsidRPr="00782AF6">
        <w:rPr>
          <w:noProof/>
        </w:rPr>
        <w:t>1.</w:t>
      </w:r>
      <w:r w:rsidR="00782AF6" w:rsidRPr="00782AF6">
        <w:rPr>
          <w:noProof/>
        </w:rPr>
        <w:tab/>
        <w:t>Wagstaff A, Paci P, Doorslaer EV. On the measurement of inequalities in health. Social Science &amp; Medicine1991. p. 545-57.</w:t>
      </w:r>
    </w:p>
    <w:p w14:paraId="68F1EE33" w14:textId="77777777" w:rsidR="00782AF6" w:rsidRPr="00782AF6" w:rsidRDefault="00782AF6" w:rsidP="00827A1A">
      <w:pPr>
        <w:pStyle w:val="EndNoteBibliography"/>
        <w:ind w:left="720" w:hanging="720"/>
        <w:rPr>
          <w:noProof/>
        </w:rPr>
      </w:pPr>
      <w:r w:rsidRPr="00782AF6">
        <w:rPr>
          <w:noProof/>
        </w:rPr>
        <w:t>2.</w:t>
      </w:r>
      <w:r w:rsidRPr="00782AF6">
        <w:rPr>
          <w:noProof/>
        </w:rPr>
        <w:tab/>
        <w:t>Mackenbach JP, Kunst AE. Measuring the magnitude of socio-economic inequalities in health: An overview of available measures illustrated with two examples from Europe. Social Science and Medicine1997. p. 757-71.</w:t>
      </w:r>
    </w:p>
    <w:p w14:paraId="13FE2863" w14:textId="77777777" w:rsidR="00782AF6" w:rsidRPr="00782AF6" w:rsidRDefault="00782AF6" w:rsidP="00827A1A">
      <w:pPr>
        <w:pStyle w:val="EndNoteBibliography"/>
        <w:ind w:left="720" w:hanging="720"/>
        <w:rPr>
          <w:noProof/>
        </w:rPr>
      </w:pPr>
      <w:r w:rsidRPr="00782AF6">
        <w:rPr>
          <w:noProof/>
        </w:rPr>
        <w:t>3.</w:t>
      </w:r>
      <w:r w:rsidRPr="00782AF6">
        <w:rPr>
          <w:noProof/>
        </w:rPr>
        <w:tab/>
        <w:t>Low A, Low A. Measuring the gap: Quantifying and comparing local health inequalities. Journal of Public Health2004. p. 388-95.</w:t>
      </w:r>
    </w:p>
    <w:p w14:paraId="748F248B" w14:textId="77777777" w:rsidR="00782AF6" w:rsidRPr="00782AF6" w:rsidRDefault="00782AF6" w:rsidP="00827A1A">
      <w:pPr>
        <w:pStyle w:val="EndNoteBibliography"/>
        <w:ind w:left="720" w:hanging="720"/>
        <w:rPr>
          <w:noProof/>
        </w:rPr>
      </w:pPr>
      <w:r w:rsidRPr="00782AF6">
        <w:rPr>
          <w:noProof/>
        </w:rPr>
        <w:t>4.</w:t>
      </w:r>
      <w:r w:rsidRPr="00782AF6">
        <w:rPr>
          <w:noProof/>
        </w:rPr>
        <w:tab/>
        <w:t>Asada Y. On the Choice of Absolute or Relative Inequality Measures. The Milbank quarterly2010. p. 616-22.</w:t>
      </w:r>
    </w:p>
    <w:p w14:paraId="06D5EFC0" w14:textId="77777777" w:rsidR="00782AF6" w:rsidRPr="00782AF6" w:rsidRDefault="00782AF6" w:rsidP="00827A1A">
      <w:pPr>
        <w:pStyle w:val="EndNoteBibliography"/>
        <w:ind w:left="720" w:hanging="720"/>
        <w:rPr>
          <w:noProof/>
        </w:rPr>
      </w:pPr>
      <w:r w:rsidRPr="00782AF6">
        <w:rPr>
          <w:noProof/>
        </w:rPr>
        <w:t>5.</w:t>
      </w:r>
      <w:r w:rsidRPr="00782AF6">
        <w:rPr>
          <w:noProof/>
        </w:rPr>
        <w:tab/>
        <w:t>Kjellsson G, Gerdtham U-g, Petrie D. Lies, Damned Lies, and Health Inequality Measurements. Epidemiology2015. p. 673-80.</w:t>
      </w:r>
    </w:p>
    <w:p w14:paraId="161750D7" w14:textId="77777777" w:rsidR="00782AF6" w:rsidRPr="00782AF6" w:rsidRDefault="00782AF6" w:rsidP="00827A1A">
      <w:pPr>
        <w:pStyle w:val="EndNoteBibliography"/>
        <w:ind w:left="720" w:hanging="720"/>
        <w:rPr>
          <w:noProof/>
        </w:rPr>
      </w:pPr>
      <w:r w:rsidRPr="00782AF6">
        <w:rPr>
          <w:noProof/>
        </w:rPr>
        <w:t>6.</w:t>
      </w:r>
      <w:r w:rsidRPr="00782AF6">
        <w:rPr>
          <w:noProof/>
        </w:rPr>
        <w:tab/>
        <w:t>Harper SAM, King NB, Stephen C, Reichman ME, Western C, Cancer N. Implicit Value Judgments in the Measurement of Health Inequalities. Milbank quarterly. 2010;88(1):4-29.</w:t>
      </w:r>
    </w:p>
    <w:p w14:paraId="64D3C7DE" w14:textId="77777777" w:rsidR="00782AF6" w:rsidRPr="00782AF6" w:rsidRDefault="00782AF6" w:rsidP="00827A1A">
      <w:pPr>
        <w:pStyle w:val="EndNoteBibliography"/>
        <w:ind w:left="720" w:hanging="720"/>
        <w:rPr>
          <w:noProof/>
        </w:rPr>
      </w:pPr>
      <w:r w:rsidRPr="00782AF6">
        <w:rPr>
          <w:noProof/>
        </w:rPr>
        <w:t>7.</w:t>
      </w:r>
      <w:r w:rsidRPr="00782AF6">
        <w:rPr>
          <w:noProof/>
        </w:rPr>
        <w:tab/>
        <w:t>Kakwani NC. Measurement of Tax Progressivity: An International Comparison. Economic Journal. 1977;87(345):71-80.</w:t>
      </w:r>
    </w:p>
    <w:p w14:paraId="2112C73E" w14:textId="77777777" w:rsidR="00782AF6" w:rsidRPr="00782AF6" w:rsidRDefault="00782AF6" w:rsidP="00827A1A">
      <w:pPr>
        <w:pStyle w:val="EndNoteBibliography"/>
        <w:ind w:left="720" w:hanging="720"/>
        <w:rPr>
          <w:noProof/>
        </w:rPr>
      </w:pPr>
      <w:r w:rsidRPr="00782AF6">
        <w:rPr>
          <w:noProof/>
        </w:rPr>
        <w:t>8.</w:t>
      </w:r>
      <w:r w:rsidRPr="00782AF6">
        <w:rPr>
          <w:noProof/>
        </w:rPr>
        <w:tab/>
        <w:t>O'Donnell O, van Doorslaer E, Wagstaff A, Lindelow M. Analyzing Health Equity Using Household Survey Data. Washington, DC: World Bank Institute; 2008.</w:t>
      </w:r>
    </w:p>
    <w:p w14:paraId="4B1B57F0" w14:textId="77777777" w:rsidR="00782AF6" w:rsidRPr="00782AF6" w:rsidRDefault="00782AF6" w:rsidP="00827A1A">
      <w:pPr>
        <w:pStyle w:val="EndNoteBibliography"/>
        <w:ind w:left="720" w:hanging="720"/>
        <w:rPr>
          <w:noProof/>
        </w:rPr>
      </w:pPr>
      <w:r w:rsidRPr="00782AF6">
        <w:rPr>
          <w:noProof/>
        </w:rPr>
        <w:t>9.</w:t>
      </w:r>
      <w:r w:rsidRPr="00782AF6">
        <w:rPr>
          <w:noProof/>
        </w:rPr>
        <w:tab/>
        <w:t>Erreygers G, Ourti TV. Measuring socioeconomic inequality in health , health care and health financing by means of rank-dependent indices : A recipe for good practice. Journal of Health Economics: Elsevier B.V.; 2011. p. 685-94.</w:t>
      </w:r>
    </w:p>
    <w:p w14:paraId="4D7083F8" w14:textId="77777777" w:rsidR="00782AF6" w:rsidRPr="00D80A84" w:rsidRDefault="00782AF6" w:rsidP="00827A1A">
      <w:pPr>
        <w:pStyle w:val="EndNoteBibliography"/>
        <w:ind w:left="720" w:hanging="720"/>
        <w:rPr>
          <w:noProof/>
          <w:lang w:val="da-DK"/>
        </w:rPr>
      </w:pPr>
      <w:r w:rsidRPr="00782AF6">
        <w:rPr>
          <w:noProof/>
        </w:rPr>
        <w:t>10.</w:t>
      </w:r>
      <w:r w:rsidRPr="00782AF6">
        <w:rPr>
          <w:noProof/>
        </w:rPr>
        <w:tab/>
        <w:t xml:space="preserve">O’Donnell O, O’Neill S, Van Ourti T, Walsh B. conindex: Estimation of concentration indices. </w:t>
      </w:r>
      <w:r w:rsidRPr="00D80A84">
        <w:rPr>
          <w:noProof/>
          <w:lang w:val="da-DK"/>
        </w:rPr>
        <w:t>Stata Journal2016. p. 112-38.</w:t>
      </w:r>
    </w:p>
    <w:p w14:paraId="277F6F8B" w14:textId="77777777" w:rsidR="00782AF6" w:rsidRPr="00782AF6" w:rsidRDefault="00782AF6" w:rsidP="00827A1A">
      <w:pPr>
        <w:pStyle w:val="EndNoteBibliography"/>
        <w:ind w:left="720" w:hanging="720"/>
        <w:rPr>
          <w:noProof/>
        </w:rPr>
      </w:pPr>
      <w:r w:rsidRPr="00D80A84">
        <w:rPr>
          <w:noProof/>
          <w:lang w:val="da-DK"/>
        </w:rPr>
        <w:lastRenderedPageBreak/>
        <w:t>11.</w:t>
      </w:r>
      <w:r w:rsidRPr="00D80A84">
        <w:rPr>
          <w:noProof/>
          <w:lang w:val="da-DK"/>
        </w:rPr>
        <w:tab/>
        <w:t xml:space="preserve">Khang Y-h, Lim D, Kang H-y, Chang Y, Bahk J, Kim I, et al. </w:t>
      </w:r>
      <w:r w:rsidRPr="00782AF6">
        <w:rPr>
          <w:noProof/>
        </w:rPr>
        <w:t>A publicly well-accepted measure versus an academically desirable measure of health inequality : cross- sectional comparison of the difference between income quintiles with the slope index of inequality. 2019. p. 1-7.</w:t>
      </w:r>
    </w:p>
    <w:p w14:paraId="5A7987F9" w14:textId="77777777" w:rsidR="00782AF6" w:rsidRPr="00782AF6" w:rsidRDefault="00782AF6" w:rsidP="00827A1A">
      <w:pPr>
        <w:pStyle w:val="EndNoteBibliography"/>
        <w:ind w:left="720" w:hanging="720"/>
        <w:rPr>
          <w:noProof/>
        </w:rPr>
      </w:pPr>
      <w:r w:rsidRPr="00782AF6">
        <w:rPr>
          <w:noProof/>
        </w:rPr>
        <w:t>12.</w:t>
      </w:r>
      <w:r w:rsidRPr="00782AF6">
        <w:rPr>
          <w:noProof/>
        </w:rPr>
        <w:tab/>
        <w:t>Pamuk ER. Social Class Inequality in Mortality from 1921 to 1972 in England and Wales. Population Studies. 1985;39(1):17-31.</w:t>
      </w:r>
    </w:p>
    <w:p w14:paraId="1F9657AC" w14:textId="77777777" w:rsidR="00782AF6" w:rsidRPr="00782AF6" w:rsidRDefault="00782AF6" w:rsidP="00827A1A">
      <w:pPr>
        <w:pStyle w:val="EndNoteBibliography"/>
        <w:ind w:left="720" w:hanging="720"/>
        <w:rPr>
          <w:noProof/>
        </w:rPr>
      </w:pPr>
      <w:r w:rsidRPr="00782AF6">
        <w:rPr>
          <w:noProof/>
        </w:rPr>
        <w:t>13.</w:t>
      </w:r>
      <w:r w:rsidRPr="00782AF6">
        <w:rPr>
          <w:noProof/>
        </w:rPr>
        <w:tab/>
        <w:t>Moreno-Betancur M, Latouche A, Menvielle G, Kunst AE, Rey G. Relative Index of Inequality and Slope Index of Inequality A Structured Regression Framework for Estimation. Epidemiology2015. p. 518-27.</w:t>
      </w:r>
    </w:p>
    <w:p w14:paraId="713169D6" w14:textId="74C5D12D" w:rsidR="00210339" w:rsidRDefault="002A2416" w:rsidP="00827A1A">
      <w:pPr>
        <w:spacing w:line="480" w:lineRule="auto"/>
        <w:ind w:left="720" w:hanging="720"/>
      </w:pPr>
      <w:r w:rsidRPr="0085229B">
        <w:fldChar w:fldCharType="end"/>
      </w:r>
    </w:p>
    <w:p w14:paraId="63F6AD6C" w14:textId="1191201D" w:rsidR="00827A1A" w:rsidRPr="00827A1A" w:rsidRDefault="00827A1A" w:rsidP="00827A1A"/>
    <w:p w14:paraId="0789BB13" w14:textId="49DA86C4" w:rsidR="00827A1A" w:rsidRPr="00827A1A" w:rsidRDefault="00827A1A" w:rsidP="00827A1A"/>
    <w:p w14:paraId="5F70F640" w14:textId="0BA3E86B" w:rsidR="00827A1A" w:rsidRPr="00827A1A" w:rsidRDefault="00827A1A" w:rsidP="00827A1A"/>
    <w:p w14:paraId="2A180B51" w14:textId="7776EFF9" w:rsidR="00827A1A" w:rsidRPr="00827A1A" w:rsidRDefault="00827A1A" w:rsidP="00827A1A"/>
    <w:p w14:paraId="28E12396" w14:textId="601EFC58" w:rsidR="00827A1A" w:rsidRPr="00827A1A" w:rsidRDefault="00827A1A" w:rsidP="00827A1A"/>
    <w:p w14:paraId="1FC3A76B" w14:textId="2FFA797B" w:rsidR="00827A1A" w:rsidRPr="00827A1A" w:rsidRDefault="00827A1A" w:rsidP="00827A1A"/>
    <w:p w14:paraId="371333B5" w14:textId="76B3804A" w:rsidR="00827A1A" w:rsidRPr="00827A1A" w:rsidRDefault="00827A1A" w:rsidP="00827A1A"/>
    <w:p w14:paraId="5F4D9968" w14:textId="3F0314CE" w:rsidR="00827A1A" w:rsidRPr="00827A1A" w:rsidRDefault="00827A1A" w:rsidP="00827A1A"/>
    <w:p w14:paraId="7441FD7F" w14:textId="22A6E919" w:rsidR="00827A1A" w:rsidRPr="00827A1A" w:rsidRDefault="00827A1A" w:rsidP="00827A1A"/>
    <w:p w14:paraId="78493693" w14:textId="4A4E6537" w:rsidR="00827A1A" w:rsidRDefault="00827A1A" w:rsidP="00827A1A">
      <w:pPr>
        <w:jc w:val="center"/>
      </w:pPr>
    </w:p>
    <w:p w14:paraId="3C8DD99B" w14:textId="28E1D4FE" w:rsidR="00D80A84" w:rsidRDefault="00D80A84" w:rsidP="00827A1A">
      <w:pPr>
        <w:jc w:val="center"/>
      </w:pPr>
    </w:p>
    <w:p w14:paraId="7AB4EB43" w14:textId="09B26520" w:rsidR="00D80A84" w:rsidRDefault="00D80A84" w:rsidP="00827A1A">
      <w:pPr>
        <w:jc w:val="center"/>
      </w:pPr>
    </w:p>
    <w:p w14:paraId="1BDE32CD" w14:textId="364FA276" w:rsidR="00D80A84" w:rsidRDefault="00D80A84" w:rsidP="00827A1A">
      <w:pPr>
        <w:jc w:val="center"/>
      </w:pPr>
    </w:p>
    <w:p w14:paraId="2818675B" w14:textId="4B41C368" w:rsidR="00D80A84" w:rsidRDefault="00D80A84" w:rsidP="00827A1A">
      <w:pPr>
        <w:jc w:val="center"/>
      </w:pPr>
    </w:p>
    <w:p w14:paraId="34F25336" w14:textId="4F6EFDB5" w:rsidR="00D80A84" w:rsidRDefault="00D80A84" w:rsidP="00827A1A">
      <w:pPr>
        <w:jc w:val="center"/>
      </w:pPr>
    </w:p>
    <w:p w14:paraId="7007E058" w14:textId="793676C4" w:rsidR="00D80A84" w:rsidRDefault="00D80A84" w:rsidP="00827A1A">
      <w:pPr>
        <w:jc w:val="center"/>
      </w:pPr>
    </w:p>
    <w:p w14:paraId="39774580" w14:textId="2FB20290" w:rsidR="00D80A84" w:rsidRDefault="00D80A84" w:rsidP="00827A1A">
      <w:pPr>
        <w:jc w:val="center"/>
      </w:pPr>
    </w:p>
    <w:p w14:paraId="5B191797" w14:textId="6CAAEE6B" w:rsidR="00D80A84" w:rsidRDefault="00D80A84" w:rsidP="00827A1A">
      <w:pPr>
        <w:jc w:val="center"/>
      </w:pPr>
    </w:p>
    <w:p w14:paraId="748974A8" w14:textId="584D3F8D" w:rsidR="00D80A84" w:rsidRDefault="00D80A84" w:rsidP="00827A1A">
      <w:pPr>
        <w:jc w:val="center"/>
      </w:pPr>
    </w:p>
    <w:p w14:paraId="268BDB11" w14:textId="5E5FE2A8" w:rsidR="00D80A84" w:rsidRDefault="00D80A84" w:rsidP="00827A1A">
      <w:pPr>
        <w:jc w:val="center"/>
      </w:pPr>
    </w:p>
    <w:p w14:paraId="1F872BD0" w14:textId="1FA889CE" w:rsidR="00D80A84" w:rsidRDefault="00D80A84" w:rsidP="00827A1A">
      <w:pPr>
        <w:jc w:val="center"/>
      </w:pPr>
    </w:p>
    <w:p w14:paraId="1FBB6301" w14:textId="72D1D58F" w:rsidR="00D80A84" w:rsidRDefault="00D80A84" w:rsidP="00827A1A">
      <w:pPr>
        <w:jc w:val="center"/>
      </w:pPr>
    </w:p>
    <w:p w14:paraId="76FAB1A0" w14:textId="0A7D4FDF" w:rsidR="00D80A84" w:rsidRDefault="00D80A84" w:rsidP="00827A1A">
      <w:pPr>
        <w:jc w:val="center"/>
      </w:pPr>
    </w:p>
    <w:p w14:paraId="046DE486" w14:textId="06E4993D" w:rsidR="00D80A84" w:rsidRDefault="00D80A84" w:rsidP="00827A1A">
      <w:pPr>
        <w:jc w:val="center"/>
      </w:pPr>
    </w:p>
    <w:p w14:paraId="0AD76140" w14:textId="03BA8E8C" w:rsidR="00D80A84" w:rsidRDefault="00D80A84" w:rsidP="00827A1A">
      <w:pPr>
        <w:jc w:val="center"/>
      </w:pPr>
    </w:p>
    <w:p w14:paraId="26FB507A" w14:textId="124B13F7" w:rsidR="00D80A84" w:rsidRDefault="00D80A84" w:rsidP="00827A1A">
      <w:pPr>
        <w:jc w:val="center"/>
      </w:pPr>
    </w:p>
    <w:p w14:paraId="6549B4AF" w14:textId="57A58220" w:rsidR="00D80A84" w:rsidRDefault="00D80A84" w:rsidP="00827A1A">
      <w:pPr>
        <w:jc w:val="center"/>
      </w:pPr>
    </w:p>
    <w:p w14:paraId="037DFCB1" w14:textId="1353B778" w:rsidR="00D80A84" w:rsidRDefault="00D80A84" w:rsidP="00827A1A">
      <w:pPr>
        <w:jc w:val="center"/>
      </w:pPr>
    </w:p>
    <w:p w14:paraId="6D48CC1F" w14:textId="77777777" w:rsidR="00D80A84" w:rsidRDefault="00D80A84" w:rsidP="00D80A84">
      <w:pPr>
        <w:spacing w:line="360" w:lineRule="auto"/>
        <w:jc w:val="center"/>
        <w:rPr>
          <w:b/>
          <w:bCs/>
        </w:rPr>
      </w:pPr>
    </w:p>
    <w:p w14:paraId="1CCBA166" w14:textId="77777777" w:rsidR="00D80A84" w:rsidRPr="00691DC1" w:rsidRDefault="00D80A84" w:rsidP="00D80A84">
      <w:pPr>
        <w:spacing w:line="360" w:lineRule="auto"/>
        <w:jc w:val="center"/>
        <w:rPr>
          <w:b/>
          <w:bCs/>
        </w:rPr>
      </w:pPr>
      <w:r w:rsidRPr="00691DC1">
        <w:rPr>
          <w:b/>
          <w:bCs/>
        </w:rPr>
        <w:t>Appendix</w:t>
      </w:r>
      <w:r>
        <w:rPr>
          <w:b/>
          <w:bCs/>
        </w:rPr>
        <w:t xml:space="preserve"> B</w:t>
      </w:r>
    </w:p>
    <w:p w14:paraId="4AFB7B54" w14:textId="77777777" w:rsidR="00D80A84" w:rsidRPr="00691DC1" w:rsidRDefault="00D80A84" w:rsidP="00D80A84">
      <w:pPr>
        <w:spacing w:line="360" w:lineRule="auto"/>
        <w:rPr>
          <w:b/>
          <w:bCs/>
        </w:rPr>
      </w:pPr>
      <w:r w:rsidRPr="00691DC1">
        <w:rPr>
          <w:b/>
          <w:bCs/>
        </w:rPr>
        <w:t xml:space="preserve">Quality of care measures </w:t>
      </w:r>
    </w:p>
    <w:tbl>
      <w:tblPr>
        <w:tblStyle w:val="Tabel-Gitter"/>
        <w:tblW w:w="489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43"/>
      </w:tblGrid>
      <w:tr w:rsidR="00D80A84" w:rsidRPr="0032277C" w14:paraId="1E486020" w14:textId="77777777" w:rsidTr="0032277C">
        <w:trPr>
          <w:trHeight w:val="157"/>
        </w:trPr>
        <w:tc>
          <w:tcPr>
            <w:tcW w:w="5000" w:type="pct"/>
            <w:hideMark/>
          </w:tcPr>
          <w:p w14:paraId="2CB724FA" w14:textId="77777777" w:rsidR="00D80A84" w:rsidRPr="00691DC1" w:rsidRDefault="00D80A84" w:rsidP="0032277C">
            <w:pPr>
              <w:spacing w:line="360" w:lineRule="auto"/>
            </w:pPr>
          </w:p>
          <w:p w14:paraId="09124E09"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Ischemic stroke patient without atrial fibrillation receives platelet-inhibitor therapy within 2 days of admission</w:t>
            </w:r>
          </w:p>
        </w:tc>
      </w:tr>
      <w:tr w:rsidR="00D80A84" w:rsidRPr="0032277C" w14:paraId="61719DAA" w14:textId="77777777" w:rsidTr="0032277C">
        <w:trPr>
          <w:trHeight w:val="157"/>
        </w:trPr>
        <w:tc>
          <w:tcPr>
            <w:tcW w:w="5000" w:type="pct"/>
            <w:hideMark/>
          </w:tcPr>
          <w:p w14:paraId="599C6F95"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Ischemic stroke patient with atrial fibrillation receives oral anticoagulation therapy within 14 days after admission</w:t>
            </w:r>
          </w:p>
        </w:tc>
      </w:tr>
      <w:tr w:rsidR="00D80A84" w:rsidRPr="0032277C" w14:paraId="308A53B8" w14:textId="77777777" w:rsidTr="0032277C">
        <w:trPr>
          <w:trHeight w:val="85"/>
        </w:trPr>
        <w:tc>
          <w:tcPr>
            <w:tcW w:w="5000" w:type="pct"/>
            <w:hideMark/>
          </w:tcPr>
          <w:p w14:paraId="5EBA6A3B"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Stroke patient is examined with a CT/MRI scan on the day of admission</w:t>
            </w:r>
          </w:p>
        </w:tc>
      </w:tr>
      <w:tr w:rsidR="00D80A84" w:rsidRPr="0032277C" w14:paraId="1E84977F" w14:textId="77777777" w:rsidTr="0032277C">
        <w:trPr>
          <w:trHeight w:val="157"/>
        </w:trPr>
        <w:tc>
          <w:tcPr>
            <w:tcW w:w="5000" w:type="pct"/>
            <w:hideMark/>
          </w:tcPr>
          <w:p w14:paraId="45BA7E1A"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Stroke patient is assessed by a physiotherapist about the need for rehabilitation (including type and extent) within the second day of admission</w:t>
            </w:r>
          </w:p>
        </w:tc>
      </w:tr>
      <w:tr w:rsidR="00D80A84" w:rsidRPr="0032277C" w14:paraId="2D959B9F" w14:textId="77777777" w:rsidTr="0032277C">
        <w:trPr>
          <w:trHeight w:val="157"/>
        </w:trPr>
        <w:tc>
          <w:tcPr>
            <w:tcW w:w="5000" w:type="pct"/>
            <w:hideMark/>
          </w:tcPr>
          <w:p w14:paraId="5FB493C3"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Stroke patient is assessed by an occupational therapist about the need for rehabilitation (including type and extent) within the second day of admission</w:t>
            </w:r>
          </w:p>
        </w:tc>
      </w:tr>
      <w:tr w:rsidR="00D80A84" w:rsidRPr="0032277C" w14:paraId="4C71ECF6" w14:textId="77777777" w:rsidTr="0032277C">
        <w:trPr>
          <w:trHeight w:val="85"/>
        </w:trPr>
        <w:tc>
          <w:tcPr>
            <w:tcW w:w="5000" w:type="pct"/>
            <w:hideMark/>
          </w:tcPr>
          <w:p w14:paraId="5F7FFF4C"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Stroke patient is mobilized on the day of admission</w:t>
            </w:r>
          </w:p>
        </w:tc>
      </w:tr>
      <w:tr w:rsidR="00D80A84" w:rsidRPr="0032277C" w14:paraId="12AEC1E9" w14:textId="77777777" w:rsidTr="0032277C">
        <w:trPr>
          <w:trHeight w:val="85"/>
        </w:trPr>
        <w:tc>
          <w:tcPr>
            <w:tcW w:w="5000" w:type="pct"/>
            <w:hideMark/>
          </w:tcPr>
          <w:p w14:paraId="499C77DA"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Stroke patient receives a nutritional risk assessment within the second day of admission</w:t>
            </w:r>
          </w:p>
        </w:tc>
      </w:tr>
      <w:tr w:rsidR="00D80A84" w:rsidRPr="0032277C" w14:paraId="3D675035" w14:textId="77777777" w:rsidTr="0032277C">
        <w:trPr>
          <w:trHeight w:val="94"/>
        </w:trPr>
        <w:tc>
          <w:tcPr>
            <w:tcW w:w="5000" w:type="pct"/>
            <w:hideMark/>
          </w:tcPr>
          <w:p w14:paraId="5551C7B5"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Stroke patient is admitted to a stroke unit within the second day of admission</w:t>
            </w:r>
          </w:p>
        </w:tc>
      </w:tr>
      <w:tr w:rsidR="00D80A84" w:rsidRPr="0032277C" w14:paraId="3397BD45" w14:textId="77777777" w:rsidTr="0032277C">
        <w:trPr>
          <w:trHeight w:val="157"/>
        </w:trPr>
        <w:tc>
          <w:tcPr>
            <w:tcW w:w="5000" w:type="pct"/>
            <w:hideMark/>
          </w:tcPr>
          <w:p w14:paraId="3F7CD8D8"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Ischemic stroke patient is examined with ultrasound or CT/MR angiography of the carotid arteries within 4 days of admission</w:t>
            </w:r>
          </w:p>
        </w:tc>
      </w:tr>
      <w:tr w:rsidR="00D80A84" w:rsidRPr="0032277C" w14:paraId="709EDCFC" w14:textId="77777777" w:rsidTr="0032277C">
        <w:trPr>
          <w:trHeight w:val="85"/>
        </w:trPr>
        <w:tc>
          <w:tcPr>
            <w:tcW w:w="5000" w:type="pct"/>
            <w:hideMark/>
          </w:tcPr>
          <w:p w14:paraId="5F44E1FF"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Stroke patient is admitted to a hospital within 3 hours after symptom onset</w:t>
            </w:r>
          </w:p>
        </w:tc>
      </w:tr>
      <w:tr w:rsidR="00D80A84" w:rsidRPr="0032277C" w14:paraId="5B2C931B" w14:textId="77777777" w:rsidTr="0032277C">
        <w:trPr>
          <w:trHeight w:val="85"/>
        </w:trPr>
        <w:tc>
          <w:tcPr>
            <w:tcW w:w="5000" w:type="pct"/>
            <w:hideMark/>
          </w:tcPr>
          <w:p w14:paraId="19909839"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Stroke patient is admitted to a hospital within 4.5 hours of symptom onset</w:t>
            </w:r>
          </w:p>
        </w:tc>
      </w:tr>
      <w:tr w:rsidR="00D80A84" w:rsidRPr="0032277C" w14:paraId="1D3AB493" w14:textId="77777777" w:rsidTr="0032277C">
        <w:trPr>
          <w:trHeight w:val="157"/>
        </w:trPr>
        <w:tc>
          <w:tcPr>
            <w:tcW w:w="5000" w:type="pct"/>
            <w:hideMark/>
          </w:tcPr>
          <w:p w14:paraId="581448D3"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Stroke patient receives indirect swallowing test on the day of admission before receiving food or fluids to assess swallowing function and risk of aspiration</w:t>
            </w:r>
          </w:p>
        </w:tc>
      </w:tr>
      <w:tr w:rsidR="00D80A84" w:rsidRPr="0032277C" w14:paraId="37127081" w14:textId="77777777" w:rsidTr="0032277C">
        <w:trPr>
          <w:trHeight w:val="156"/>
        </w:trPr>
        <w:tc>
          <w:tcPr>
            <w:tcW w:w="5000" w:type="pct"/>
            <w:hideMark/>
          </w:tcPr>
          <w:p w14:paraId="702E30C9"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Stroke patient receives direct swallowing test on the day of admission before receiving food or fluids to assess swallowing function and risk of aspiration</w:t>
            </w:r>
          </w:p>
        </w:tc>
      </w:tr>
      <w:tr w:rsidR="00D80A84" w:rsidRPr="0032277C" w14:paraId="22E85E54" w14:textId="77777777" w:rsidTr="0032277C">
        <w:trPr>
          <w:trHeight w:val="157"/>
        </w:trPr>
        <w:tc>
          <w:tcPr>
            <w:tcW w:w="5000" w:type="pct"/>
            <w:hideMark/>
          </w:tcPr>
          <w:p w14:paraId="5972C47A"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Ischemic stroke patient undergoes carotid endarterectomy within 14 days of admission</w:t>
            </w:r>
          </w:p>
        </w:tc>
      </w:tr>
      <w:tr w:rsidR="00D80A84" w:rsidRPr="0032277C" w14:paraId="4F6E8E26" w14:textId="77777777" w:rsidTr="0032277C">
        <w:trPr>
          <w:trHeight w:val="85"/>
        </w:trPr>
        <w:tc>
          <w:tcPr>
            <w:tcW w:w="5000" w:type="pct"/>
            <w:hideMark/>
          </w:tcPr>
          <w:p w14:paraId="47778678"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 xml:space="preserve">Stroke patient is treated with thrombolysis and has a door-to-needle time of </w:t>
            </w:r>
            <w:r w:rsidRPr="00691DC1">
              <w:rPr>
                <w:lang w:val="en-GB"/>
              </w:rPr>
              <w:sym w:font="Symbol" w:char="F0A3"/>
            </w:r>
            <w:r w:rsidRPr="00691DC1">
              <w:rPr>
                <w:rFonts w:ascii="Times New Roman" w:hAnsi="Times New Roman" w:cs="Times New Roman"/>
                <w:lang w:val="en-GB"/>
              </w:rPr>
              <w:t>1 h</w:t>
            </w:r>
          </w:p>
        </w:tc>
      </w:tr>
      <w:tr w:rsidR="00D80A84" w:rsidRPr="0032277C" w14:paraId="1EC8D865" w14:textId="77777777" w:rsidTr="0032277C">
        <w:trPr>
          <w:trHeight w:val="85"/>
        </w:trPr>
        <w:tc>
          <w:tcPr>
            <w:tcW w:w="5000" w:type="pct"/>
            <w:hideMark/>
          </w:tcPr>
          <w:p w14:paraId="5F501880" w14:textId="77777777" w:rsidR="00D80A84" w:rsidRPr="00691DC1" w:rsidRDefault="00D80A84" w:rsidP="00D80A84">
            <w:pPr>
              <w:pStyle w:val="Listeafsnit"/>
              <w:numPr>
                <w:ilvl w:val="0"/>
                <w:numId w:val="1"/>
              </w:numPr>
              <w:spacing w:line="360" w:lineRule="auto"/>
              <w:rPr>
                <w:rFonts w:ascii="Times New Roman" w:hAnsi="Times New Roman" w:cs="Times New Roman"/>
                <w:lang w:val="en-GB"/>
              </w:rPr>
            </w:pPr>
            <w:r w:rsidRPr="00691DC1">
              <w:rPr>
                <w:rFonts w:ascii="Times New Roman" w:hAnsi="Times New Roman" w:cs="Times New Roman"/>
                <w:lang w:val="en-GB"/>
              </w:rPr>
              <w:t>Ischemic stroke patient receives thrombolysis</w:t>
            </w:r>
          </w:p>
        </w:tc>
      </w:tr>
    </w:tbl>
    <w:p w14:paraId="1A2251C4" w14:textId="77777777" w:rsidR="00D80A84" w:rsidRPr="00691DC1" w:rsidRDefault="00D80A84" w:rsidP="00D80A84">
      <w:pPr>
        <w:tabs>
          <w:tab w:val="left" w:pos="3969"/>
        </w:tabs>
        <w:spacing w:line="360" w:lineRule="auto"/>
      </w:pPr>
      <w:r w:rsidRPr="00691DC1">
        <w:t>Note: These measures have been presented in an earlier publication, see Hyldgård et. al, 2019</w:t>
      </w:r>
    </w:p>
    <w:p w14:paraId="04C28664" w14:textId="77777777" w:rsidR="00D80A84" w:rsidRPr="00691DC1" w:rsidRDefault="00D80A84" w:rsidP="00D80A84">
      <w:pPr>
        <w:spacing w:line="360" w:lineRule="auto"/>
      </w:pPr>
    </w:p>
    <w:p w14:paraId="418FD03E" w14:textId="77777777" w:rsidR="00D80A84" w:rsidRPr="00827A1A" w:rsidRDefault="00D80A84" w:rsidP="00827A1A">
      <w:pPr>
        <w:jc w:val="center"/>
      </w:pPr>
    </w:p>
    <w:sectPr w:rsidR="00D80A84" w:rsidRPr="00827A1A">
      <w:headerReference w:type="default" r:id="rId7"/>
      <w:footerReference w:type="even"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9B82E" w14:textId="77777777" w:rsidR="009A0C4F" w:rsidRDefault="009A0C4F" w:rsidP="00283425">
      <w:r>
        <w:separator/>
      </w:r>
    </w:p>
  </w:endnote>
  <w:endnote w:type="continuationSeparator" w:id="0">
    <w:p w14:paraId="161570D7" w14:textId="77777777" w:rsidR="009A0C4F" w:rsidRDefault="009A0C4F" w:rsidP="0028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729343542"/>
      <w:docPartObj>
        <w:docPartGallery w:val="Page Numbers (Bottom of Page)"/>
        <w:docPartUnique/>
      </w:docPartObj>
    </w:sdtPr>
    <w:sdtContent>
      <w:p w14:paraId="3CD86941" w14:textId="2F38164D" w:rsidR="00D80A84" w:rsidRDefault="00D80A84" w:rsidP="003464B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0CEAA1DD" w14:textId="77777777" w:rsidR="00D80A84" w:rsidRDefault="00D80A84" w:rsidP="00D80A8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278330253"/>
      <w:docPartObj>
        <w:docPartGallery w:val="Page Numbers (Bottom of Page)"/>
        <w:docPartUnique/>
      </w:docPartObj>
    </w:sdtPr>
    <w:sdtContent>
      <w:p w14:paraId="0BB26121" w14:textId="483CD234" w:rsidR="00D80A84" w:rsidRDefault="00D80A84" w:rsidP="003464B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6</w:t>
        </w:r>
        <w:r>
          <w:rPr>
            <w:rStyle w:val="Sidetal"/>
          </w:rPr>
          <w:fldChar w:fldCharType="end"/>
        </w:r>
      </w:p>
    </w:sdtContent>
  </w:sdt>
  <w:p w14:paraId="42F04BC3" w14:textId="77777777" w:rsidR="00D80A84" w:rsidRDefault="00D80A84" w:rsidP="00D80A84">
    <w:pPr>
      <w:pStyle w:val="Sidefo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7C832" w14:textId="77777777" w:rsidR="009A0C4F" w:rsidRDefault="009A0C4F" w:rsidP="00283425">
      <w:r>
        <w:separator/>
      </w:r>
    </w:p>
  </w:footnote>
  <w:footnote w:type="continuationSeparator" w:id="0">
    <w:p w14:paraId="02AFE497" w14:textId="77777777" w:rsidR="009A0C4F" w:rsidRDefault="009A0C4F" w:rsidP="00283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1888" w14:textId="77777777" w:rsidR="00283425" w:rsidRPr="00283425" w:rsidRDefault="00283425" w:rsidP="00283425">
    <w:pPr>
      <w:pStyle w:val="Sidehoved"/>
      <w:jc w:val="right"/>
      <w:rPr>
        <w:rFonts w:ascii="Times New Roman" w:hAnsi="Times New Roman" w:cs="Times New Roman"/>
        <w:lang w:val="en-GB"/>
      </w:rPr>
    </w:pPr>
    <w:r w:rsidRPr="00283425">
      <w:rPr>
        <w:rFonts w:ascii="Times New Roman" w:hAnsi="Times New Roman" w:cs="Times New Roman"/>
        <w:lang w:val="en-GB"/>
      </w:rPr>
      <w:t xml:space="preserve">Index-based inequality in quality of care: </w:t>
    </w:r>
  </w:p>
  <w:p w14:paraId="63EB7470" w14:textId="67B4EBD4" w:rsidR="00283425" w:rsidRPr="00283425" w:rsidRDefault="00283425" w:rsidP="00283425">
    <w:pPr>
      <w:pStyle w:val="Sidehoved"/>
      <w:jc w:val="right"/>
      <w:rPr>
        <w:rFonts w:ascii="Times New Roman" w:hAnsi="Times New Roman" w:cs="Times New Roman"/>
        <w:lang w:val="en-GB"/>
      </w:rPr>
    </w:pPr>
    <w:r w:rsidRPr="00283425">
      <w:rPr>
        <w:rFonts w:ascii="Times New Roman" w:hAnsi="Times New Roman" w:cs="Times New Roman"/>
        <w:lang w:val="en-GB"/>
      </w:rPr>
      <w:t>An empirical comparison of apples and pears.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B6217"/>
    <w:multiLevelType w:val="hybridMultilevel"/>
    <w:tmpl w:val="D530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v5vv92zi5wpvged2w9xvffd2taaxp52fdxr&quot;&gt;My EndNote Library&lt;record-ids&gt;&lt;item&gt;97&lt;/item&gt;&lt;item&gt;109&lt;/item&gt;&lt;item&gt;112&lt;/item&gt;&lt;item&gt;127&lt;/item&gt;&lt;item&gt;142&lt;/item&gt;&lt;item&gt;145&lt;/item&gt;&lt;item&gt;157&lt;/item&gt;&lt;item&gt;162&lt;/item&gt;&lt;item&gt;179&lt;/item&gt;&lt;item&gt;191&lt;/item&gt;&lt;item&gt;652&lt;/item&gt;&lt;item&gt;653&lt;/item&gt;&lt;item&gt;654&lt;/item&gt;&lt;/record-ids&gt;&lt;/item&gt;&lt;/Libraries&gt;"/>
  </w:docVars>
  <w:rsids>
    <w:rsidRoot w:val="00102D42"/>
    <w:rsid w:val="00004553"/>
    <w:rsid w:val="00013152"/>
    <w:rsid w:val="00014E9D"/>
    <w:rsid w:val="00070FAA"/>
    <w:rsid w:val="0007737A"/>
    <w:rsid w:val="0008330F"/>
    <w:rsid w:val="00090EE2"/>
    <w:rsid w:val="00097A0F"/>
    <w:rsid w:val="000A7657"/>
    <w:rsid w:val="000B0829"/>
    <w:rsid w:val="000D011B"/>
    <w:rsid w:val="00102D42"/>
    <w:rsid w:val="00124BA3"/>
    <w:rsid w:val="0016624F"/>
    <w:rsid w:val="00175B46"/>
    <w:rsid w:val="00184B42"/>
    <w:rsid w:val="00186129"/>
    <w:rsid w:val="001A3954"/>
    <w:rsid w:val="001C0B2F"/>
    <w:rsid w:val="001C38E9"/>
    <w:rsid w:val="001E5047"/>
    <w:rsid w:val="001E75E8"/>
    <w:rsid w:val="002009C3"/>
    <w:rsid w:val="00210339"/>
    <w:rsid w:val="0021333F"/>
    <w:rsid w:val="002254F2"/>
    <w:rsid w:val="00233B68"/>
    <w:rsid w:val="00283425"/>
    <w:rsid w:val="002A2416"/>
    <w:rsid w:val="002A2F22"/>
    <w:rsid w:val="002B6AC9"/>
    <w:rsid w:val="00304CC4"/>
    <w:rsid w:val="00311C61"/>
    <w:rsid w:val="00333368"/>
    <w:rsid w:val="00342D20"/>
    <w:rsid w:val="003642C3"/>
    <w:rsid w:val="00372231"/>
    <w:rsid w:val="0039434F"/>
    <w:rsid w:val="003E1690"/>
    <w:rsid w:val="003F0D28"/>
    <w:rsid w:val="004429EE"/>
    <w:rsid w:val="00446670"/>
    <w:rsid w:val="004A0148"/>
    <w:rsid w:val="004D3654"/>
    <w:rsid w:val="004F5F9D"/>
    <w:rsid w:val="005036F5"/>
    <w:rsid w:val="00506DEC"/>
    <w:rsid w:val="00512F9C"/>
    <w:rsid w:val="005237F2"/>
    <w:rsid w:val="00537E7B"/>
    <w:rsid w:val="00552030"/>
    <w:rsid w:val="00565EC2"/>
    <w:rsid w:val="00570028"/>
    <w:rsid w:val="005821FB"/>
    <w:rsid w:val="005F0EE9"/>
    <w:rsid w:val="005F6E58"/>
    <w:rsid w:val="0060254C"/>
    <w:rsid w:val="006052EA"/>
    <w:rsid w:val="00635CFA"/>
    <w:rsid w:val="006525C9"/>
    <w:rsid w:val="0067563A"/>
    <w:rsid w:val="00676452"/>
    <w:rsid w:val="006767CA"/>
    <w:rsid w:val="00683F73"/>
    <w:rsid w:val="00694E59"/>
    <w:rsid w:val="00697308"/>
    <w:rsid w:val="006A6F72"/>
    <w:rsid w:val="006D4C6F"/>
    <w:rsid w:val="006D7266"/>
    <w:rsid w:val="006F5838"/>
    <w:rsid w:val="00747706"/>
    <w:rsid w:val="007516F3"/>
    <w:rsid w:val="00756E70"/>
    <w:rsid w:val="00773F57"/>
    <w:rsid w:val="00782AF6"/>
    <w:rsid w:val="007A3646"/>
    <w:rsid w:val="007B4DC1"/>
    <w:rsid w:val="007C45CB"/>
    <w:rsid w:val="007C5A43"/>
    <w:rsid w:val="007F0FAF"/>
    <w:rsid w:val="008031CF"/>
    <w:rsid w:val="008048F2"/>
    <w:rsid w:val="00810258"/>
    <w:rsid w:val="008272EB"/>
    <w:rsid w:val="00827A1A"/>
    <w:rsid w:val="00837E60"/>
    <w:rsid w:val="0085229B"/>
    <w:rsid w:val="00852BF2"/>
    <w:rsid w:val="00871E08"/>
    <w:rsid w:val="00876057"/>
    <w:rsid w:val="008A7DD6"/>
    <w:rsid w:val="008B4418"/>
    <w:rsid w:val="008B543E"/>
    <w:rsid w:val="009017D5"/>
    <w:rsid w:val="00930828"/>
    <w:rsid w:val="00935F96"/>
    <w:rsid w:val="009961CC"/>
    <w:rsid w:val="009A0C4F"/>
    <w:rsid w:val="009A3EB3"/>
    <w:rsid w:val="009C794F"/>
    <w:rsid w:val="009E1EEC"/>
    <w:rsid w:val="00A035FA"/>
    <w:rsid w:val="00A05910"/>
    <w:rsid w:val="00A3092F"/>
    <w:rsid w:val="00A44A80"/>
    <w:rsid w:val="00A93D78"/>
    <w:rsid w:val="00AA599B"/>
    <w:rsid w:val="00B30343"/>
    <w:rsid w:val="00B44290"/>
    <w:rsid w:val="00B50B5E"/>
    <w:rsid w:val="00B737FC"/>
    <w:rsid w:val="00B87931"/>
    <w:rsid w:val="00BD4A88"/>
    <w:rsid w:val="00BD610B"/>
    <w:rsid w:val="00BF5261"/>
    <w:rsid w:val="00BF65D8"/>
    <w:rsid w:val="00C51C46"/>
    <w:rsid w:val="00C92E9D"/>
    <w:rsid w:val="00CC4EF1"/>
    <w:rsid w:val="00CE0D83"/>
    <w:rsid w:val="00CF1C28"/>
    <w:rsid w:val="00D0440A"/>
    <w:rsid w:val="00D161F7"/>
    <w:rsid w:val="00D20901"/>
    <w:rsid w:val="00D26559"/>
    <w:rsid w:val="00D2738E"/>
    <w:rsid w:val="00D320F8"/>
    <w:rsid w:val="00D80A84"/>
    <w:rsid w:val="00D93222"/>
    <w:rsid w:val="00DD0CEC"/>
    <w:rsid w:val="00DF196F"/>
    <w:rsid w:val="00DF368C"/>
    <w:rsid w:val="00E10594"/>
    <w:rsid w:val="00E17BAA"/>
    <w:rsid w:val="00E27F8C"/>
    <w:rsid w:val="00E32D28"/>
    <w:rsid w:val="00E42A36"/>
    <w:rsid w:val="00E80D5C"/>
    <w:rsid w:val="00E86922"/>
    <w:rsid w:val="00E93766"/>
    <w:rsid w:val="00E96EE3"/>
    <w:rsid w:val="00EA6132"/>
    <w:rsid w:val="00EA6C2A"/>
    <w:rsid w:val="00EC0BED"/>
    <w:rsid w:val="00F3271A"/>
    <w:rsid w:val="00F354A1"/>
    <w:rsid w:val="00F36D22"/>
    <w:rsid w:val="00F4305D"/>
    <w:rsid w:val="00F45F29"/>
    <w:rsid w:val="00F46984"/>
    <w:rsid w:val="00F54D88"/>
    <w:rsid w:val="00F606EC"/>
    <w:rsid w:val="00F61463"/>
    <w:rsid w:val="00F62CFE"/>
    <w:rsid w:val="00F760A6"/>
    <w:rsid w:val="00FA19B1"/>
    <w:rsid w:val="00FA2767"/>
    <w:rsid w:val="00FB7250"/>
    <w:rsid w:val="00FF2A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CF9AD"/>
  <w15:chartTrackingRefBased/>
  <w15:docId w15:val="{3B8AEE67-F9D7-AA47-8D18-79ED61C4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CC"/>
    <w:rPr>
      <w:rFonts w:ascii="Times New Roman" w:eastAsia="Times New Roman" w:hAnsi="Times New Roman" w:cs="Times New Roman"/>
      <w:lang w:val="en-GB" w:eastAsia="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83425"/>
    <w:pPr>
      <w:tabs>
        <w:tab w:val="center" w:pos="4819"/>
        <w:tab w:val="right" w:pos="9638"/>
      </w:tabs>
    </w:pPr>
    <w:rPr>
      <w:rFonts w:asciiTheme="minorHAnsi" w:eastAsiaTheme="minorHAnsi" w:hAnsiTheme="minorHAnsi" w:cstheme="minorBidi"/>
      <w:lang w:val="da-DK" w:eastAsia="en-US"/>
    </w:rPr>
  </w:style>
  <w:style w:type="character" w:customStyle="1" w:styleId="SidehovedTegn">
    <w:name w:val="Sidehoved Tegn"/>
    <w:basedOn w:val="Standardskrifttypeiafsnit"/>
    <w:link w:val="Sidehoved"/>
    <w:uiPriority w:val="99"/>
    <w:rsid w:val="00283425"/>
  </w:style>
  <w:style w:type="paragraph" w:styleId="Sidefod">
    <w:name w:val="footer"/>
    <w:basedOn w:val="Normal"/>
    <w:link w:val="SidefodTegn"/>
    <w:uiPriority w:val="99"/>
    <w:unhideWhenUsed/>
    <w:rsid w:val="00283425"/>
    <w:pPr>
      <w:tabs>
        <w:tab w:val="center" w:pos="4819"/>
        <w:tab w:val="right" w:pos="9638"/>
      </w:tabs>
    </w:pPr>
    <w:rPr>
      <w:rFonts w:asciiTheme="minorHAnsi" w:eastAsiaTheme="minorHAnsi" w:hAnsiTheme="minorHAnsi" w:cstheme="minorBidi"/>
      <w:lang w:val="da-DK" w:eastAsia="en-US"/>
    </w:rPr>
  </w:style>
  <w:style w:type="character" w:customStyle="1" w:styleId="SidefodTegn">
    <w:name w:val="Sidefod Tegn"/>
    <w:basedOn w:val="Standardskrifttypeiafsnit"/>
    <w:link w:val="Sidefod"/>
    <w:uiPriority w:val="99"/>
    <w:rsid w:val="00283425"/>
  </w:style>
  <w:style w:type="paragraph" w:customStyle="1" w:styleId="EndNoteBibliographyTitle">
    <w:name w:val="EndNote Bibliography Title"/>
    <w:basedOn w:val="Normal"/>
    <w:link w:val="EndNoteBibliographyTitleTegn"/>
    <w:rsid w:val="002A2416"/>
    <w:pPr>
      <w:jc w:val="center"/>
    </w:pPr>
    <w:rPr>
      <w:rFonts w:eastAsiaTheme="minorHAnsi"/>
      <w:lang w:val="en-US" w:eastAsia="en-US"/>
    </w:rPr>
  </w:style>
  <w:style w:type="character" w:customStyle="1" w:styleId="EndNoteBibliographyTitleTegn">
    <w:name w:val="EndNote Bibliography Title Tegn"/>
    <w:basedOn w:val="Standardskrifttypeiafsnit"/>
    <w:link w:val="EndNoteBibliographyTitle"/>
    <w:rsid w:val="002A2416"/>
    <w:rPr>
      <w:rFonts w:ascii="Times New Roman" w:hAnsi="Times New Roman" w:cs="Times New Roman"/>
      <w:lang w:val="en-US"/>
    </w:rPr>
  </w:style>
  <w:style w:type="paragraph" w:customStyle="1" w:styleId="EndNoteBibliography">
    <w:name w:val="EndNote Bibliography"/>
    <w:basedOn w:val="Normal"/>
    <w:link w:val="EndNoteBibliographyTegn"/>
    <w:rsid w:val="002A2416"/>
    <w:pPr>
      <w:spacing w:line="480" w:lineRule="auto"/>
    </w:pPr>
    <w:rPr>
      <w:rFonts w:eastAsiaTheme="minorHAnsi"/>
      <w:lang w:val="en-US" w:eastAsia="en-US"/>
    </w:rPr>
  </w:style>
  <w:style w:type="character" w:customStyle="1" w:styleId="EndNoteBibliographyTegn">
    <w:name w:val="EndNote Bibliography Tegn"/>
    <w:basedOn w:val="Standardskrifttypeiafsnit"/>
    <w:link w:val="EndNoteBibliography"/>
    <w:rsid w:val="002A2416"/>
    <w:rPr>
      <w:rFonts w:ascii="Times New Roman" w:hAnsi="Times New Roman" w:cs="Times New Roman"/>
      <w:lang w:val="en-US"/>
    </w:rPr>
  </w:style>
  <w:style w:type="character" w:styleId="Pladsholdertekst">
    <w:name w:val="Placeholder Text"/>
    <w:basedOn w:val="Standardskrifttypeiafsnit"/>
    <w:uiPriority w:val="99"/>
    <w:semiHidden/>
    <w:rsid w:val="008B543E"/>
    <w:rPr>
      <w:color w:val="808080"/>
    </w:rPr>
  </w:style>
  <w:style w:type="paragraph" w:styleId="NormalWeb">
    <w:name w:val="Normal (Web)"/>
    <w:basedOn w:val="Normal"/>
    <w:uiPriority w:val="99"/>
    <w:semiHidden/>
    <w:unhideWhenUsed/>
    <w:rsid w:val="00184B42"/>
    <w:pPr>
      <w:spacing w:before="100" w:beforeAutospacing="1" w:after="100" w:afterAutospacing="1"/>
    </w:pPr>
    <w:rPr>
      <w:lang w:eastAsia="da-DK"/>
    </w:rPr>
  </w:style>
  <w:style w:type="character" w:styleId="Kommentarhenvisning">
    <w:name w:val="annotation reference"/>
    <w:basedOn w:val="Standardskrifttypeiafsnit"/>
    <w:uiPriority w:val="99"/>
    <w:semiHidden/>
    <w:unhideWhenUsed/>
    <w:rsid w:val="00DD0CEC"/>
    <w:rPr>
      <w:sz w:val="16"/>
      <w:szCs w:val="16"/>
    </w:rPr>
  </w:style>
  <w:style w:type="paragraph" w:styleId="Kommentartekst">
    <w:name w:val="annotation text"/>
    <w:basedOn w:val="Normal"/>
    <w:link w:val="KommentartekstTegn"/>
    <w:uiPriority w:val="99"/>
    <w:semiHidden/>
    <w:unhideWhenUsed/>
    <w:rsid w:val="00DD0CEC"/>
    <w:rPr>
      <w:rFonts w:asciiTheme="minorHAnsi" w:eastAsiaTheme="minorHAnsi" w:hAnsiTheme="minorHAnsi" w:cstheme="minorBidi"/>
      <w:sz w:val="20"/>
      <w:szCs w:val="20"/>
      <w:lang w:val="da-DK" w:eastAsia="en-US"/>
    </w:rPr>
  </w:style>
  <w:style w:type="character" w:customStyle="1" w:styleId="KommentartekstTegn">
    <w:name w:val="Kommentartekst Tegn"/>
    <w:basedOn w:val="Standardskrifttypeiafsnit"/>
    <w:link w:val="Kommentartekst"/>
    <w:uiPriority w:val="99"/>
    <w:semiHidden/>
    <w:rsid w:val="00DD0CEC"/>
    <w:rPr>
      <w:sz w:val="20"/>
      <w:szCs w:val="20"/>
    </w:rPr>
  </w:style>
  <w:style w:type="paragraph" w:styleId="Kommentaremne">
    <w:name w:val="annotation subject"/>
    <w:basedOn w:val="Kommentartekst"/>
    <w:next w:val="Kommentartekst"/>
    <w:link w:val="KommentaremneTegn"/>
    <w:uiPriority w:val="99"/>
    <w:semiHidden/>
    <w:unhideWhenUsed/>
    <w:rsid w:val="00DD0CEC"/>
    <w:rPr>
      <w:b/>
      <w:bCs/>
    </w:rPr>
  </w:style>
  <w:style w:type="character" w:customStyle="1" w:styleId="KommentaremneTegn">
    <w:name w:val="Kommentaremne Tegn"/>
    <w:basedOn w:val="KommentartekstTegn"/>
    <w:link w:val="Kommentaremne"/>
    <w:uiPriority w:val="99"/>
    <w:semiHidden/>
    <w:rsid w:val="00DD0CEC"/>
    <w:rPr>
      <w:b/>
      <w:bCs/>
      <w:sz w:val="20"/>
      <w:szCs w:val="20"/>
    </w:rPr>
  </w:style>
  <w:style w:type="table" w:styleId="Tabel-Gitter">
    <w:name w:val="Table Grid"/>
    <w:basedOn w:val="Tabel-Normal"/>
    <w:uiPriority w:val="59"/>
    <w:rsid w:val="00D80A8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80A84"/>
    <w:pPr>
      <w:ind w:left="720"/>
      <w:contextualSpacing/>
    </w:pPr>
    <w:rPr>
      <w:rFonts w:asciiTheme="minorHAnsi" w:eastAsiaTheme="minorEastAsia" w:hAnsiTheme="minorHAnsi" w:cstheme="minorBidi"/>
      <w:lang w:val="da-DK" w:eastAsia="da-DK"/>
    </w:rPr>
  </w:style>
  <w:style w:type="character" w:styleId="Sidetal">
    <w:name w:val="page number"/>
    <w:basedOn w:val="Standardskrifttypeiafsnit"/>
    <w:uiPriority w:val="99"/>
    <w:semiHidden/>
    <w:unhideWhenUsed/>
    <w:rsid w:val="00D80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7631">
      <w:bodyDiv w:val="1"/>
      <w:marLeft w:val="0"/>
      <w:marRight w:val="0"/>
      <w:marTop w:val="0"/>
      <w:marBottom w:val="0"/>
      <w:divBdr>
        <w:top w:val="none" w:sz="0" w:space="0" w:color="auto"/>
        <w:left w:val="none" w:sz="0" w:space="0" w:color="auto"/>
        <w:bottom w:val="none" w:sz="0" w:space="0" w:color="auto"/>
        <w:right w:val="none" w:sz="0" w:space="0" w:color="auto"/>
      </w:divBdr>
    </w:div>
    <w:div w:id="1553350730">
      <w:bodyDiv w:val="1"/>
      <w:marLeft w:val="0"/>
      <w:marRight w:val="0"/>
      <w:marTop w:val="0"/>
      <w:marBottom w:val="0"/>
      <w:divBdr>
        <w:top w:val="none" w:sz="0" w:space="0" w:color="auto"/>
        <w:left w:val="none" w:sz="0" w:space="0" w:color="auto"/>
        <w:bottom w:val="none" w:sz="0" w:space="0" w:color="auto"/>
        <w:right w:val="none" w:sz="0" w:space="0" w:color="auto"/>
      </w:divBdr>
      <w:divsChild>
        <w:div w:id="610552503">
          <w:marLeft w:val="0"/>
          <w:marRight w:val="0"/>
          <w:marTop w:val="0"/>
          <w:marBottom w:val="0"/>
          <w:divBdr>
            <w:top w:val="none" w:sz="0" w:space="0" w:color="auto"/>
            <w:left w:val="none" w:sz="0" w:space="0" w:color="auto"/>
            <w:bottom w:val="none" w:sz="0" w:space="0" w:color="auto"/>
            <w:right w:val="none" w:sz="0" w:space="0" w:color="auto"/>
          </w:divBdr>
          <w:divsChild>
            <w:div w:id="1886983847">
              <w:marLeft w:val="0"/>
              <w:marRight w:val="0"/>
              <w:marTop w:val="0"/>
              <w:marBottom w:val="0"/>
              <w:divBdr>
                <w:top w:val="none" w:sz="0" w:space="0" w:color="auto"/>
                <w:left w:val="none" w:sz="0" w:space="0" w:color="auto"/>
                <w:bottom w:val="none" w:sz="0" w:space="0" w:color="auto"/>
                <w:right w:val="none" w:sz="0" w:space="0" w:color="auto"/>
              </w:divBdr>
              <w:divsChild>
                <w:div w:id="66998631">
                  <w:marLeft w:val="0"/>
                  <w:marRight w:val="0"/>
                  <w:marTop w:val="0"/>
                  <w:marBottom w:val="0"/>
                  <w:divBdr>
                    <w:top w:val="none" w:sz="0" w:space="0" w:color="auto"/>
                    <w:left w:val="none" w:sz="0" w:space="0" w:color="auto"/>
                    <w:bottom w:val="none" w:sz="0" w:space="0" w:color="auto"/>
                    <w:right w:val="none" w:sz="0" w:space="0" w:color="auto"/>
                  </w:divBdr>
                  <w:divsChild>
                    <w:div w:id="8204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86731">
      <w:bodyDiv w:val="1"/>
      <w:marLeft w:val="0"/>
      <w:marRight w:val="0"/>
      <w:marTop w:val="0"/>
      <w:marBottom w:val="0"/>
      <w:divBdr>
        <w:top w:val="none" w:sz="0" w:space="0" w:color="auto"/>
        <w:left w:val="none" w:sz="0" w:space="0" w:color="auto"/>
        <w:bottom w:val="none" w:sz="0" w:space="0" w:color="auto"/>
        <w:right w:val="none" w:sz="0" w:space="0" w:color="auto"/>
      </w:divBdr>
    </w:div>
    <w:div w:id="1887795783">
      <w:bodyDiv w:val="1"/>
      <w:marLeft w:val="0"/>
      <w:marRight w:val="0"/>
      <w:marTop w:val="0"/>
      <w:marBottom w:val="0"/>
      <w:divBdr>
        <w:top w:val="none" w:sz="0" w:space="0" w:color="auto"/>
        <w:left w:val="none" w:sz="0" w:space="0" w:color="auto"/>
        <w:bottom w:val="none" w:sz="0" w:space="0" w:color="auto"/>
        <w:right w:val="none" w:sz="0" w:space="0" w:color="auto"/>
      </w:divBdr>
      <w:divsChild>
        <w:div w:id="1219047103">
          <w:marLeft w:val="0"/>
          <w:marRight w:val="0"/>
          <w:marTop w:val="0"/>
          <w:marBottom w:val="0"/>
          <w:divBdr>
            <w:top w:val="none" w:sz="0" w:space="0" w:color="auto"/>
            <w:left w:val="none" w:sz="0" w:space="0" w:color="auto"/>
            <w:bottom w:val="none" w:sz="0" w:space="0" w:color="auto"/>
            <w:right w:val="none" w:sz="0" w:space="0" w:color="auto"/>
          </w:divBdr>
          <w:divsChild>
            <w:div w:id="300429841">
              <w:marLeft w:val="0"/>
              <w:marRight w:val="0"/>
              <w:marTop w:val="0"/>
              <w:marBottom w:val="0"/>
              <w:divBdr>
                <w:top w:val="none" w:sz="0" w:space="0" w:color="auto"/>
                <w:left w:val="none" w:sz="0" w:space="0" w:color="auto"/>
                <w:bottom w:val="none" w:sz="0" w:space="0" w:color="auto"/>
                <w:right w:val="none" w:sz="0" w:space="0" w:color="auto"/>
              </w:divBdr>
              <w:divsChild>
                <w:div w:id="201984048">
                  <w:marLeft w:val="0"/>
                  <w:marRight w:val="0"/>
                  <w:marTop w:val="0"/>
                  <w:marBottom w:val="0"/>
                  <w:divBdr>
                    <w:top w:val="none" w:sz="0" w:space="0" w:color="auto"/>
                    <w:left w:val="none" w:sz="0" w:space="0" w:color="auto"/>
                    <w:bottom w:val="none" w:sz="0" w:space="0" w:color="auto"/>
                    <w:right w:val="none" w:sz="0" w:space="0" w:color="auto"/>
                  </w:divBdr>
                  <w:divsChild>
                    <w:div w:id="19459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1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2860</Words>
  <Characters>17446</Characters>
  <Application>Microsoft Office Word</Application>
  <DocSecurity>0</DocSecurity>
  <Lines>145</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 Bolvig Hyldgård</dc:creator>
  <cp:keywords/>
  <dc:description/>
  <cp:lastModifiedBy>Vibe Bolvig Hyldgård</cp:lastModifiedBy>
  <cp:revision>3</cp:revision>
  <dcterms:created xsi:type="dcterms:W3CDTF">2021-07-19T05:50:00Z</dcterms:created>
  <dcterms:modified xsi:type="dcterms:W3CDTF">2021-07-19T05:52:00Z</dcterms:modified>
</cp:coreProperties>
</file>