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9BEE8" w14:textId="77777777" w:rsidR="00CF31B4" w:rsidRPr="00FB1E45" w:rsidRDefault="00CF31B4" w:rsidP="00CF31B4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FB1E45">
        <w:rPr>
          <w:rFonts w:ascii="Arial" w:hAnsi="Arial" w:cs="Arial"/>
          <w:b/>
          <w:bCs/>
          <w:color w:val="222222"/>
          <w:sz w:val="20"/>
          <w:szCs w:val="20"/>
        </w:rPr>
        <w:t>Supplementary Figure legends</w:t>
      </w:r>
    </w:p>
    <w:p w14:paraId="7A2F8E17" w14:textId="6458ABDD" w:rsidR="00332E36" w:rsidRDefault="00332E36" w:rsidP="00CF31B4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B1E45">
        <w:rPr>
          <w:rFonts w:ascii="Arial" w:hAnsi="Arial" w:cs="Arial"/>
          <w:b/>
          <w:bCs/>
          <w:color w:val="000000" w:themeColor="text1"/>
          <w:sz w:val="20"/>
          <w:szCs w:val="20"/>
        </w:rPr>
        <w:t>Figure 1: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6E1C9D" w:rsidRPr="006E1C9D">
        <w:rPr>
          <w:rFonts w:ascii="Arial" w:hAnsi="Arial" w:cs="Arial"/>
          <w:sz w:val="20"/>
          <w:szCs w:val="20"/>
        </w:rPr>
        <w:t>Flowchart of patient selection in this study</w:t>
      </w:r>
      <w:r w:rsidR="006E1C9D">
        <w:rPr>
          <w:rFonts w:ascii="Arial" w:hAnsi="Arial" w:cs="Arial"/>
          <w:sz w:val="20"/>
          <w:szCs w:val="20"/>
        </w:rPr>
        <w:t>.</w:t>
      </w:r>
    </w:p>
    <w:p w14:paraId="620DA6D1" w14:textId="43FB2767" w:rsidR="00CF31B4" w:rsidRPr="00FB1E45" w:rsidRDefault="00CF31B4" w:rsidP="00CF31B4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FB1E4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Figure </w:t>
      </w:r>
      <w:r w:rsidR="00332E36">
        <w:rPr>
          <w:rFonts w:ascii="Arial" w:hAnsi="Arial" w:cs="Arial"/>
          <w:b/>
          <w:bCs/>
          <w:color w:val="000000" w:themeColor="text1"/>
          <w:sz w:val="20"/>
          <w:szCs w:val="20"/>
        </w:rPr>
        <w:t>2</w:t>
      </w:r>
      <w:r w:rsidR="00952E3F" w:rsidRPr="00FB1E45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  <w:r w:rsidRPr="00FB1E45">
        <w:rPr>
          <w:rFonts w:ascii="Arial" w:hAnsi="Arial" w:cs="Arial"/>
          <w:sz w:val="20"/>
          <w:szCs w:val="20"/>
        </w:rPr>
        <w:t xml:space="preserve"> Kaplan–Meier analysis of OS of GC patients at different TNM stage according to the F</w:t>
      </w:r>
      <w:r w:rsidRPr="00FB1E45">
        <w:rPr>
          <w:rFonts w:ascii="Arial" w:hAnsi="Arial" w:cs="Arial"/>
          <w:color w:val="000000" w:themeColor="text1"/>
          <w:sz w:val="20"/>
          <w:szCs w:val="20"/>
        </w:rPr>
        <w:t>PNI</w:t>
      </w:r>
      <w:r w:rsidRPr="00FB1E45">
        <w:rPr>
          <w:rFonts w:ascii="Arial" w:hAnsi="Arial" w:cs="Arial"/>
          <w:sz w:val="20"/>
          <w:szCs w:val="20"/>
        </w:rPr>
        <w:t xml:space="preserve"> score. (</w:t>
      </w:r>
      <w:r w:rsidR="00750C2B" w:rsidRPr="00FB1E45">
        <w:rPr>
          <w:rFonts w:ascii="Arial" w:hAnsi="Arial" w:cs="Arial"/>
          <w:sz w:val="20"/>
          <w:szCs w:val="20"/>
        </w:rPr>
        <w:t>A</w:t>
      </w:r>
      <w:r w:rsidRPr="00FB1E45">
        <w:rPr>
          <w:rFonts w:ascii="Arial" w:hAnsi="Arial" w:cs="Arial"/>
          <w:sz w:val="20"/>
          <w:szCs w:val="20"/>
        </w:rPr>
        <w:t>) Association of the FPNI score with the OS of patients with stage I-II GC. (</w:t>
      </w:r>
      <w:r w:rsidR="00750C2B" w:rsidRPr="00FB1E45">
        <w:rPr>
          <w:rFonts w:ascii="Arial" w:hAnsi="Arial" w:cs="Arial"/>
          <w:sz w:val="20"/>
          <w:szCs w:val="20"/>
        </w:rPr>
        <w:t>B</w:t>
      </w:r>
      <w:r w:rsidRPr="00FB1E45">
        <w:rPr>
          <w:rFonts w:ascii="Arial" w:hAnsi="Arial" w:cs="Arial"/>
          <w:sz w:val="20"/>
          <w:szCs w:val="20"/>
        </w:rPr>
        <w:t>) Association of the FPNI score with the OS of patients with stage III-IV GC</w:t>
      </w:r>
      <w:r w:rsidR="00F64A41" w:rsidRPr="00FB1E45">
        <w:rPr>
          <w:rFonts w:ascii="Arial" w:hAnsi="Arial" w:cs="Arial"/>
          <w:sz w:val="20"/>
          <w:szCs w:val="20"/>
        </w:rPr>
        <w:t>.</w:t>
      </w:r>
    </w:p>
    <w:p w14:paraId="36BEBD26" w14:textId="2B92DD4C" w:rsidR="00CF31B4" w:rsidRDefault="00CF31B4" w:rsidP="00CF31B4">
      <w:pPr>
        <w:rPr>
          <w:rFonts w:ascii="Arial" w:hAnsi="Arial" w:cs="Arial"/>
          <w:color w:val="000000" w:themeColor="text1"/>
          <w:sz w:val="20"/>
          <w:szCs w:val="20"/>
        </w:rPr>
      </w:pPr>
      <w:r w:rsidRPr="00FB1E4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Figure </w:t>
      </w:r>
      <w:r w:rsidR="00332E36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  <w:r w:rsidR="00952E3F" w:rsidRPr="00FB1E45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  <w:r w:rsidRPr="00FB1E45">
        <w:rPr>
          <w:rFonts w:ascii="Arial" w:hAnsi="Arial" w:cs="Arial"/>
          <w:sz w:val="20"/>
          <w:szCs w:val="20"/>
        </w:rPr>
        <w:t xml:space="preserve"> </w:t>
      </w:r>
      <w:r w:rsidRPr="00FB1E45">
        <w:rPr>
          <w:rFonts w:ascii="Arial" w:hAnsi="Arial" w:cs="Arial"/>
          <w:color w:val="000000" w:themeColor="text1"/>
          <w:sz w:val="20"/>
          <w:szCs w:val="20"/>
        </w:rPr>
        <w:t>ROC curves of the nomogram: predicting 3-year OS (</w:t>
      </w:r>
      <w:r w:rsidR="00750C2B" w:rsidRPr="00FB1E45">
        <w:rPr>
          <w:rFonts w:ascii="Arial" w:hAnsi="Arial" w:cs="Arial"/>
          <w:color w:val="000000" w:themeColor="text1"/>
          <w:sz w:val="20"/>
          <w:szCs w:val="20"/>
        </w:rPr>
        <w:t>A</w:t>
      </w:r>
      <w:r w:rsidRPr="00FB1E45">
        <w:rPr>
          <w:rFonts w:ascii="Arial" w:hAnsi="Arial" w:cs="Arial"/>
          <w:color w:val="000000" w:themeColor="text1"/>
          <w:sz w:val="20"/>
          <w:szCs w:val="20"/>
        </w:rPr>
        <w:t>) and 5-year (</w:t>
      </w:r>
      <w:r w:rsidR="00750C2B" w:rsidRPr="00FB1E45">
        <w:rPr>
          <w:rFonts w:ascii="Arial" w:hAnsi="Arial" w:cs="Arial"/>
          <w:color w:val="000000" w:themeColor="text1"/>
          <w:sz w:val="20"/>
          <w:szCs w:val="20"/>
        </w:rPr>
        <w:t>B</w:t>
      </w:r>
      <w:r w:rsidRPr="00FB1E45">
        <w:rPr>
          <w:rFonts w:ascii="Arial" w:hAnsi="Arial" w:cs="Arial"/>
          <w:color w:val="000000" w:themeColor="text1"/>
          <w:sz w:val="20"/>
          <w:szCs w:val="20"/>
        </w:rPr>
        <w:t>)</w:t>
      </w:r>
      <w:r w:rsidR="00F64A41" w:rsidRPr="00FB1E45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C408314" w14:textId="11F16146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42D6716" w14:textId="0CD89ABA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CB47C0D" w14:textId="6307FE8C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4BD3C91" w14:textId="2AC95C3F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9E4A100" w14:textId="230134C0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05162A0" w14:textId="4D41426E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B9E598A" w14:textId="64DDFAB7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2E83ACA" w14:textId="122417F9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DB874F7" w14:textId="786BE279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DDC2561" w14:textId="6192E9F4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C262F2C" w14:textId="3FEC9CA7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3427B32" w14:textId="587D26C6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4454C46" w14:textId="018C0B2D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495667B" w14:textId="2289722D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DEDE02C" w14:textId="79BDB7D2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E41EA32" w14:textId="41C28A8F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F4A564E" w14:textId="41DDDDAE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92418B9" w14:textId="55D5807F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94E32D6" wp14:editId="5E0D16A2">
            <wp:extent cx="5118100" cy="6032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357">
        <w:rPr>
          <w:rFonts w:ascii="Arial" w:hAnsi="Arial" w:cs="Arial"/>
          <w:color w:val="000000" w:themeColor="text1"/>
          <w:sz w:val="20"/>
          <w:szCs w:val="20"/>
        </w:rPr>
        <w:t xml:space="preserve">Supplementary Figure </w:t>
      </w:r>
      <w:r>
        <w:rPr>
          <w:rFonts w:ascii="Arial" w:hAnsi="Arial" w:cs="Arial"/>
          <w:color w:val="000000" w:themeColor="text1"/>
          <w:sz w:val="20"/>
          <w:szCs w:val="20"/>
        </w:rPr>
        <w:t>1</w:t>
      </w:r>
    </w:p>
    <w:p w14:paraId="7AAF6305" w14:textId="3576C3AF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83DD6A2" w14:textId="675FD852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2FAA8F7" w14:textId="4530EA24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0933BD4" w14:textId="2B6AD1D7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C00E3D2" w14:textId="0930D5E8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18AE293" w14:textId="3822EB35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2E82781" w14:textId="38333C30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835E929" wp14:editId="122D4480">
            <wp:extent cx="5270500" cy="19469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D6E7" w14:textId="29939BF8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51357">
        <w:rPr>
          <w:rFonts w:ascii="Arial" w:hAnsi="Arial" w:cs="Arial"/>
          <w:color w:val="000000" w:themeColor="text1"/>
          <w:sz w:val="20"/>
          <w:szCs w:val="20"/>
        </w:rPr>
        <w:t xml:space="preserve">Supplementary Figure </w:t>
      </w:r>
      <w:r>
        <w:rPr>
          <w:rFonts w:ascii="Arial" w:hAnsi="Arial" w:cs="Arial"/>
          <w:color w:val="000000" w:themeColor="text1"/>
          <w:sz w:val="20"/>
          <w:szCs w:val="20"/>
        </w:rPr>
        <w:t>2</w:t>
      </w:r>
    </w:p>
    <w:p w14:paraId="1ED33EEE" w14:textId="2921EF07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5DBACB9" w14:textId="277DEC22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4D88D4D" w14:textId="22B17840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D5EE859" w14:textId="0D04618C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C1EE8B6" w14:textId="48D27871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D63574C" w14:textId="7718ED0D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24B01E3" w14:textId="6294262C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889557A" w14:textId="77A10DF2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8A0FAF1" w14:textId="52C7DD78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888306A" w14:textId="7BB63AF4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900AACA" w14:textId="49A4BC82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FE098BF" w14:textId="7650C933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443A65C" w14:textId="0251E294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A6E025D" w14:textId="095D5EEA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E0EF92B" w14:textId="7F79CF5E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F1546CD" w14:textId="6E4A17D6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B816634" w14:textId="168C80A4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4158DAD5" wp14:editId="07FD39DB">
            <wp:extent cx="5270500" cy="23685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FEFB" w14:textId="0B3CA349" w:rsidR="00051357" w:rsidRDefault="00051357" w:rsidP="0005135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51357">
        <w:rPr>
          <w:rFonts w:ascii="Arial" w:hAnsi="Arial" w:cs="Arial"/>
          <w:color w:val="000000" w:themeColor="text1"/>
          <w:sz w:val="20"/>
          <w:szCs w:val="20"/>
        </w:rPr>
        <w:t xml:space="preserve">Supplementary Figure </w:t>
      </w:r>
      <w:r>
        <w:rPr>
          <w:rFonts w:ascii="Arial" w:hAnsi="Arial" w:cs="Arial"/>
          <w:color w:val="000000" w:themeColor="text1"/>
          <w:sz w:val="20"/>
          <w:szCs w:val="20"/>
        </w:rPr>
        <w:t>3</w:t>
      </w:r>
    </w:p>
    <w:p w14:paraId="272FE03B" w14:textId="77777777" w:rsidR="00051357" w:rsidRPr="00FB1E45" w:rsidRDefault="00051357" w:rsidP="00051357">
      <w:pPr>
        <w:spacing w:line="480" w:lineRule="auto"/>
        <w:rPr>
          <w:rFonts w:ascii="Arial" w:hAnsi="Arial" w:cs="Arial" w:hint="eastAsia"/>
          <w:color w:val="000000" w:themeColor="text1"/>
          <w:sz w:val="20"/>
          <w:szCs w:val="20"/>
        </w:rPr>
      </w:pPr>
    </w:p>
    <w:sectPr w:rsidR="00051357" w:rsidRPr="00FB1E45" w:rsidSect="00B63DC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1B4"/>
    <w:rsid w:val="00042738"/>
    <w:rsid w:val="00051357"/>
    <w:rsid w:val="000B2E6F"/>
    <w:rsid w:val="00272C1E"/>
    <w:rsid w:val="00332E36"/>
    <w:rsid w:val="003749FD"/>
    <w:rsid w:val="00502FF6"/>
    <w:rsid w:val="00581FF0"/>
    <w:rsid w:val="005B5EE5"/>
    <w:rsid w:val="00606362"/>
    <w:rsid w:val="00663CF0"/>
    <w:rsid w:val="006E1C9D"/>
    <w:rsid w:val="00750C2B"/>
    <w:rsid w:val="008047EE"/>
    <w:rsid w:val="00952E3F"/>
    <w:rsid w:val="00991B8E"/>
    <w:rsid w:val="009D79EF"/>
    <w:rsid w:val="00A30350"/>
    <w:rsid w:val="00B63DCE"/>
    <w:rsid w:val="00C626D9"/>
    <w:rsid w:val="00CF31B4"/>
    <w:rsid w:val="00E81516"/>
    <w:rsid w:val="00F64A41"/>
    <w:rsid w:val="00FB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9D5D33"/>
  <w15:chartTrackingRefBased/>
  <w15:docId w15:val="{F034CDCF-AC39-4547-B9F8-AA59F5842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1B4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99</Words>
  <Characters>442</Characters>
  <Application>Microsoft Office Word</Application>
  <DocSecurity>0</DocSecurity>
  <Lines>9</Lines>
  <Paragraphs>2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532898216@qq.com</dc:creator>
  <cp:keywords/>
  <dc:description/>
  <cp:lastModifiedBy>532898216@qq.com</cp:lastModifiedBy>
  <cp:revision>9</cp:revision>
  <dcterms:created xsi:type="dcterms:W3CDTF">2021-03-08T08:29:00Z</dcterms:created>
  <dcterms:modified xsi:type="dcterms:W3CDTF">2021-04-19T05:42:00Z</dcterms:modified>
</cp:coreProperties>
</file>