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before="120" w:line="240" w:lineRule="auto"/>
        <w:rPr>
          <w:rFonts w:eastAsia="宋体"/>
          <w:b/>
          <w:color w:val="auto"/>
          <w:sz w:val="20"/>
          <w:szCs w:val="22"/>
          <w:lang w:eastAsia="zh-CN"/>
        </w:rPr>
      </w:pPr>
      <w:r>
        <w:rPr>
          <w:rFonts w:eastAsia="宋体"/>
          <w:b/>
          <w:color w:val="auto"/>
          <w:sz w:val="20"/>
          <w:szCs w:val="22"/>
          <w:lang w:eastAsia="zh-CN"/>
        </w:rPr>
        <w:t>Supplementary Materials:</w:t>
      </w:r>
    </w:p>
    <w:p>
      <w:pPr>
        <w:pStyle w:val="8"/>
        <w:spacing w:before="120" w:line="240" w:lineRule="auto"/>
        <w:rPr>
          <w:rFonts w:eastAsia="宋体"/>
          <w:b/>
          <w:color w:val="auto"/>
          <w:sz w:val="20"/>
          <w:szCs w:val="22"/>
          <w:lang w:eastAsia="zh-CN"/>
        </w:rPr>
      </w:pPr>
      <w:r>
        <w:rPr>
          <w:color w:val="131413"/>
        </w:rPr>
        <w:drawing>
          <wp:inline distT="0" distB="0" distL="114300" distR="114300">
            <wp:extent cx="5608320" cy="3154680"/>
            <wp:effectExtent l="0" t="0" r="5080" b="20320"/>
            <wp:docPr id="9" name="图片 9" descr="Fig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 S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 w:eastAsia="YjhfhlAdvTTb5929f4c" w:cs="YjhfhlAdvTTb5929f4c"/>
          <w:b/>
          <w:bCs/>
          <w:color w:val="131413"/>
          <w:sz w:val="18"/>
          <w:szCs w:val="18"/>
          <w:lang w:bidi="ar"/>
        </w:rPr>
        <w:t xml:space="preserve">Figure S1 </w:t>
      </w:r>
      <w:r>
        <w:rPr>
          <w:rFonts w:ascii="YjhfhlAdvTTb5929f4c" w:hAnsi="YjhfhlAdvTTb5929f4c"/>
          <w:color w:val="131413"/>
          <w:sz w:val="18"/>
          <w:szCs w:val="18"/>
        </w:rPr>
        <w:t>The flow chart of t</w:t>
      </w:r>
      <w:r>
        <w:rPr>
          <w:rFonts w:hint="eastAsia" w:ascii="YjhfhlAdvTTb5929f4c" w:hAnsi="YjhfhlAdvTTb5929f4c"/>
          <w:color w:val="131413"/>
          <w:sz w:val="18"/>
          <w:szCs w:val="18"/>
        </w:rPr>
        <w:t>his</w:t>
      </w:r>
      <w:r>
        <w:rPr>
          <w:rFonts w:ascii="YjhfhlAdvTTb5929f4c" w:hAnsi="YjhfhlAdvTTb5929f4c"/>
          <w:color w:val="131413"/>
          <w:sz w:val="18"/>
          <w:szCs w:val="18"/>
        </w:rPr>
        <w:t xml:space="preserve"> </w:t>
      </w:r>
      <w:r>
        <w:rPr>
          <w:rFonts w:hint="eastAsia" w:ascii="YjhfhlAdvTTb5929f4c" w:hAnsi="YjhfhlAdvTTb5929f4c"/>
          <w:color w:val="131413"/>
          <w:sz w:val="18"/>
          <w:szCs w:val="18"/>
        </w:rPr>
        <w:t>study</w:t>
      </w:r>
      <w:r>
        <w:rPr>
          <w:rFonts w:ascii="YjhfhlAdvTTb5929f4c" w:hAnsi="YjhfhlAdvTTb5929f4c"/>
          <w:color w:val="131413"/>
          <w:sz w:val="18"/>
          <w:szCs w:val="18"/>
        </w:rPr>
        <w:t xml:space="preserve">. </w:t>
      </w:r>
    </w:p>
    <w:p>
      <w:pPr>
        <w:adjustRightInd w:val="0"/>
        <w:snapToGrid w:val="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color w:val="131413"/>
          <w:sz w:val="18"/>
          <w:szCs w:val="18"/>
        </w:rPr>
        <w:drawing>
          <wp:inline distT="0" distB="0" distL="114300" distR="114300">
            <wp:extent cx="3505200" cy="4023995"/>
            <wp:effectExtent l="0" t="0" r="0" b="14605"/>
            <wp:docPr id="10" name="图片 10" descr="Fig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 S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YjhfhlAdvTTb5929f4c" w:hAnsi="YjhfhlAdvTTb5929f4c" w:eastAsia="YjhfhlAdvTTb5929f4c" w:cs="YjhfhlAdvTTb5929f4c"/>
          <w:color w:val="000000"/>
          <w:sz w:val="18"/>
          <w:szCs w:val="18"/>
          <w:lang w:bidi="ar"/>
        </w:rPr>
      </w:pPr>
      <w:r>
        <w:rPr>
          <w:rFonts w:ascii="YjhfhlAdvTTb5929f4c" w:hAnsi="YjhfhlAdvTTb5929f4c" w:eastAsia="YjhfhlAdvTTb5929f4c" w:cs="YjhfhlAdvTTb5929f4c"/>
          <w:b/>
          <w:bCs/>
          <w:color w:val="131413"/>
          <w:sz w:val="18"/>
          <w:szCs w:val="18"/>
          <w:lang w:bidi="ar"/>
        </w:rPr>
        <w:t>Figure S2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(A) Identification of the soft threshold according to the standard of the scale-free network. (B) </w:t>
      </w:r>
      <w:r>
        <w:rPr>
          <w:rFonts w:ascii="YjhfhlAdvTTb5929f4c" w:hAnsi="YjhfhlAdvTTb5929f4c" w:eastAsia="YjhfhlAdvTTb5929f4c" w:cs="YjhfhlAdvTTb5929f4c"/>
          <w:color w:val="000000"/>
          <w:sz w:val="18"/>
          <w:szCs w:val="18"/>
          <w:lang w:bidi="ar"/>
        </w:rPr>
        <w:t>Histogram of k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and </w:t>
      </w:r>
      <w:r>
        <w:rPr>
          <w:rFonts w:ascii="YjhfhlAdvTTb5929f4c" w:hAnsi="YjhfhlAdvTTb5929f4c" w:eastAsia="YjhfhlAdvTTb5929f4c" w:cs="YjhfhlAdvTTb5929f4c"/>
          <w:color w:val="3D3D3D"/>
          <w:sz w:val="18"/>
          <w:szCs w:val="18"/>
          <w:lang w:bidi="ar"/>
        </w:rPr>
        <w:t>fitting straight-line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of k to check </w:t>
      </w:r>
      <w:r>
        <w:rPr>
          <w:rFonts w:ascii="YjhfhlAdvTTb5929f4c" w:hAnsi="YjhfhlAdvTTb5929f4c" w:eastAsia="YjhfhlAdvTTb5929f4c" w:cs="YjhfhlAdvTTb5929f4c"/>
          <w:color w:val="000000"/>
          <w:sz w:val="18"/>
          <w:szCs w:val="18"/>
          <w:lang w:bidi="ar"/>
        </w:rPr>
        <w:t>scale free topology</w:t>
      </w:r>
    </w:p>
    <w:p>
      <w:pPr>
        <w:adjustRightInd w:val="0"/>
        <w:snapToGrid w:val="0"/>
        <w:rPr>
          <w:rFonts w:ascii="YjhfhlAdvTTb5929f4c" w:hAnsi="YjhfhlAdvTTb5929f4c" w:eastAsia="YjhfhlAdvTTb5929f4c" w:cs="YjhfhlAdvTTb5929f4c"/>
          <w:color w:val="000000"/>
          <w:sz w:val="18"/>
          <w:szCs w:val="18"/>
          <w:lang w:bidi="ar"/>
        </w:rPr>
      </w:pPr>
      <w:r>
        <w:rPr>
          <w:rFonts w:ascii="YjhfhlAdvTTb5929f4c" w:hAnsi="YjhfhlAdvTTb5929f4c" w:eastAsia="YjhfhlAdvTTb5929f4c" w:cs="YjhfhlAdvTTb5929f4c"/>
          <w:color w:val="000000"/>
          <w:sz w:val="18"/>
          <w:szCs w:val="18"/>
          <w:lang w:bidi="ar"/>
        </w:rPr>
        <w:drawing>
          <wp:inline distT="0" distB="0" distL="114300" distR="114300">
            <wp:extent cx="4005580" cy="2192655"/>
            <wp:effectExtent l="0" t="0" r="7620" b="17145"/>
            <wp:docPr id="12" name="图片 12" descr="Fig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 S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558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20"/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</w:pPr>
      <w:r>
        <w:rPr>
          <w:rFonts w:ascii="YjhfhlAdvTTb5929f4c" w:hAnsi="YjhfhlAdvTTb5929f4c" w:eastAsia="YjhfhlAdvTTb5929f4c" w:cs="YjhfhlAdvTTb5929f4c"/>
          <w:b/>
          <w:bCs/>
          <w:color w:val="131413"/>
          <w:sz w:val="18"/>
          <w:szCs w:val="18"/>
          <w:lang w:bidi="ar"/>
        </w:rPr>
        <w:t xml:space="preserve">Figure S3 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Module preservation statistics of gene modules. X-axis presents module size as y-axis presents </w:t>
      </w:r>
      <w:r>
        <w:rPr>
          <w:rFonts w:hint="eastAsia"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>p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reservation </w:t>
      </w:r>
      <w:r>
        <w:rPr>
          <w:rFonts w:hint="eastAsia"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>m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edian rank (A) or </w:t>
      </w:r>
      <w:r>
        <w:rPr>
          <w:rFonts w:hint="eastAsia"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>p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reservation </w:t>
      </w:r>
      <w:r>
        <w:rPr>
          <w:rFonts w:hint="eastAsia"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>z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summary (B).</w:t>
      </w:r>
    </w:p>
    <w:p>
      <w:pPr>
        <w:adjustRightInd w:val="0"/>
        <w:snapToGrid w:val="0"/>
        <w:spacing w:before="120"/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</w:pP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drawing>
          <wp:inline distT="0" distB="0" distL="114300" distR="114300">
            <wp:extent cx="4046220" cy="3551555"/>
            <wp:effectExtent l="0" t="0" r="17780" b="4445"/>
            <wp:docPr id="11" name="图片 11" descr="Fig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ig S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</w:pPr>
      <w:r>
        <w:rPr>
          <w:rFonts w:ascii="YjhfhlAdvTTb5929f4c" w:hAnsi="YjhfhlAdvTTb5929f4c" w:eastAsia="YjhfhlAdvTTb5929f4c" w:cs="YjhfhlAdvTTb5929f4c"/>
          <w:b/>
          <w:bCs/>
          <w:color w:val="131413"/>
          <w:sz w:val="18"/>
          <w:szCs w:val="18"/>
          <w:lang w:bidi="ar"/>
        </w:rPr>
        <w:t xml:space="preserve">Figure S4 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Expression levels of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GRPR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(A),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CXCL5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(B), and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CXCL11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(C) among normal, GBM, and LGG samples in TCGA and GTEx. </w:t>
      </w:r>
      <w:r>
        <w:rPr>
          <w:rFonts w:ascii="FwgtpsAdvTTb5929f4c" w:hAnsi="FwgtpsAdvTTb5929f4c" w:eastAsia="FwgtpsAdvTTb5929f4c" w:cs="FwgtpsAdvTTb5929f4c"/>
          <w:color w:val="131413"/>
          <w:sz w:val="18"/>
          <w:szCs w:val="18"/>
          <w:lang w:bidi="ar"/>
        </w:rPr>
        <w:t xml:space="preserve">Expressions of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GRPR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(D),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CXCL5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(E), and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CXCL11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(F) </w:t>
      </w:r>
      <w:r>
        <w:rPr>
          <w:rFonts w:ascii="FwgtpsAdvTTb5929f4c" w:hAnsi="FwgtpsAdvTTb5929f4c" w:eastAsia="FwgtpsAdvTTb5929f4c" w:cs="FwgtpsAdvTTb5929f4c"/>
          <w:color w:val="131413"/>
          <w:sz w:val="18"/>
          <w:szCs w:val="18"/>
          <w:lang w:bidi="ar"/>
        </w:rPr>
        <w:t xml:space="preserve">in different molecular subtypes of GBM 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>in TCGA and GTEx</w:t>
      </w:r>
      <w:r>
        <w:rPr>
          <w:rFonts w:ascii="FwgtpsAdvTTb5929f4c" w:hAnsi="FwgtpsAdvTTb5929f4c" w:eastAsia="FwgtpsAdvTTb5929f4c" w:cs="FwgtpsAdvTTb5929f4c"/>
          <w:color w:val="131413"/>
          <w:sz w:val="18"/>
          <w:szCs w:val="18"/>
          <w:lang w:bidi="ar"/>
        </w:rPr>
        <w:t>.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* represent p-value&lt;0.05 by one-way ANOVA.</w:t>
      </w:r>
      <w:r>
        <w:rPr>
          <w:color w:val="131413"/>
        </w:rPr>
        <w:t xml:space="preserve"> 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Expressions about different grades and progression status of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GRPR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in CGGA (G). P-value was tested by t-test.</w:t>
      </w:r>
    </w:p>
    <w:p>
      <w:pPr>
        <w:adjustRightInd w:val="0"/>
        <w:snapToGrid w:val="0"/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</w:pP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drawing>
          <wp:inline distT="0" distB="0" distL="114300" distR="114300">
            <wp:extent cx="4064000" cy="4835525"/>
            <wp:effectExtent l="0" t="0" r="0" b="15875"/>
            <wp:docPr id="13" name="图片 13" descr="Fig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 S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20"/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</w:pPr>
      <w:r>
        <w:rPr>
          <w:rFonts w:ascii="YjhfhlAdvTTb5929f4c" w:hAnsi="YjhfhlAdvTTb5929f4c" w:eastAsia="YjhfhlAdvTTb5929f4c" w:cs="YjhfhlAdvTTb5929f4c"/>
          <w:b/>
          <w:bCs/>
          <w:color w:val="131413"/>
          <w:sz w:val="18"/>
          <w:szCs w:val="18"/>
          <w:lang w:bidi="ar"/>
        </w:rPr>
        <w:t>Figure S5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Kaplan-Meier plots between groups with low and high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GRPR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(A),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CXCL5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(B), and </w:t>
      </w:r>
      <w:r>
        <w:rPr>
          <w:rFonts w:ascii="YjhfhlAdvTTb5929f4c" w:hAnsi="YjhfhlAdvTTb5929f4c" w:eastAsia="YjhfhlAdvTTb5929f4c" w:cs="YjhfhlAdvTTb5929f4c"/>
          <w:i/>
          <w:color w:val="131413"/>
          <w:sz w:val="18"/>
          <w:szCs w:val="18"/>
          <w:lang w:bidi="ar"/>
        </w:rPr>
        <w:t>CXCL11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(C) expressions in GSE4412 and GSE7696. The red and blue lines represent cases with high and low expressions, separately. The X axis indicates survival time (days or months), and the Y axis indicates the probability (%).</w:t>
      </w:r>
    </w:p>
    <w:p>
      <w:pPr>
        <w:adjustRightInd w:val="0"/>
        <w:snapToGrid w:val="0"/>
        <w:spacing w:before="120"/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</w:pP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drawing>
          <wp:inline distT="0" distB="0" distL="114300" distR="114300">
            <wp:extent cx="4456430" cy="5641340"/>
            <wp:effectExtent l="0" t="0" r="13970" b="22860"/>
            <wp:docPr id="8" name="图片 8" descr="Fig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S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0"/>
        <w:rPr>
          <w:rFonts w:ascii="Calibri" w:hAnsi="Calibri" w:eastAsia="宋体" w:cs="Times New Roman"/>
          <w:color w:val="131413"/>
          <w:sz w:val="21"/>
          <w:szCs w:val="21"/>
          <w:lang w:bidi="ar-SA"/>
        </w:rPr>
      </w:pPr>
      <w:r>
        <w:rPr>
          <w:rFonts w:ascii="YjhfhlAdvTTb5929f4c" w:hAnsi="YjhfhlAdvTTb5929f4c" w:eastAsia="YjhfhlAdvTTb5929f4c" w:cs="YjhfhlAdvTTb5929f4c"/>
          <w:b/>
          <w:bCs/>
          <w:color w:val="131413"/>
          <w:sz w:val="18"/>
          <w:szCs w:val="18"/>
          <w:lang w:bidi="ar"/>
        </w:rPr>
        <w:t xml:space="preserve">Figure S6 </w:t>
      </w:r>
      <w:r>
        <w:rPr>
          <w:rFonts w:ascii="YjhfhlAdvTTb5929f4c" w:hAnsi="YjhfhlAdvTTb5929f4c" w:eastAsia="YjhfhlAdvTTb5929f4c" w:cs="YjhfhlAdvTTb5929f4c"/>
          <w:b w:val="0"/>
          <w:bCs w:val="0"/>
          <w:color w:val="131413"/>
          <w:sz w:val="18"/>
          <w:szCs w:val="18"/>
          <w:lang w:bidi="ar"/>
        </w:rPr>
        <w:t xml:space="preserve">Oncoplot heatmap of </w:t>
      </w:r>
      <w:r>
        <w:rPr>
          <w:rFonts w:ascii="YjhfhlAdvTTb5929f4c" w:hAnsi="YjhfhlAdvTTb5929f4c" w:eastAsia="YjhfhlAdvTTb5929f4c" w:cs="YjhfhlAdvTTb5929f4c"/>
          <w:snapToGrid/>
          <w:color w:val="131413"/>
          <w:sz w:val="18"/>
          <w:szCs w:val="18"/>
          <w:lang w:eastAsia="zh-CN" w:bidi="ar"/>
        </w:rPr>
        <w:t>Top 10 altered genes in TCGA-GBM (A).</w:t>
      </w:r>
      <w:r>
        <w:rPr>
          <w:rFonts w:ascii="YjhfhlAdvTTb5929f4c" w:hAnsi="YjhfhlAdvTTb5929f4c" w:eastAsia="YjhfhlAdvTTb5929f4c" w:cs="YjhfhlAdvTTb5929f4c"/>
          <w:b w:val="0"/>
          <w:bCs w:val="0"/>
          <w:color w:val="131413"/>
          <w:sz w:val="18"/>
          <w:szCs w:val="18"/>
          <w:lang w:bidi="ar"/>
        </w:rPr>
        <w:t xml:space="preserve"> 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Corrgram map </w:t>
      </w:r>
      <w:r>
        <w:rPr>
          <w:rFonts w:ascii="YjhfhlAdvTTb5929f4c" w:hAnsi="YjhfhlAdvTTb5929f4c" w:eastAsia="YjhfhlAdvTTb5929f4c" w:cs="YjhfhlAdvTTb5929f4c"/>
          <w:color w:val="000000"/>
          <w:sz w:val="18"/>
          <w:szCs w:val="18"/>
          <w:lang w:bidi="ar"/>
        </w:rPr>
        <w:t xml:space="preserve">between </w:t>
      </w:r>
      <w:r>
        <w:rPr>
          <w:rFonts w:ascii="YjhfhlAdvTTb5929f4c" w:hAnsi="YjhfhlAdvTTb5929f4c" w:eastAsia="YjhfhlAdvTTb5929f4c" w:cs="YjhfhlAdvTTb5929f4c"/>
          <w:i w:val="0"/>
          <w:color w:val="131413"/>
          <w:sz w:val="18"/>
          <w:szCs w:val="18"/>
          <w:lang w:bidi="ar"/>
        </w:rPr>
        <w:t>GRPR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 , </w:t>
      </w:r>
      <w:r>
        <w:rPr>
          <w:rFonts w:ascii="YjhfhlAdvTTb5929f4c" w:hAnsi="YjhfhlAdvTTb5929f4c" w:eastAsia="YjhfhlAdvTTb5929f4c" w:cs="YjhfhlAdvTTb5929f4c"/>
          <w:i w:val="0"/>
          <w:color w:val="131413"/>
          <w:sz w:val="18"/>
          <w:szCs w:val="18"/>
          <w:lang w:bidi="ar"/>
        </w:rPr>
        <w:t>CXCL5</w:t>
      </w:r>
      <w:r>
        <w:rPr>
          <w:rFonts w:ascii="YjhfhlAdvTTb5929f4c" w:hAnsi="YjhfhlAdvTTb5929f4c" w:eastAsia="YjhfhlAdvTTb5929f4c" w:cs="YjhfhlAdvTTb5929f4c"/>
          <w:color w:val="131413"/>
          <w:sz w:val="18"/>
          <w:szCs w:val="18"/>
          <w:lang w:bidi="ar"/>
        </w:rPr>
        <w:t xml:space="preserve">, and </w:t>
      </w:r>
      <w:r>
        <w:rPr>
          <w:rFonts w:ascii="YjhfhlAdvTTb5929f4c" w:hAnsi="YjhfhlAdvTTb5929f4c" w:eastAsia="YjhfhlAdvTTb5929f4c" w:cs="YjhfhlAdvTTb5929f4c"/>
          <w:i w:val="0"/>
          <w:color w:val="131413"/>
          <w:sz w:val="18"/>
          <w:szCs w:val="18"/>
          <w:lang w:bidi="ar"/>
        </w:rPr>
        <w:t>CXCL11</w:t>
      </w:r>
      <w:r>
        <w:rPr>
          <w:rFonts w:ascii="YjhfhlAdvTTb5929f4c" w:hAnsi="YjhfhlAdvTTb5929f4c" w:eastAsia="YjhfhlAdvTTb5929f4c" w:cs="YjhfhlAdvTTb5929f4c"/>
          <w:color w:val="000000"/>
          <w:sz w:val="18"/>
          <w:szCs w:val="18"/>
          <w:lang w:bidi="ar"/>
        </w:rPr>
        <w:t xml:space="preserve"> with aforementioned frequently </w:t>
      </w:r>
      <w:r>
        <w:rPr>
          <w:rFonts w:ascii="YjhfhlAdvTTb5929f4c" w:hAnsi="YjhfhlAdvTTb5929f4c" w:eastAsia="YjhfhlAdvTTb5929f4c" w:cs="YjhfhlAdvTTb5929f4c"/>
          <w:snapToGrid/>
          <w:color w:val="131413"/>
          <w:sz w:val="18"/>
          <w:szCs w:val="18"/>
          <w:lang w:eastAsia="zh-CN" w:bidi="ar"/>
        </w:rPr>
        <w:t xml:space="preserve">altered genes </w:t>
      </w:r>
      <w:r>
        <w:rPr>
          <w:rFonts w:ascii="YjhfhlAdvTTb5929f4c" w:hAnsi="YjhfhlAdvTTb5929f4c" w:eastAsia="YjhfhlAdvTTb5929f4c" w:cs="YjhfhlAdvTTb5929f4c"/>
          <w:color w:val="000000"/>
          <w:sz w:val="18"/>
          <w:szCs w:val="18"/>
          <w:lang w:bidi="ar"/>
        </w:rPr>
        <w:t xml:space="preserve">(B). </w:t>
      </w: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b/>
          <w:bCs/>
          <w:color w:val="131413"/>
          <w:sz w:val="18"/>
          <w:szCs w:val="18"/>
        </w:rPr>
        <w:t xml:space="preserve">Table S1 </w:t>
      </w:r>
      <w:r>
        <w:rPr>
          <w:rFonts w:ascii="YjhfhlAdvTTb5929f4c" w:hAnsi="YjhfhlAdvTTb5929f4c"/>
          <w:color w:val="131413"/>
          <w:sz w:val="18"/>
          <w:szCs w:val="18"/>
        </w:rPr>
        <w:t>Clinical information of 693 glioma samples in CGGA.</w:t>
      </w:r>
    </w:p>
    <w:p>
      <w:pPr>
        <w:adjustRightInd w:val="0"/>
        <w:snapToGrid w:val="0"/>
        <w:spacing w:before="120"/>
        <w:rPr>
          <w:rFonts w:hint="eastAsia"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color w:val="131413"/>
          <w:sz w:val="18"/>
          <w:szCs w:val="18"/>
        </w:rPr>
        <w:t xml:space="preserve"> </w:t>
      </w:r>
    </w:p>
    <w:tbl>
      <w:tblPr>
        <w:tblStyle w:val="7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28"/>
        <w:gridCol w:w="1212"/>
        <w:gridCol w:w="629"/>
        <w:gridCol w:w="588"/>
        <w:gridCol w:w="474"/>
        <w:gridCol w:w="287"/>
        <w:gridCol w:w="350"/>
        <w:gridCol w:w="458"/>
        <w:gridCol w:w="1325"/>
      </w:tblGrid>
      <w:tr>
        <w:trPr>
          <w:trHeight w:val="285" w:hRule="atLeast"/>
        </w:trPr>
        <w:tc>
          <w:tcPr>
            <w:tcW w:w="0" w:type="auto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CGGA_ID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Progression Status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Histology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Grade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Gender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Age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OS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Censor</w:t>
            </w:r>
          </w:p>
        </w:tc>
        <w:tc>
          <w:tcPr>
            <w:tcW w:w="0" w:type="auto"/>
            <w:tcBorders>
              <w:top w:val="single" w:color="auto" w:sz="4" w:space="0"/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IDH_mutation_status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4697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CGGA_1097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CGGA_1198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CGGA_1295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1497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CGGA_1398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CGGA_1497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CGGA_1498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CGGA_1597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CGGA_1598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CGGA_1697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CGGA_1699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CGGA_1791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CGGA_1899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CGGA_1994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CGGA_2088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CGGA_2106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CGGA_2115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CGGA_2121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CGGA_2129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CGGA_290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CGGA_320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CGGA_336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CGGA_358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CGGA_362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CGGA_369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CGGA_406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CGGA_420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CGGA_457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CGGA_474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CGGA_482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CGGA_487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CGGA_492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CGGA_503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CGGA_507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CGGA_509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CGGA_521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CGGA_530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CGGA_554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CGGA_568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CGGA_621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CGGA_625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CGGA_634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CGGA_652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CGGA_663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CGGA_799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CGGA_890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CGGA_901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CGGA_903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CGGA_D19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CGGA_D28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CGGA_D49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CGGA_D50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CGGA_D53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CGGA_J50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CGGA_J73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1190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CGGA_P177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CGGA_P182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CGGA_P199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CGGA_P265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CGGA_P270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CGGA_P271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972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CGGA_P298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CGGA_P306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CGGA_P314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CGGA_P399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CGGA_P422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CGGA_P437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CGGA_P492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CGGA_P499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CGGA_P501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CGGA_P505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CGGA_P596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CGGA_P604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CGGA_P609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CGGA_P610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CGGA_P615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CGGA_P623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CGGA_P625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CGGA_P633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1330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CGGA_P89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Wildtype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1310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rAOA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III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  <w:tr>
        <w:trPr>
          <w:trHeight w:val="285" w:hRule="atLeast"/>
        </w:trPr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CGGA_P99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Recurrent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rGBM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WHO IV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679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Mutant</w:t>
            </w:r>
          </w:p>
        </w:tc>
      </w:tr>
    </w:tbl>
    <w:p>
      <w:pPr>
        <w:adjustRightInd w:val="0"/>
        <w:snapToGrid w:val="0"/>
        <w:spacing w:before="120"/>
        <w:rPr>
          <w:rFonts w:ascii="YjhfhlAdvTTb5929f4c" w:hAnsi="YjhfhlAdvTTb5929f4c"/>
          <w:b/>
          <w:bCs/>
          <w:color w:val="131413"/>
          <w:sz w:val="18"/>
          <w:szCs w:val="18"/>
        </w:rPr>
      </w:pP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b/>
          <w:bCs/>
          <w:color w:val="131413"/>
          <w:sz w:val="18"/>
          <w:szCs w:val="18"/>
        </w:rPr>
        <w:t xml:space="preserve">Table S2 </w:t>
      </w:r>
      <w:r>
        <w:rPr>
          <w:rFonts w:ascii="YjhfhlAdvTTb5929f4c" w:hAnsi="YjhfhlAdvTTb5929f4c"/>
          <w:color w:val="131413"/>
          <w:sz w:val="18"/>
          <w:szCs w:val="18"/>
        </w:rPr>
        <w:t>The list of primer sequences used in this study.</w:t>
      </w:r>
    </w:p>
    <w:tbl>
      <w:tblPr>
        <w:tblStyle w:val="7"/>
        <w:tblW w:w="7440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00"/>
        <w:gridCol w:w="915"/>
        <w:gridCol w:w="915"/>
        <w:gridCol w:w="915"/>
        <w:gridCol w:w="2880"/>
        <w:gridCol w:w="915"/>
      </w:tblGrid>
      <w:tr>
        <w:trPr>
          <w:trHeight w:val="270" w:hRule="atLeast"/>
        </w:trPr>
        <w:tc>
          <w:tcPr>
            <w:tcW w:w="900" w:type="dxa"/>
            <w:tcBorders>
              <w:top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915" w:type="dxa"/>
            <w:tcBorders>
              <w:top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CXCL11</w:t>
            </w:r>
          </w:p>
        </w:tc>
        <w:tc>
          <w:tcPr>
            <w:tcW w:w="915" w:type="dxa"/>
            <w:tcBorders>
              <w:top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forward</w:t>
            </w:r>
          </w:p>
        </w:tc>
        <w:tc>
          <w:tcPr>
            <w:tcW w:w="915" w:type="dxa"/>
            <w:tcBorders>
              <w:top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5′ -</w:t>
            </w:r>
          </w:p>
        </w:tc>
        <w:tc>
          <w:tcPr>
            <w:tcW w:w="2880" w:type="dxa"/>
            <w:tcBorders>
              <w:top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GTGGCAGATATTGAGAAAG</w:t>
            </w:r>
          </w:p>
        </w:tc>
        <w:tc>
          <w:tcPr>
            <w:tcW w:w="915" w:type="dxa"/>
            <w:tcBorders>
              <w:top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- 3′</w:t>
            </w:r>
          </w:p>
        </w:tc>
      </w:tr>
      <w:tr>
        <w:trPr>
          <w:trHeight w:val="270" w:hRule="atLeast"/>
        </w:trPr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reverse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5′ -</w:t>
            </w:r>
          </w:p>
        </w:tc>
        <w:tc>
          <w:tcPr>
            <w:tcW w:w="2880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CTTCGATTTGGGATTTAGG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- 3′</w:t>
            </w:r>
          </w:p>
        </w:tc>
      </w:tr>
      <w:tr>
        <w:trPr>
          <w:trHeight w:val="280" w:hRule="atLeast"/>
        </w:trPr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</w:tr>
      <w:tr>
        <w:trPr>
          <w:trHeight w:val="270" w:hRule="atLeast"/>
        </w:trPr>
        <w:tc>
          <w:tcPr>
            <w:tcW w:w="900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CXCL5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forward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5′ -</w:t>
            </w:r>
          </w:p>
        </w:tc>
        <w:tc>
          <w:tcPr>
            <w:tcW w:w="2880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TCTTCGCTCCTCCAATCTC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- 3′</w:t>
            </w:r>
          </w:p>
        </w:tc>
      </w:tr>
      <w:tr>
        <w:trPr>
          <w:trHeight w:val="270" w:hRule="atLeast"/>
        </w:trPr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reverse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5′ -</w:t>
            </w:r>
          </w:p>
        </w:tc>
        <w:tc>
          <w:tcPr>
            <w:tcW w:w="2880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CCTTGCGTGGTCTGTAAAC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- 3′</w:t>
            </w:r>
          </w:p>
        </w:tc>
      </w:tr>
      <w:tr>
        <w:trPr>
          <w:trHeight w:val="280" w:hRule="atLeast"/>
        </w:trPr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</w:tr>
      <w:tr>
        <w:trPr>
          <w:trHeight w:val="270" w:hRule="atLeast"/>
        </w:trPr>
        <w:tc>
          <w:tcPr>
            <w:tcW w:w="900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GRPR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forward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5′ -</w:t>
            </w:r>
          </w:p>
        </w:tc>
        <w:tc>
          <w:tcPr>
            <w:tcW w:w="2880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TGGCTATTTGGCAGGATTGG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- 3′</w:t>
            </w:r>
          </w:p>
        </w:tc>
      </w:tr>
      <w:tr>
        <w:trPr>
          <w:trHeight w:val="270" w:hRule="atLeast"/>
        </w:trPr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reverse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5′ -</w:t>
            </w:r>
          </w:p>
        </w:tc>
        <w:tc>
          <w:tcPr>
            <w:tcW w:w="2880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GCTCATTAGAGTGTGGGTATGG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- 3′</w:t>
            </w:r>
          </w:p>
        </w:tc>
      </w:tr>
      <w:tr>
        <w:trPr>
          <w:trHeight w:val="280" w:hRule="atLeast"/>
        </w:trPr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</w:tr>
      <w:tr>
        <w:trPr>
          <w:trHeight w:val="270" w:hRule="atLeast"/>
        </w:trPr>
        <w:tc>
          <w:tcPr>
            <w:tcW w:w="900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GAPDH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forward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5′ -</w:t>
            </w:r>
          </w:p>
        </w:tc>
        <w:tc>
          <w:tcPr>
            <w:tcW w:w="2880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AATCCCATCACCATCTTC</w:t>
            </w:r>
          </w:p>
        </w:tc>
        <w:tc>
          <w:tcPr>
            <w:tcW w:w="915" w:type="dxa"/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- 3′</w:t>
            </w:r>
          </w:p>
        </w:tc>
      </w:tr>
      <w:tr>
        <w:trPr>
          <w:trHeight w:val="270" w:hRule="atLeast"/>
        </w:trPr>
        <w:tc>
          <w:tcPr>
            <w:tcW w:w="0" w:type="auto"/>
            <w:tcBorders>
              <w:bottom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15" w:type="dxa"/>
            <w:tcBorders>
              <w:bottom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reverse</w:t>
            </w:r>
          </w:p>
        </w:tc>
        <w:tc>
          <w:tcPr>
            <w:tcW w:w="915" w:type="dxa"/>
            <w:tcBorders>
              <w:bottom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5′ -</w:t>
            </w:r>
          </w:p>
        </w:tc>
        <w:tc>
          <w:tcPr>
            <w:tcW w:w="2880" w:type="dxa"/>
            <w:tcBorders>
              <w:bottom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AGGCTGTTGTCATACTTC</w:t>
            </w:r>
          </w:p>
        </w:tc>
        <w:tc>
          <w:tcPr>
            <w:tcW w:w="915" w:type="dxa"/>
            <w:tcBorders>
              <w:bottom w:val="single" w:color="auto" w:sz="4" w:space="0"/>
            </w:tcBorders>
            <w:vAlign w:val="bottom"/>
          </w:tcPr>
          <w:p>
            <w:pPr>
              <w:widowControl/>
              <w:adjustRightInd w:val="0"/>
              <w:snapToGrid w:val="0"/>
              <w:spacing w:line="20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- 3′</w:t>
            </w:r>
          </w:p>
        </w:tc>
      </w:tr>
    </w:tbl>
    <w:p>
      <w:pPr>
        <w:adjustRightInd w:val="0"/>
        <w:snapToGrid w:val="0"/>
        <w:spacing w:before="120"/>
        <w:rPr>
          <w:rFonts w:ascii="YjhfhlAdvTTb5929f4c" w:hAnsi="YjhfhlAdvTTb5929f4c"/>
          <w:b/>
          <w:bCs/>
          <w:color w:val="131413"/>
          <w:sz w:val="18"/>
          <w:szCs w:val="18"/>
        </w:rPr>
      </w:pP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b/>
          <w:bCs/>
          <w:color w:val="131413"/>
          <w:sz w:val="18"/>
          <w:szCs w:val="18"/>
        </w:rPr>
        <w:t xml:space="preserve">Table S3 </w:t>
      </w:r>
      <w:r>
        <w:rPr>
          <w:rFonts w:ascii="YjhfhlAdvTTb5929f4c" w:hAnsi="YjhfhlAdvTTb5929f4c"/>
          <w:color w:val="131413"/>
          <w:sz w:val="18"/>
          <w:szCs w:val="18"/>
        </w:rPr>
        <w:t xml:space="preserve">Details about </w:t>
      </w:r>
      <w:r>
        <w:rPr>
          <w:rFonts w:ascii="YjhfhlAdvTTb5929f4c" w:hAnsi="YjhfhlAdvTTb5929f4c"/>
          <w:color w:val="131413"/>
          <w:kern w:val="0"/>
          <w:sz w:val="18"/>
          <w:szCs w:val="18"/>
        </w:rPr>
        <w:t xml:space="preserve">Z- summary score of </w:t>
      </w:r>
      <w:r>
        <w:rPr>
          <w:rFonts w:ascii="YjhfhlAdvTTb5929f4c" w:hAnsi="YjhfhlAdvTTb5929f4c"/>
          <w:color w:val="131413"/>
          <w:sz w:val="18"/>
          <w:szCs w:val="18"/>
        </w:rPr>
        <w:t>10 selected modules in WGCNA.</w:t>
      </w:r>
    </w:p>
    <w:tbl>
      <w:tblPr>
        <w:tblStyle w:val="7"/>
        <w:tblW w:w="3693" w:type="dxa"/>
        <w:tblInd w:w="135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5"/>
        <w:gridCol w:w="1198"/>
        <w:gridCol w:w="1560"/>
      </w:tblGrid>
      <w:tr>
        <w:trPr>
          <w:trHeight w:val="540" w:hRule="atLeast"/>
        </w:trPr>
        <w:tc>
          <w:tcPr>
            <w:tcW w:w="935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Module</w:t>
            </w:r>
          </w:p>
        </w:tc>
        <w:tc>
          <w:tcPr>
            <w:tcW w:w="119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Gene number </w:t>
            </w:r>
          </w:p>
        </w:tc>
        <w:tc>
          <w:tcPr>
            <w:tcW w:w="1560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Z- summary score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turquoise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2288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39.57361603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brown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37.67757461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blue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864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37.09637724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yellow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24.04209348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grey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898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20.27742823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red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19.41565456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pink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18.27421588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green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18.05900802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black</w:t>
            </w: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17.66250146</w:t>
            </w:r>
          </w:p>
        </w:tc>
      </w:tr>
      <w:tr>
        <w:trPr>
          <w:trHeight w:val="270" w:hRule="atLeast"/>
        </w:trPr>
        <w:tc>
          <w:tcPr>
            <w:tcW w:w="935" w:type="dxa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magenta</w:t>
            </w:r>
          </w:p>
        </w:tc>
        <w:tc>
          <w:tcPr>
            <w:tcW w:w="1198" w:type="dxa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>
            <w:pPr>
              <w:widowControl/>
              <w:adjustRightInd w:val="0"/>
              <w:snapToGrid w:val="0"/>
              <w:spacing w:line="160" w:lineRule="atLeast"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11.90820536</w:t>
            </w:r>
          </w:p>
        </w:tc>
      </w:tr>
    </w:tbl>
    <w:p>
      <w:pPr>
        <w:adjustRightInd w:val="0"/>
        <w:snapToGrid w:val="0"/>
        <w:spacing w:before="120"/>
        <w:rPr>
          <w:rFonts w:hint="eastAsia" w:ascii="YjhfhlAdvTTb5929f4c" w:hAnsi="YjhfhlAdvTTb5929f4c"/>
          <w:b/>
          <w:bCs/>
          <w:color w:val="131413"/>
          <w:sz w:val="18"/>
          <w:szCs w:val="18"/>
        </w:rPr>
      </w:pP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b/>
          <w:bCs/>
          <w:color w:val="131413"/>
          <w:sz w:val="18"/>
          <w:szCs w:val="18"/>
        </w:rPr>
        <w:t xml:space="preserve">Table S4 </w:t>
      </w:r>
      <w:r>
        <w:rPr>
          <w:rFonts w:ascii="YjhfhlAdvTTb5929f4c" w:hAnsi="YjhfhlAdvTTb5929f4c"/>
          <w:color w:val="131413"/>
          <w:sz w:val="18"/>
          <w:szCs w:val="18"/>
        </w:rPr>
        <w:t>Details about enrichment analyses of genes in blue and yellow modules.</w:t>
      </w: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color w:val="131413"/>
          <w:sz w:val="18"/>
          <w:szCs w:val="18"/>
        </w:rPr>
        <w:t>Table S4-1 Details about enrichment analyses of genes in blue module</w:t>
      </w:r>
    </w:p>
    <w:tbl>
      <w:tblPr>
        <w:tblStyle w:val="7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49"/>
        <w:gridCol w:w="2068"/>
        <w:gridCol w:w="5131"/>
        <w:gridCol w:w="526"/>
      </w:tblGrid>
      <w:tr>
        <w:trPr>
          <w:trHeight w:val="285" w:hRule="atLeast"/>
        </w:trPr>
        <w:tc>
          <w:tcPr>
            <w:tcW w:w="0" w:type="auto"/>
            <w:shd w:val="clear" w:color="auto" w:fill="800000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GOID</w:t>
            </w:r>
          </w:p>
        </w:tc>
        <w:tc>
          <w:tcPr>
            <w:tcW w:w="0" w:type="auto"/>
            <w:shd w:val="clear" w:color="auto" w:fill="800000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GOTerm</w:t>
            </w:r>
          </w:p>
        </w:tc>
        <w:tc>
          <w:tcPr>
            <w:tcW w:w="0" w:type="auto"/>
            <w:shd w:val="clear" w:color="auto" w:fill="800000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Ontology Source</w:t>
            </w:r>
          </w:p>
        </w:tc>
        <w:tc>
          <w:tcPr>
            <w:tcW w:w="0" w:type="auto"/>
            <w:shd w:val="clear" w:color="auto" w:fill="800000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Term PValue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CN043648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Nonsyndromic hearing loss and deafness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CLINVAR_Human-diseases_08.05.2020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0.02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GO:0005801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cis-Golgi network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GO_CellularComponent-EBI-UniProt-GOA-ACAP-ARAP_08.05.2020_00h00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GO:0007030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Golgi organization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GO:0005795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Golgi stack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GO_CellularComponent-EBI-UniProt-GOA-ACAP-ARAP_08.05.2020_00h00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GO:0031985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Golgi cisterna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GO_CellularComponent-EBI-UniProt-GOA-ACAP-ARAP_08.05.2020_00h00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GO:0000137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Golgi cis cisterna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GO_CellularComponent-EBI-UniProt-GOA-ACAP-ARAP_08.05.2020_00h00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GO:0032580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Golgi cisterna membrane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GO_CellularComponent-EBI-UniProt-GOA-ACAP-ARAP_08.05.2020_00h00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KEGG:04742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Taste transduction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KEGG_08.05.2020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R-HSA:3296233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T2Rs bind bitter-tasting compounds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REACTOME_Reactions_08.05.2020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R-HSA:420499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Class C/3 (Metabotropic glutamate/pheromone receptors)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REACTOME_Pathways_08.05.2020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GO:0098889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intrinsic component of presynaptic membrane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GO_CellularComponent-EBI-UniProt-GOA-ACAP-ARAP_08.05.2020_00h00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GO:0050909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sensory perception of taste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GO:0050912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detection of chemical stimulus involved in sensory perception of taste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GO:0099056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integral component of presynaptic membrane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GO_CellularComponent-EBI-UniProt-GOA-ACAP-ARAP_08.05.2020_00h00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GO:0001580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detection of chemical stimulus involved in sensory perception of bitter taste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GO:0008527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taste receptor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GO:0050913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sensory perception of bitter taste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GO:0033038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bitter taste receptor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KEGG:04080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Neuroactive ligand-receptor interaction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KEGG_08.05.2020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R-HSA:379048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Liganded Gq/11-activating GPCRs act as GEFs for Gq/11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REACTOME_Reactions_08.05.2020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R-HSA:749448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Liganded Gq-activating GPCRs bind inactive heterotrimeric Gq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REACTOME_Reactions_08.05.2020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R-HSA:749452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The Ligand:GPCR:Gq complex dissociates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REACTOME_Reactions_08.05.2020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WP:24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Peptide GPCRs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WikiPathways_08.05.2020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WP:455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GPCRs, Class A Rhodopsin-like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WikiPathways_08.05.2020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GO:0001653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peptide receptor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GO_MolecularFunction-EBI-UniProt-GOA-ACAP-ARAP_08.05.2020_00h00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GO:0017046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peptide hormone binding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GO_MolecularFunction-EBI-UniProt-GOA-ACAP-ARAP_08.05.2020_00h00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GO:0007200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phospholipase C-activating G protein-coupled receptor signaling pathway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GO:0045777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positive regulation of blood pressure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GO:0008528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 protein-coupled peptide receptor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GO:0008188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neuropeptide receptor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0.01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KEGG:04742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Taste transduction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KEGG_08.05.2020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WP:4900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Purinergic signaling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WikiPathways_08.05.2020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GO:0051354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negative regulation of oxidoreductase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GO:0070050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neuron cellular homeostasis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GO:0032768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regulation of monooxygenase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GO:0032769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negative regulation of monooxygenase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GO:0098889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intrinsic component of presynaptic membrane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GO_CellularComponent-EBI-UniProt-GOA-ACAP-ARAP_08.05.2020_00h00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GO:0004517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nitric-oxide synthase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GO:0050999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regulation of nitric-oxide synthase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GO:0051001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negative regulation of nitric-oxide synthase activity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GO:0099056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integral component of presynaptic membrane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GO_CellularComponent-EBI-UniProt-GOA-ACAP-ARAP_08.05.2020_00h00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GO:0032228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regulation of synaptic transmission, GABAergic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GO:0051966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regulation of synaptic transmission, glutamatergic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0.02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GO:0051932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synaptic transmission, GABAergic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0.01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GO:0099509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regulation of presynaptic cytosolic calcium ion concentration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tcBorders>
              <w:bottom w:val="single" w:color="auto" w:sz="4" w:space="0"/>
            </w:tcBorders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GO:0005245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voltage-gated calcium channel activity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</w:tbl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color w:val="131413"/>
          <w:sz w:val="18"/>
          <w:szCs w:val="18"/>
        </w:rPr>
        <w:t xml:space="preserve">Table S4-2 Details about enrichment analyses of genes in </w:t>
      </w:r>
      <w:r>
        <w:rPr>
          <w:rFonts w:hint="eastAsia" w:ascii="YjhfhlAdvTTb5929f4c" w:hAnsi="YjhfhlAdvTTb5929f4c"/>
          <w:color w:val="131413"/>
          <w:sz w:val="18"/>
          <w:szCs w:val="18"/>
        </w:rPr>
        <w:t>yellow</w:t>
      </w:r>
      <w:r>
        <w:rPr>
          <w:rFonts w:ascii="YjhfhlAdvTTb5929f4c" w:hAnsi="YjhfhlAdvTTb5929f4c"/>
          <w:color w:val="131413"/>
          <w:sz w:val="18"/>
          <w:szCs w:val="18"/>
        </w:rPr>
        <w:t xml:space="preserve"> module</w:t>
      </w:r>
    </w:p>
    <w:tbl>
      <w:tblPr>
        <w:tblStyle w:val="7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49"/>
        <w:gridCol w:w="2146"/>
        <w:gridCol w:w="5044"/>
        <w:gridCol w:w="535"/>
      </w:tblGrid>
      <w:tr>
        <w:trPr>
          <w:trHeight w:val="285" w:hRule="atLeast"/>
        </w:trPr>
        <w:tc>
          <w:tcPr>
            <w:tcW w:w="0" w:type="auto"/>
            <w:shd w:val="clear" w:color="auto" w:fill="800000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GOID</w:t>
            </w:r>
          </w:p>
        </w:tc>
        <w:tc>
          <w:tcPr>
            <w:tcW w:w="0" w:type="auto"/>
            <w:shd w:val="clear" w:color="auto" w:fill="800000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GOTerm</w:t>
            </w:r>
          </w:p>
        </w:tc>
        <w:tc>
          <w:tcPr>
            <w:tcW w:w="0" w:type="auto"/>
            <w:shd w:val="clear" w:color="auto" w:fill="800000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Ontology Source</w:t>
            </w:r>
          </w:p>
        </w:tc>
        <w:tc>
          <w:tcPr>
            <w:tcW w:w="0" w:type="auto"/>
            <w:shd w:val="clear" w:color="auto" w:fill="800000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Term PValue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WP:2849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Hematopoietic Stem Cell Differentiation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WikiPathways_08.05.2020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R-HSA:3296233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T2Rs bind bitter-tasting compounds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REACTOME_Reactions_08.05.2020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R-HSA:420499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Class C/3 (Metabotropic glutamate/pheromone receptors)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REACTOME_Pathways_08.05.2020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GO:0050909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sensory perception of taste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GO:0050912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detection of chemical stimulus involved in sensory perception of taste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GO:0001580</w:t>
            </w:r>
          </w:p>
        </w:tc>
        <w:tc>
          <w:tcPr>
            <w:tcW w:w="0" w:type="auto"/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detection of chemical stimulus involved in sensory perception of bitter taste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  <w:tr>
        <w:trPr>
          <w:trHeight w:val="210" w:hRule="atLeast"/>
        </w:trPr>
        <w:tc>
          <w:tcPr>
            <w:tcW w:w="0" w:type="auto"/>
            <w:tcBorders>
              <w:bottom w:val="single" w:color="auto" w:sz="4" w:space="0"/>
            </w:tcBorders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GO:0050913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shd w:val="clear" w:color="auto" w:fill="FFFFFF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sensory perception of bitter taste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GO_BiologicalProcess-EBI-UniProt-GOA-ACAP-ARAP_08.05.2020_00h00</w:t>
            </w:r>
          </w:p>
        </w:tc>
        <w:tc>
          <w:tcPr>
            <w:tcW w:w="0" w:type="auto"/>
            <w:tcBorders>
              <w:bottom w:val="single" w:color="auto" w:sz="4" w:space="0"/>
            </w:tcBorders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  <w:t>0.00</w:t>
            </w:r>
          </w:p>
        </w:tc>
      </w:tr>
    </w:tbl>
    <w:p>
      <w:pPr>
        <w:adjustRightInd w:val="0"/>
        <w:snapToGrid w:val="0"/>
        <w:spacing w:before="120"/>
        <w:rPr>
          <w:rFonts w:hint="eastAsia" w:ascii="DengXian" w:hAnsi="DengXian" w:eastAsia="DengXian" w:cs="宋体"/>
          <w:color w:val="000000"/>
          <w:kern w:val="0"/>
          <w:sz w:val="16"/>
          <w:szCs w:val="16"/>
        </w:rPr>
      </w:pP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b/>
          <w:bCs/>
          <w:color w:val="131413"/>
          <w:sz w:val="18"/>
          <w:szCs w:val="18"/>
        </w:rPr>
        <w:t xml:space="preserve">Table S5 </w:t>
      </w:r>
      <w:r>
        <w:rPr>
          <w:rFonts w:ascii="YjhfhlAdvTTb5929f4c" w:hAnsi="YjhfhlAdvTTb5929f4c"/>
          <w:color w:val="131413"/>
          <w:sz w:val="18"/>
          <w:szCs w:val="18"/>
        </w:rPr>
        <w:t>Nodes' scores of genes calculated by cytoHubba.</w:t>
      </w: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color w:val="131413"/>
          <w:sz w:val="18"/>
          <w:szCs w:val="18"/>
        </w:rPr>
        <w:t>Table S5-1. Nodes' scores of genes in blue module calculated by cytohubba</w:t>
      </w:r>
    </w:p>
    <w:tbl>
      <w:tblPr>
        <w:tblStyle w:val="7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57"/>
        <w:gridCol w:w="344"/>
        <w:gridCol w:w="591"/>
        <w:gridCol w:w="339"/>
        <w:gridCol w:w="455"/>
        <w:gridCol w:w="511"/>
        <w:gridCol w:w="704"/>
        <w:gridCol w:w="797"/>
        <w:gridCol w:w="671"/>
        <w:gridCol w:w="591"/>
        <w:gridCol w:w="839"/>
        <w:gridCol w:w="412"/>
        <w:gridCol w:w="1354"/>
      </w:tblGrid>
      <w:tr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node_name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MCC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DMNC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MNC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Degree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EPC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BottleNeck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EcCentricity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Closeness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Radiality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Betweenness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Stress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ClusteringCoefficient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HTR1B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0.71324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12.778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0.07031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15.61667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3.42368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0.41667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P2RY4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0.71324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12.574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12.82619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3.13161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0.71429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GRM5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0.64826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11.624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0.08438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14.03333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3.40745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0.66667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GRPR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0.64826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11.395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0.08438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3.27764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0.66667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NMBR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0.64826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11.313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0.08438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12.31667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3.19651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0.66667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GALR1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0.71324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12.32619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3.11538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RXFP3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0.71324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12.516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12.32619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3.11538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TAS2R31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0.71324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12.531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12.32619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3.11538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TAS2R4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0.71324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12.32619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3.11538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TAS2R5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0.71324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12.612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12.32619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3.11538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AVPR1A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0.64826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11.227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0.08438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11.81667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3.18029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GNRHR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0.64826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11.41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0.08438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11.81667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3.18029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LPAR4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0.64826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11.275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0.08438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11.81667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3.18029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CDKL5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7.487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0.07031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10.96667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3.03425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GPR20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0.46346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8.957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11.90952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3.14784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0.5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GLP1R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0.46346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7.658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0.05273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9.83452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2.80709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0.5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AMY2B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2.485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0.1875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RGS7BP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2.444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0.1875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ENSG00000260342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0.30898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3.012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0.1875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0.66667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ENSG00000270800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0.30898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0.1875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0.66667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HTR4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0.46346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0.05273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9.33452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2.79087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MC5R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0.46346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7.579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0.05273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9.33452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2.79087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PRKG2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4.904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8.57619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2.69351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NPR3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3.545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0.05273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7.17976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2.32031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EIF2S3L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0.30779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2.759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0.16667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FRRS1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0.30779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2.827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0.16667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POU3F4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0.30779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2.203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0.04688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POU4F3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0.30779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2.193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0.04688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TMC1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0.30779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2.188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0.04688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ANKRD33B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1.521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ASB3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BHLHA15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BRCA2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1.508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BTBD8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1.479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C10orf131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C21orf140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6.339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0.07031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8.25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2.79087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CCDC158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1.521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CD207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CLMP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2.496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0.04688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5.67063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1.91466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CMKBR6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DHFR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6.848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9.65952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3.01803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ENSG00000157654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4.107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7.65952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2.62861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ENSG00000269948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1.481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GPR89B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HYDIN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INS-IGF2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4.799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0.04688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7.03135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2.40144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IRS4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1.474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LDHAL6A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1.967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0.14583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LDHAL6B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1.968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0.14583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NBPF11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NXF5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4.452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0.06027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7.65952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2.62861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ONECUT1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1.495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P2RX3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0.05273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8.36786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2.72596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PARG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1.508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PCDHA11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PCDHA4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1.469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PCDHAC1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PDC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1.944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0.14583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PLCXD2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1.994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0.14583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RGS8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1.924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0.14583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SLC25A2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1.478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SRGAP2C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1.491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TREH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0.14583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0" w:type="auto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TSSK3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1.479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0.03125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0.09375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</w:tbl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color w:val="131413"/>
          <w:sz w:val="18"/>
          <w:szCs w:val="18"/>
        </w:rPr>
        <w:t>Table S5-2. Nodes' scores of genes in yellow module calculated by cytohubba</w:t>
      </w:r>
    </w:p>
    <w:tbl>
      <w:tblPr>
        <w:tblStyle w:val="7"/>
        <w:tblW w:w="10530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57"/>
        <w:gridCol w:w="638"/>
        <w:gridCol w:w="730"/>
        <w:gridCol w:w="637"/>
        <w:gridCol w:w="680"/>
        <w:gridCol w:w="671"/>
        <w:gridCol w:w="771"/>
        <w:gridCol w:w="805"/>
        <w:gridCol w:w="754"/>
        <w:gridCol w:w="730"/>
        <w:gridCol w:w="839"/>
        <w:gridCol w:w="664"/>
        <w:gridCol w:w="1354"/>
      </w:tblGrid>
      <w:tr>
        <w:trPr>
          <w:trHeight w:val="285" w:hRule="atLeast"/>
        </w:trPr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node_name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MCC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DMNC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MNC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Degree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EPC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BottleNeck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EcCentricity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Closeness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Radiality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Betweenness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Stress</w:t>
            </w:r>
          </w:p>
        </w:tc>
        <w:tc>
          <w:tcPr>
            <w:tcW w:w="810" w:type="dxa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ClusteringCoefficient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ENSG00000266953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1.456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0.04762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1.83333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0.47619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ENSG00000257921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1.662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0.05357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2.41667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0.72857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ENSG00000144785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1.76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0.57143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NAT2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1.472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0.04762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1.83333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0.47619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ACSM3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1.748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0.57143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ENSG00000272772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1.358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0.21429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ENSG00000268434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1.358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0.21429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TNFAIP6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2.924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0.08929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4.58333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1.19048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KLRC4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1.363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0.21429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KLRC3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1.363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0.21429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TAL2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1.918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0.08929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0.87302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GATA1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2.858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0.11905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4.83333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1.19048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IL5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0.46346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4.764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0.17857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6.5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1.42857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0.5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IL1A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0.46346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4.54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0.11905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5.83333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1.34921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TAS2R19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0.56839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5.05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0.08929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6.08333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1.30952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TAS2R10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0.56839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5.029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0.08929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6.08333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1.30952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TAS2R20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0.56839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4.926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0.08929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6.08333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1.30952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HNRNPH2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0.30779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2.336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0.05357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3.08333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0.81429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GNAT2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1.347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0.21429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RRH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1.347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0.21429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CHMP4C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1.342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0.21429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ENSG00000249884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1.342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0.21429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CXCL5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0.42794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5.42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0.11905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7.33333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1.46825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CXCL11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0.42794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5.543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0.11905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7.83333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1.50794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0.42857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RPS17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0.30779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2.627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0.10714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0.98571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0.33333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ENSG00000215472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2.134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3.33333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0.9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</w:t>
            </w:r>
          </w:p>
        </w:tc>
      </w:tr>
      <w:tr>
        <w:trPr>
          <w:trHeight w:val="285" w:hRule="atLeast"/>
        </w:trPr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MAGOHB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0.30898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2.668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3.83333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0.94286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10" w:type="dxa"/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0.66667</w:t>
            </w:r>
          </w:p>
        </w:tc>
      </w:tr>
      <w:tr>
        <w:trPr>
          <w:trHeight w:val="285" w:hRule="atLeast"/>
        </w:trPr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RBM8A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0.30898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2.621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0.07143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3.83333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0.94286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810" w:type="dxa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0.66667</w:t>
            </w:r>
          </w:p>
        </w:tc>
      </w:tr>
    </w:tbl>
    <w:p>
      <w:pPr>
        <w:adjustRightInd w:val="0"/>
        <w:snapToGrid w:val="0"/>
        <w:spacing w:before="120"/>
        <w:rPr>
          <w:rFonts w:hint="eastAsia" w:ascii="YjhfhlAdvTTb5929f4c" w:hAnsi="YjhfhlAdvTTb5929f4c"/>
          <w:color w:val="131413"/>
          <w:sz w:val="18"/>
          <w:szCs w:val="18"/>
        </w:rPr>
      </w:pPr>
    </w:p>
    <w:p>
      <w:pPr>
        <w:adjustRightInd w:val="0"/>
        <w:snapToGrid w:val="0"/>
        <w:spacing w:before="120"/>
        <w:rPr>
          <w:rFonts w:ascii="YjhfhlAdvTTb5929f4c" w:hAnsi="YjhfhlAdvTTb5929f4c"/>
          <w:color w:val="131413"/>
          <w:sz w:val="18"/>
          <w:szCs w:val="18"/>
        </w:rPr>
      </w:pPr>
      <w:r>
        <w:rPr>
          <w:rFonts w:ascii="YjhfhlAdvTTb5929f4c" w:hAnsi="YjhfhlAdvTTb5929f4c"/>
          <w:b/>
          <w:bCs/>
          <w:color w:val="131413"/>
          <w:sz w:val="18"/>
          <w:szCs w:val="18"/>
        </w:rPr>
        <w:t xml:space="preserve">Table S6 </w:t>
      </w:r>
      <w:r>
        <w:rPr>
          <w:rFonts w:ascii="YjhfhlAdvTTb5929f4c" w:hAnsi="YjhfhlAdvTTb5929f4c"/>
          <w:color w:val="000000"/>
          <w:sz w:val="18"/>
          <w:szCs w:val="18"/>
        </w:rPr>
        <w:t>Clinical data of 75 patients</w:t>
      </w:r>
      <w:r>
        <w:rPr>
          <w:rFonts w:ascii="YjhfhlAdvTTb5929f4c" w:hAnsi="YjhfhlAdvTTb5929f4c"/>
          <w:color w:val="131413"/>
          <w:sz w:val="18"/>
          <w:szCs w:val="18"/>
        </w:rPr>
        <w:t xml:space="preserve"> in our study cohort.</w:t>
      </w:r>
    </w:p>
    <w:tbl>
      <w:tblPr>
        <w:tblStyle w:val="7"/>
        <w:tblW w:w="0" w:type="auto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0"/>
        <w:gridCol w:w="233"/>
        <w:gridCol w:w="387"/>
        <w:gridCol w:w="332"/>
        <w:gridCol w:w="336"/>
        <w:gridCol w:w="535"/>
        <w:gridCol w:w="506"/>
        <w:gridCol w:w="275"/>
        <w:gridCol w:w="582"/>
        <w:gridCol w:w="311"/>
        <w:gridCol w:w="193"/>
        <w:gridCol w:w="1060"/>
        <w:gridCol w:w="334"/>
        <w:gridCol w:w="415"/>
        <w:gridCol w:w="257"/>
        <w:gridCol w:w="783"/>
        <w:gridCol w:w="526"/>
        <w:gridCol w:w="357"/>
        <w:gridCol w:w="718"/>
        <w:gridCol w:w="604"/>
      </w:tblGrid>
      <w:tr>
        <w:trPr>
          <w:trHeight w:val="285" w:hRule="atLeast"/>
        </w:trPr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id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Code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Type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Primary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Metasis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surgery_date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Follow-up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Status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Time(months)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Gender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Age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Family_history_of_cancer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Laterity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Diagnosis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Grade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Pathology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primary_site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Seizures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radiation_therapy</w:t>
            </w:r>
          </w:p>
        </w:tc>
        <w:tc>
          <w:tcPr>
            <w:tcW w:w="0" w:type="auto"/>
            <w:tcBorders>
              <w:top w:val="single" w:color="000000" w:sz="4" w:space="0"/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b/>
                <w:bCs/>
                <w:color w:val="000000"/>
                <w:kern w:val="0"/>
                <w:sz w:val="16"/>
                <w:szCs w:val="16"/>
              </w:rPr>
              <w:t>chem-therapy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T01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Temporal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T02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N(2017.03)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N(2017.05)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N(2017.07)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Parietal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N(2019.03)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astrocytoma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Temporal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T06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T07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T08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Temporal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T09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N(2017.08)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Parietal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/>
                <w:kern w:val="0"/>
                <w:sz w:val="13"/>
                <w:szCs w:val="13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N(2017.01)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astrocytoma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Ependymoma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Parietal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Parietal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N(2018.08)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N(2018.04)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astrocytoma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Temporal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T19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N(2019.05)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(2016.12)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(2017.03)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Temporal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Temporal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(2017.04)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(2017.12)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(2019.9)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T29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astrocytoma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Parietal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(2017.08)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N(2019.01)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astrocytoma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(2018.09)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(2017.11)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Temporal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(2018.03)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N(2017.04)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astrocytoma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T39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Ⅲ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Anaplastic astrocytoma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Temporal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(2018.01)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Brainstem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Right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(2019.08)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Temporal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Times New Roman" w:hAnsi="Times New Roman" w:eastAsia="Times New Roman"/>
                <w:kern w:val="0"/>
                <w:sz w:val="13"/>
                <w:szCs w:val="13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N(2019.02)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LGG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Ⅱ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Oligodendroglioma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(2018.03)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T49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 (2018.09)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Dead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Parietal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T50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Tumor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2019.05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Alive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Left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GBM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Ⅳ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Glioblastoma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Frontal Lobe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NO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YES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N01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N02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N06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N07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N08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N09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201609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38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N16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201612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N17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69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N19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N20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N21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N22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N23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48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N24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201705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84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  <w:tr>
        <w:trPr>
          <w:trHeight w:val="285" w:hRule="atLeast"/>
        </w:trPr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75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N25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Adjacent tissue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Brain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201712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59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  <w:tc>
          <w:tcPr>
            <w:tcW w:w="0" w:type="auto"/>
            <w:tcBorders>
              <w:bottom w:val="single" w:color="000000" w:sz="4" w:space="0"/>
            </w:tcBorders>
            <w:vAlign w:val="bottom"/>
          </w:tcPr>
          <w:p>
            <w:pPr>
              <w:widowControl/>
              <w:jc w:val="left"/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DengXian" w:hAnsi="DengXian" w:eastAsia="DengXian" w:cs="宋体"/>
                <w:color w:val="000000"/>
                <w:kern w:val="0"/>
                <w:sz w:val="16"/>
                <w:szCs w:val="16"/>
              </w:rPr>
              <w:t>NA</w:t>
            </w:r>
          </w:p>
        </w:tc>
      </w:tr>
    </w:tbl>
    <w:p>
      <w:bookmarkStart w:id="0" w:name="_GoBack"/>
      <w:bookmarkEnd w:id="0"/>
    </w:p>
    <w:sectPr>
      <w:headerReference r:id="rId5" w:type="first"/>
      <w:footerReference r:id="rId7" w:type="first"/>
      <w:headerReference r:id="rId3" w:type="default"/>
      <w:footerReference r:id="rId6" w:type="default"/>
      <w:headerReference r:id="rId4" w:type="even"/>
      <w:pgSz w:w="11906" w:h="16838"/>
      <w:pgMar w:top="1417" w:right="1531" w:bottom="1077" w:left="1531" w:header="1020" w:footer="850" w:gutter="0"/>
      <w:lnNumType w:countBy="1" w:restart="continuous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DengXian Light">
    <w:altName w:val="汉仪中等线KW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Palatino Linotype">
    <w:altName w:val="苹方-简"/>
    <w:panose1 w:val="02040502050505030304"/>
    <w:charset w:val="00"/>
    <w:family w:val="roman"/>
    <w:pitch w:val="default"/>
    <w:sig w:usb0="00000000" w:usb1="00000000" w:usb2="00000000" w:usb3="00000000" w:csb0="0000019F" w:csb1="00000000"/>
  </w:font>
  <w:font w:name="Cambria Math">
    <w:altName w:val="Kingsoft Math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MinionPro-Regular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S Mincho">
    <w:altName w:val="Hiragino Sans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Rpcxr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WarnockPro-Regular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704020202020204"/>
    <w:charset w:val="00"/>
    <w:family w:val="swiss"/>
    <w:pitch w:val="default"/>
    <w:sig w:usb0="E0002AFF" w:usb1="C0007843" w:usb2="00000009" w:usb3="00000000" w:csb0="400001FF" w:csb1="FFFF0000"/>
  </w:font>
  <w:font w:name="ñΩÚ»˛">
    <w:altName w:val="Hiragino Sans"/>
    <w:panose1 w:val="00000000000000000000"/>
    <w:charset w:val="4D"/>
    <w:family w:val="auto"/>
    <w:pitch w:val="default"/>
    <w:sig w:usb0="00000000" w:usb1="00000000" w:usb2="00000000" w:usb3="00000000" w:csb0="00000001" w:csb1="00000000"/>
  </w:font>
  <w:font w:name="YjhfhlAdvTTb5929f4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tjxxsAdvTTaf7f9f4f . B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wgtpsAdvTTb5929f4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ngXian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Hiragino Sans">
    <w:panose1 w:val="020B0700000000000000"/>
    <w:charset w:val="80"/>
    <w:family w:val="auto"/>
    <w:pitch w:val="default"/>
    <w:sig w:usb0="800002CF" w:usb1="6AC7FCFC" w:usb2="00000012" w:usb3="00000000" w:csb0="0002000D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Math">
    <w:panose1 w:val="02040503050406030204"/>
    <w:charset w:val="00"/>
    <w:family w:val="auto"/>
    <w:pitch w:val="default"/>
    <w:sig w:usb0="80000087" w:usb1="00002068" w:usb2="00000000" w:usb3="00000000" w:csb0="2000019F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240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844"/>
      </w:tabs>
      <w:adjustRightInd w:val="0"/>
      <w:snapToGrid w:val="0"/>
      <w:spacing w:before="120"/>
      <w:rPr>
        <w:rFonts w:ascii="Palatino Linotype" w:hAnsi="Palatino Linotype"/>
        <w:sz w:val="16"/>
        <w:szCs w:val="16"/>
        <w:lang w:val="fr-CH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844"/>
      </w:tabs>
      <w:adjustRightInd w:val="0"/>
      <w:snapToGrid w:val="0"/>
      <w:spacing w:after="240"/>
      <w:rPr>
        <w:rFonts w:ascii="Palatino Linotype" w:hAnsi="Palatino Linotype"/>
        <w:sz w:val="16"/>
      </w:rPr>
    </w:pPr>
    <w:r>
      <w:rPr>
        <w:rFonts w:ascii="Palatino Linotype" w:hAnsi="Palatino Linotype"/>
        <w:sz w:val="16"/>
      </w:rPr>
      <w:tab/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PAGE   \* MERGEFORMAT </w:instrText>
    </w:r>
    <w:r>
      <w:rPr>
        <w:rFonts w:ascii="Palatino Linotype" w:hAnsi="Palatino Linotype"/>
        <w:sz w:val="16"/>
      </w:rPr>
      <w:fldChar w:fldCharType="separate"/>
    </w:r>
    <w:r>
      <w:rPr>
        <w:rFonts w:ascii="Palatino Linotype" w:hAnsi="Palatino Linotype"/>
        <w:sz w:val="16"/>
      </w:rPr>
      <w:t>7</w:t>
    </w:r>
    <w:r>
      <w:rPr>
        <w:rFonts w:ascii="Palatino Linotype" w:hAnsi="Palatino Linotype"/>
        <w:sz w:val="16"/>
      </w:rPr>
      <w:fldChar w:fldCharType="end"/>
    </w:r>
    <w:r>
      <w:rPr>
        <w:rFonts w:ascii="Palatino Linotype" w:hAnsi="Palatino Linotype"/>
        <w:sz w:val="16"/>
      </w:rPr>
      <w:t xml:space="preserve"> of </w:t>
    </w:r>
    <w:r>
      <w:rPr>
        <w:rFonts w:ascii="Palatino Linotype" w:hAnsi="Palatino Linotype"/>
        <w:sz w:val="16"/>
      </w:rPr>
      <w:fldChar w:fldCharType="begin"/>
    </w:r>
    <w:r>
      <w:rPr>
        <w:rFonts w:ascii="Palatino Linotype" w:hAnsi="Palatino Linotype"/>
        <w:sz w:val="16"/>
      </w:rPr>
      <w:instrText xml:space="preserve"> NUMPAGES   \* MERGEFORMAT </w:instrText>
    </w:r>
    <w:r>
      <w:rPr>
        <w:rFonts w:ascii="Palatino Linotype" w:hAnsi="Palatino Linotype"/>
        <w:sz w:val="16"/>
      </w:rPr>
      <w:fldChar w:fldCharType="separate"/>
    </w:r>
    <w:r>
      <w:rPr>
        <w:rFonts w:ascii="Palatino Linotype" w:hAnsi="Palatino Linotype"/>
        <w:sz w:val="16"/>
      </w:rPr>
      <w:t>10</w:t>
    </w:r>
    <w:r>
      <w:rPr>
        <w:rFonts w:ascii="Palatino Linotype" w:hAnsi="Palatino Linotype"/>
        <w:sz w:val="1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i w:val="0"/>
        <w:szCs w:val="16"/>
        <w:lang w:eastAsia="zh-CN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>
              <wp:simplePos x="0" y="0"/>
              <wp:positionH relativeFrom="page">
                <wp:posOffset>6029960</wp:posOffset>
              </wp:positionH>
              <wp:positionV relativeFrom="page">
                <wp:posOffset>647700</wp:posOffset>
              </wp:positionV>
              <wp:extent cx="123825" cy="709295"/>
              <wp:effectExtent l="0" t="0" r="3175" b="1905"/>
              <wp:wrapNone/>
              <wp:docPr id="217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" cy="709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jc w:val="center"/>
                            <w:rPr>
                              <w:i w:val="0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474.8pt;margin-top:51pt;height:55.85pt;width:9.75pt;mso-position-horizontal-relative:page;mso-position-vertical-relative:page;mso-wrap-style:none;z-index:-251658240;mso-width-relative:page;mso-height-relative:page;" fillcolor="#FFFFFF" filled="t" stroked="f" coordsize="21600,21600" o:gfxdata="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WAAAAZHJzL1BLAQIUABQAAAAIAIdO4kAqmfic2QAAAAsBAAAP&#10;AAAAAAAAAAEAIAAAADgAAABkcnMvZG93bnJldi54bWxQSwECFAAUAAAACACHTuJAJQ0pHAECAADy&#10;AwAADgAAAAAAAAABACAAAAA+AQAAZHJzL2Uyb0RvYy54bWxQSwUGAAAAAAYABgBZAQAAsQUAAAAA&#10;">
              <v:fill on="t" focussize="0,0"/>
              <v:stroke on="f" miterlimit="8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10"/>
                      <w:jc w:val="center"/>
                      <w:rPr>
                        <w:i w:val="0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3BE7F0"/>
    <w:rsid w:val="6F3BE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widowControl/>
      <w:jc w:val="left"/>
    </w:pPr>
    <w:rPr>
      <w:rFonts w:ascii="宋体" w:hAnsi="Times New Roman" w:cs="宋体"/>
      <w:kern w:val="0"/>
      <w:sz w:val="20"/>
      <w:szCs w:val="20"/>
    </w:rPr>
  </w:style>
  <w:style w:type="paragraph" w:styleId="3">
    <w:name w:val="footer"/>
    <w:basedOn w:val="1"/>
    <w:uiPriority w:val="0"/>
    <w:pPr>
      <w:widowControl/>
      <w:tabs>
        <w:tab w:val="center" w:pos="4153"/>
        <w:tab w:val="right" w:pos="8306"/>
      </w:tabs>
      <w:snapToGrid w:val="0"/>
      <w:spacing w:line="240" w:lineRule="atLeast"/>
      <w:jc w:val="left"/>
    </w:pPr>
    <w:rPr>
      <w:rFonts w:ascii="宋体" w:hAnsi="Times New Roman" w:eastAsia="Times New Roman" w:cs="宋体"/>
      <w:color w:val="000000"/>
      <w:kern w:val="0"/>
      <w:sz w:val="18"/>
      <w:szCs w:val="18"/>
      <w:lang w:eastAsia="de-DE"/>
    </w:rPr>
  </w:style>
  <w:style w:type="paragraph" w:styleId="4">
    <w:name w:val="header"/>
    <w:basedOn w:val="1"/>
    <w:uiPriority w:val="0"/>
    <w:pPr>
      <w:widowControl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rFonts w:ascii="宋体" w:hAnsi="Times New Roman" w:eastAsia="Times New Roman" w:cs="宋体"/>
      <w:color w:val="000000"/>
      <w:kern w:val="0"/>
      <w:sz w:val="18"/>
      <w:szCs w:val="18"/>
      <w:lang w:eastAsia="de-DE"/>
    </w:rPr>
  </w:style>
  <w:style w:type="character" w:styleId="6">
    <w:name w:val="annotation reference"/>
    <w:basedOn w:val="5"/>
    <w:uiPriority w:val="0"/>
    <w:rPr>
      <w:sz w:val="16"/>
      <w:szCs w:val="16"/>
    </w:rPr>
  </w:style>
  <w:style w:type="paragraph" w:customStyle="1" w:styleId="8">
    <w:name w:val="MDPI_6.1_Supplementary"/>
    <w:basedOn w:val="9"/>
    <w:qFormat/>
    <w:uiPriority w:val="0"/>
    <w:pPr>
      <w:spacing w:before="240"/>
    </w:pPr>
    <w:rPr>
      <w:lang w:eastAsia="en-US"/>
    </w:rPr>
  </w:style>
  <w:style w:type="paragraph" w:customStyle="1" w:styleId="9">
    <w:name w:val="MDPI_6.2_Acknowledgments"/>
    <w:qFormat/>
    <w:uiPriority w:val="0"/>
    <w:pPr>
      <w:adjustRightInd w:val="0"/>
      <w:snapToGrid w:val="0"/>
      <w:spacing w:before="120" w:after="160" w:line="200" w:lineRule="atLeast"/>
      <w:jc w:val="both"/>
    </w:pPr>
    <w:rPr>
      <w:rFonts w:ascii="Palatino Linotype" w:hAnsi="Palatino Linotype" w:eastAsia="Times New Roman" w:cs="Times New Roman"/>
      <w:snapToGrid w:val="0"/>
      <w:color w:val="000000"/>
      <w:sz w:val="18"/>
      <w:szCs w:val="22"/>
      <w:lang w:val="en-US" w:eastAsia="de-DE" w:bidi="en-US"/>
    </w:rPr>
  </w:style>
  <w:style w:type="paragraph" w:customStyle="1" w:styleId="10">
    <w:name w:val="MDPI_header_journal_logo"/>
    <w:qFormat/>
    <w:uiPriority w:val="0"/>
    <w:pPr>
      <w:adjustRightInd w:val="0"/>
      <w:snapToGrid w:val="0"/>
      <w:spacing w:after="160" w:line="259" w:lineRule="auto"/>
    </w:pPr>
    <w:rPr>
      <w:rFonts w:ascii="Palatino Linotype" w:hAnsi="Palatino Linotype" w:eastAsia="Times New Roman" w:cs="Times New Roman"/>
      <w:i/>
      <w:color w:val="000000"/>
      <w:sz w:val="24"/>
      <w:szCs w:val="22"/>
      <w:lang w:val="en-US" w:eastAsia="de-CH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6.tiff"/><Relationship Id="rId13" Type="http://schemas.openxmlformats.org/officeDocument/2006/relationships/image" Target="media/image5.tiff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Office_2.8.0.4624_F1E327BC-269C-435d-A152-05C5408002CA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2021-05-14T19:20:00Z</dcterms:created>
  <dc:creator>apple</dc:creator>
  <cp:lastModifiedBy>apple</cp:lastModifiedBy>
  <dcterms:modified xsi:type="dcterms:W3CDTF">2021-05-14T19:35:36Z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2052-2.8.0.4624</vt:lpwstr>
  </property>
</Properties>
</file>