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contextualSpacing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Supplementary Materials</w:t>
      </w:r>
    </w:p>
    <w:p>
      <w:pPr>
        <w:widowControl w:val="0"/>
        <w:contextualSpacing/>
        <w:jc w:val="both"/>
        <w:rPr>
          <w:b/>
          <w:bCs/>
          <w:color w:val="000000"/>
        </w:rPr>
      </w:pPr>
      <w:r>
        <w:rPr>
          <w:rFonts w:cs="Arial"/>
          <w:b/>
          <w:bCs/>
          <w:color w:val="000000"/>
        </w:rPr>
        <w:t>Supplementary Figure1</w:t>
      </w:r>
      <w:r>
        <w:rPr>
          <w:rFonts w:hint="eastAsia" w:cs="Arial"/>
          <w:b/>
          <w:bCs/>
          <w:color w:val="000000"/>
          <w:lang w:eastAsia="zh-CN"/>
        </w:rPr>
        <w:t xml:space="preserve">: </w:t>
      </w:r>
      <w:r>
        <w:rPr>
          <w:color w:val="000000"/>
        </w:rPr>
        <w:t xml:space="preserve">Gene ontology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eastAsia="zh-CN"/>
        </w:rPr>
        <w:t>A</w:t>
      </w:r>
      <w:r>
        <w:rPr>
          <w:b/>
          <w:bCs/>
          <w:color w:val="000000"/>
        </w:rPr>
        <w:t>)</w:t>
      </w:r>
      <w:r>
        <w:rPr>
          <w:color w:val="000000"/>
        </w:rPr>
        <w:t xml:space="preserve"> and KEGG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eastAsia="zh-CN"/>
        </w:rPr>
        <w:t>B</w:t>
      </w:r>
      <w:r>
        <w:rPr>
          <w:b/>
          <w:bCs/>
          <w:color w:val="000000"/>
        </w:rPr>
        <w:t>)</w:t>
      </w:r>
      <w:r>
        <w:rPr>
          <w:color w:val="000000"/>
        </w:rPr>
        <w:t xml:space="preserve"> analysis of 104 ferroptosis-related genes. Eight potentially prognostic ferroptosis-associated genes were used to construct another PPI network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eastAsia="zh-CN"/>
        </w:rPr>
        <w:t>C</w:t>
      </w:r>
      <w:r>
        <w:rPr>
          <w:b/>
          <w:bCs/>
          <w:color w:val="000000"/>
        </w:rPr>
        <w:t>).</w:t>
      </w:r>
    </w:p>
    <w:p>
      <w:pPr>
        <w:widowControl w:val="0"/>
        <w:contextualSpacing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  <w:lang w:eastAsia="zh-CN"/>
        </w:rPr>
        <w:drawing>
          <wp:inline distT="0" distB="0" distL="114300" distR="114300">
            <wp:extent cx="5269230" cy="4710430"/>
            <wp:effectExtent l="0" t="0" r="9525" b="6985"/>
            <wp:docPr id="1" name="图片 1" descr="Supplementary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contextualSpacing/>
        <w:jc w:val="both"/>
        <w:rPr>
          <w:rFonts w:hint="default"/>
          <w:color w:val="000000"/>
          <w:lang w:val="en-US" w:eastAsia="zh-CN"/>
        </w:rPr>
      </w:pPr>
      <w:r>
        <w:rPr>
          <w:rFonts w:cs="Arial"/>
          <w:b/>
          <w:bCs/>
          <w:color w:val="000000"/>
        </w:rPr>
        <w:t>Supplementary Figure2</w:t>
      </w:r>
      <w:r>
        <w:rPr>
          <w:rFonts w:hint="eastAsia" w:cs="Arial"/>
          <w:b/>
          <w:bCs/>
          <w:color w:val="000000"/>
          <w:lang w:eastAsia="zh-CN"/>
        </w:rPr>
        <w:t>:</w:t>
      </w:r>
      <w:r>
        <w:rPr>
          <w:rFonts w:hint="eastAsia" w:cs="Arial"/>
          <w:b/>
          <w:bCs/>
          <w:color w:val="000000"/>
          <w:lang w:val="en-US" w:eastAsia="zh-CN"/>
        </w:rPr>
        <w:t xml:space="preserve"> </w:t>
      </w:r>
      <w:r>
        <w:rPr>
          <w:color w:val="000000"/>
        </w:rPr>
        <w:t xml:space="preserve">The expression levels of </w:t>
      </w:r>
      <w:r>
        <w:rPr>
          <w:rFonts w:hint="eastAsia"/>
          <w:color w:val="000000"/>
          <w:lang w:val="en-US" w:eastAsia="zh-CN"/>
        </w:rPr>
        <w:t xml:space="preserve">ZEB1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eastAsia="zh-CN"/>
        </w:rPr>
        <w:t>A</w:t>
      </w:r>
      <w:r>
        <w:rPr>
          <w:b/>
          <w:bCs/>
          <w:color w:val="000000"/>
        </w:rPr>
        <w:t>)</w:t>
      </w:r>
      <w:r>
        <w:rPr>
          <w:color w:val="000000"/>
        </w:rPr>
        <w:t xml:space="preserve">, </w:t>
      </w:r>
      <w:r>
        <w:rPr>
          <w:rFonts w:hint="eastAsia"/>
          <w:color w:val="000000"/>
          <w:lang w:val="en-US" w:eastAsia="zh-CN"/>
        </w:rPr>
        <w:t xml:space="preserve">PSAT1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val="en-US" w:eastAsia="zh-CN"/>
        </w:rPr>
        <w:t>B</w:t>
      </w:r>
      <w:r>
        <w:rPr>
          <w:b/>
          <w:bCs/>
          <w:color w:val="000000"/>
        </w:rPr>
        <w:t>)</w:t>
      </w:r>
      <w:r>
        <w:rPr>
          <w:color w:val="000000"/>
        </w:rPr>
        <w:t xml:space="preserve">, </w:t>
      </w:r>
      <w:r>
        <w:rPr>
          <w:rFonts w:hint="eastAsia"/>
          <w:color w:val="000000"/>
          <w:lang w:val="en-US" w:eastAsia="zh-CN"/>
        </w:rPr>
        <w:t xml:space="preserve">NGB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val="en-US" w:eastAsia="zh-CN"/>
        </w:rPr>
        <w:t>C</w:t>
      </w:r>
      <w:r>
        <w:rPr>
          <w:b/>
          <w:bCs/>
          <w:color w:val="000000"/>
        </w:rPr>
        <w:t>)</w:t>
      </w:r>
      <w:r>
        <w:rPr>
          <w:rFonts w:hint="eastAsia"/>
          <w:color w:val="000000"/>
          <w:lang w:val="en-US" w:eastAsia="zh-CN"/>
        </w:rPr>
        <w:t xml:space="preserve">, NFE2L2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val="en-US" w:eastAsia="zh-CN"/>
        </w:rPr>
        <w:t>D</w:t>
      </w:r>
      <w:r>
        <w:rPr>
          <w:b/>
          <w:bCs/>
          <w:color w:val="000000"/>
        </w:rPr>
        <w:t>)</w:t>
      </w:r>
      <w:r>
        <w:rPr>
          <w:rFonts w:hint="eastAsia"/>
          <w:color w:val="000000"/>
          <w:lang w:val="en-US" w:eastAsia="zh-CN"/>
        </w:rPr>
        <w:t xml:space="preserve">, LAMP2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val="en-US" w:eastAsia="zh-CN"/>
        </w:rPr>
        <w:t>E</w:t>
      </w:r>
      <w:r>
        <w:rPr>
          <w:b/>
          <w:bCs/>
          <w:color w:val="000000"/>
        </w:rPr>
        <w:t>)</w:t>
      </w:r>
      <w:r>
        <w:rPr>
          <w:rFonts w:hint="eastAsia"/>
          <w:color w:val="000000"/>
          <w:lang w:val="en-US" w:eastAsia="zh-CN"/>
        </w:rPr>
        <w:t xml:space="preserve">, HIF1A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val="en-US" w:eastAsia="zh-CN"/>
        </w:rPr>
        <w:t>F</w:t>
      </w:r>
      <w:r>
        <w:rPr>
          <w:b/>
          <w:bCs/>
          <w:color w:val="000000"/>
        </w:rPr>
        <w:t>)</w:t>
      </w:r>
      <w:r>
        <w:rPr>
          <w:rFonts w:hint="eastAsia"/>
          <w:color w:val="000000"/>
          <w:lang w:val="en-US" w:eastAsia="zh-CN"/>
        </w:rPr>
        <w:t xml:space="preserve">, FH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val="en-US" w:eastAsia="zh-CN"/>
        </w:rPr>
        <w:t>G</w:t>
      </w:r>
      <w:r>
        <w:rPr>
          <w:b/>
          <w:bCs/>
          <w:color w:val="000000"/>
        </w:rPr>
        <w:t>)</w:t>
      </w:r>
      <w:r>
        <w:rPr>
          <w:rFonts w:hint="eastAsia"/>
          <w:color w:val="000000"/>
          <w:lang w:val="en-US" w:eastAsia="zh-CN"/>
        </w:rPr>
        <w:t xml:space="preserve">, </w:t>
      </w:r>
      <w:r>
        <w:rPr>
          <w:color w:val="000000"/>
        </w:rPr>
        <w:t xml:space="preserve">and </w:t>
      </w:r>
      <w:r>
        <w:rPr>
          <w:rFonts w:hint="eastAsia"/>
          <w:color w:val="000000"/>
          <w:lang w:val="en-US" w:eastAsia="zh-CN"/>
        </w:rPr>
        <w:t xml:space="preserve">CXCL2 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  <w:lang w:val="en-US" w:eastAsia="zh-CN"/>
        </w:rPr>
        <w:t>H</w:t>
      </w:r>
      <w:r>
        <w:rPr>
          <w:b/>
          <w:bCs/>
          <w:color w:val="000000"/>
        </w:rPr>
        <w:t>)</w:t>
      </w:r>
      <w:r>
        <w:rPr>
          <w:color w:val="000000"/>
        </w:rPr>
        <w:t xml:space="preserve"> were different between high-risk group and low-risk group</w:t>
      </w:r>
      <w:r>
        <w:rPr>
          <w:rFonts w:hint="eastAsia"/>
          <w:color w:val="000000"/>
          <w:lang w:val="en-US" w:eastAsia="zh-CN"/>
        </w:rPr>
        <w:t xml:space="preserve"> by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>Wilcoxon rank-sum</w:t>
      </w:r>
      <w:r>
        <w:rPr>
          <w:color w:val="000000"/>
        </w:rPr>
        <w:t xml:space="preserve"> test</w:t>
      </w:r>
      <w:r>
        <w:rPr>
          <w:rFonts w:hint="eastAsia"/>
          <w:color w:val="000000"/>
          <w:lang w:eastAsia="zh-CN"/>
        </w:rPr>
        <w:t>.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drawing>
          <wp:inline distT="0" distB="0" distL="114300" distR="114300">
            <wp:extent cx="5264150" cy="2376170"/>
            <wp:effectExtent l="0" t="0" r="3810" b="9525"/>
            <wp:docPr id="2" name="图片 2" descr="Supplementary 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widowControl w:val="0"/>
        <w:contextualSpacing/>
        <w:jc w:val="both"/>
        <w:rPr>
          <w:rFonts w:hint="default" w:cs="Arial"/>
          <w:b/>
          <w:bCs/>
          <w:color w:val="000000"/>
          <w:sz w:val="21"/>
          <w:szCs w:val="21"/>
          <w:lang w:val="en-US" w:eastAsia="zh-CN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Supplementary </w:t>
      </w:r>
      <w:r>
        <w:rPr>
          <w:rFonts w:hint="eastAsia" w:cs="Arial"/>
          <w:b/>
          <w:bCs/>
          <w:color w:val="000000"/>
          <w:sz w:val="21"/>
          <w:szCs w:val="21"/>
          <w:lang w:val="en-US" w:eastAsia="zh-CN"/>
        </w:rPr>
        <w:t xml:space="preserve">Table1: 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104 </w:t>
      </w:r>
      <w:r>
        <w:rPr>
          <w:color w:val="000000"/>
          <w:sz w:val="21"/>
          <w:szCs w:val="21"/>
        </w:rPr>
        <w:t>prognostic ferroptosis-associated genes</w:t>
      </w:r>
      <w:r>
        <w:rPr>
          <w:rFonts w:hint="eastAsia"/>
          <w:color w:val="000000"/>
          <w:sz w:val="21"/>
          <w:szCs w:val="21"/>
          <w:lang w:val="en-US" w:eastAsia="zh-CN"/>
        </w:rPr>
        <w:t>.</w:t>
      </w:r>
    </w:p>
    <w:tbl>
      <w:tblPr>
        <w:tblStyle w:val="2"/>
        <w:tblW w:w="9317" w:type="dxa"/>
        <w:tblInd w:w="9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58"/>
        <w:gridCol w:w="1305"/>
        <w:gridCol w:w="1419"/>
        <w:gridCol w:w="1594"/>
        <w:gridCol w:w="1586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Terms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HR[exp(coef)]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coef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95% CI lower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95% CI upper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Z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NFE2L2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0.013216736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-4.326271357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-5.525765418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-3.126777295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-7.069093811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1.56E-12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LAMP2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0.056754277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-2.869024268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-3.867758992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-1.870289543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-5.630308126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1.80E-08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ZEB1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0.064327731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-2.743764463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-3.759036314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-1.728492612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-5.296787776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1.18E-07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HIF1A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0.091392896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-2.392587529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-3.320162224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-1.465012834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-5.055533975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4.29E-07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SCP2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0.056165907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-2.879445339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-4.065866659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-1.693024019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-4.756833903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1.97E-06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PSAT1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33.90305036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3.523504991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2.024169606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5.022840377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4.606002732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4.10E-06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FTL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3.25E-04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-8.031224968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-11.5166334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-4.545816537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-4.516231599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6.29E-06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TMBIM4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0.019540418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-3.935270258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-5.65203255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-2.218507966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-4.492752439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7.03E-06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KRAS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0.060268357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-2.808948076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-4.063246091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-1.554650061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-4.389257574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1.14E-05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CD44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0.145738498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-1.925941372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-2.807459735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-1.044423008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-4.282129427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1.85E-05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TNFAIP3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0.118007056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-2.137010859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-3.116048241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-1.157973477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-4.278145448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1.88E-05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LOC284561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20.71381628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3.030800931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1.595235054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4.466366808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4.137922728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3.50E-05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ACVR1B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32.26732994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3.474055261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1.824657576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5.123452947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4.128187673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3.66E-05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NGB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32.41651094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3.47866789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1.806174332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5.151161447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4.076585974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4.57E-05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KLHL24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0.10492256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-2.254532728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-3.347326063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-1.161739392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-4.043585191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5.26E-05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CXCL2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0.043025729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-3.145956997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-4.723851226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-1.568062768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-3.907715928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9.32E-05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FH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0.065089186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-2.731996851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-4.116202201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-1.347791502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-3.868367822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1.10E-04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GPT2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28.58256208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3.352796814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1.64211715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5.063476478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3.841374362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1.22E-04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MT3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20.333157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3.012252903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1.459102523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4.565403284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3.801246342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1.44E-04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GPX2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9.940740779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2.296641543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1.074417213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3.518865872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3.682903867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2.31E-04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LPIN1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0.105029465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-2.25351435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-3.455075059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-1.05195364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-3.675891637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2.37E-04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PIK3CA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0.15694175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-1.85188056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-2.875488247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-0.828272874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-3.545908506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3.91E-04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PRKAA1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0.093510664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-2.369679794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-3.713350867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-1.026008722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-3.456565485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5.47E-04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GCLC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0.082469227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-2.495330056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-3.935607195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-1.055052917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-3.395705526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6.85E-04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TGFBR1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0.12809484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-2.054984353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-3.258792533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-0.851176173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-3.345794943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8.20E-04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STAT3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0.161652159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-1.822308419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-2.908780918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-0.735835921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-3.28739004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0.001011207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EPAS1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0.170117226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-1.771267517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-2.832092288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-0.710442746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-3.272567378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0.001065755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IDH1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0.156350615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-1.855654261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-2.981845853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-0.729462668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-3.229482038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0.001240147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SOCS1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0.151574836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-1.886675808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-3.041206037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-0.732145579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-3.202875543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0.001360628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FANCD2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9.19178733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2.218310404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0.855438402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3.581182406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3.190181097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0.001421837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PHKG2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13.55271442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2.606586853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0.962098493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4.251075214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3.106629684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0.001892333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MUC1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9.558206538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2.257400109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0.828033069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3.686767148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3.09537214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0.001965661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CDKN2A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6.02234014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1.795475911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0.637692532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2.953259291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3.03948751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0.00236981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MAPK8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0.112520243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-2.184622137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-3.596037012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-0.773207263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-3.033679739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0.002415907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MAP1LC3A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14.67162708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2.685915498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0.93254672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4.439284276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3.002390432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0.002678684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NOX3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15.74310125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2.756402254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0.952856495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4.559948012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2.995459981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0.002740313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HNF4A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12.41159917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2.518631452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0.868833839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4.168429065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2.992140913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0.002770284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ATG7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0.216473007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-1.530289419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-2.548431425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-0.512147413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-2.945868188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0.003220496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ELAVL1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0.167537494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-1.78654811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-2.990936891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-0.582159329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-2.907341887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0.003645146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TF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13.73549417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2.619983298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0.850475137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4.389491459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2.901977519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0.003708151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IFNG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0.178833158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-1.721301986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-2.887091083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-0.55551289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-2.893911009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0.00380476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TUBE1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10.09709405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2.312247665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0.74293698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3.881558349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2.887842535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0.00387894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ATF4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112.459993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4.722597541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1.465675444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7.979519638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2.841984185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0.004483372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CBS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8.855433258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2.181031198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0.675562162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3.686500234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2.839475602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0.004518775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UBC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0.136052957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-1.994711079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-3.38701397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-0.602408188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-2.8079823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0.004985297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ATG5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0.126800575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-2.0651397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-3.506851725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-0.623427674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-2.807495091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0.004992844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ATG16L1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0.134316066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-2.007559552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-3.42448009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-0.590639014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-2.776969006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0.005486841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NF2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6.125588215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1.812474787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0.520831382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3.104118192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2.750283315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0.005954376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PML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0.203159265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-1.593765051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-2.731015883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-0.456514218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-2.746730985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0.006019248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PRDX6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0.168424827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-1.781265759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-3.057239021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-0.505292498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-2.736120607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0.006216824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IREB2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16.54242317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2.805928183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0.792864429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4.818991937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2.731914561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0.006296747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SETD1B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11.12890072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2.409545393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0.671367987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4.147722799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2.71699665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0.006587727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MAPK1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0.150351032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-1.894782508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-3.27190549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-0.517659527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-2.69671302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0.007002759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BID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0.197279769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-1.623132409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-2.804750496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-0.441514323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-2.692309047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0.007095916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MAPK14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0.22971755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-1.470904769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-2.555660105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-0.386149432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-2.657668761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0.007868319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TP53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0.177070245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-1.731208761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-3.010028491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-0.45238903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-2.653311284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0.007970633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SLC7A5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4.09381277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1.409476753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0.33707458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2.481878926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2.576014617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0.009994642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EGFR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4.403744879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1.482455288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0.346585157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2.618325418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2.558002798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0.010527525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NOX1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8.933795042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2.189841281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0.500070485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3.879612077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2.539995397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0.011085393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EIF2S1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0.156632651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-1.853852018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-3.285448059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-0.422255976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-2.538064567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0.011146742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SQSTM1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0.188017974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-1.671217712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-2.962995325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-0.379440099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-2.535673705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0.011223125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CHMP5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6.103994891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1.808943457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0.409586327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3.208300587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2.533637732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0.011288537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ATG4D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33.25743345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3.504278304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0.791604153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6.216952455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2.531914593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0.011344162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CISD1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0.184897936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-1.687951306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-3.008516733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-0.367385879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-2.505232758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0.012237083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TLR4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0.188503567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-1.66863835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-2.977935135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-0.359341565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-2.497883678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0.012493718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CAV1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0.206051216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-1.579630518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-2.819422314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-0.339838722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-2.497208752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0.012517524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AURKA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5.331636244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1.673658179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0.325275907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3.02204045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2.432774312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0.014983637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LPCAT3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5.100720846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1.629381872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0.313508296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2.945255449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2.426927513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0.015227298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BNIP3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0.220613827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-1.511341493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-2.740081539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-0.282601447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-2.410741721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0.015920118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ALB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3.973063853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1.379537548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0.224126757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2.534948339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2.34015809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0.019275579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GABARAPL1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5.01154157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1.611743566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0.255745896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2.967741237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2.329620037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0.019826242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SRC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7.784295412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2.052108295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0.308156203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3.796060387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2.306289473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0.021094463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MAP3K5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0.2540932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-1.37005415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-2.537031359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-0.203076941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-2.30103619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0.021389586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ACO1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0.242001663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-1.418810682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-2.633149364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-0.204472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-2.289985389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0.022022164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MAFG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5.135851078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1.63624557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0.216832774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3.055658367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2.259372605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0.023860217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YY1AP1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0.319565906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-1.140791748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-2.136973982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-0.144609513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-2.244479635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0.024801558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RRM2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7.157607534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1.968175782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0.235266412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3.701085152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2.2260562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0.026010417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PGD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0.191605788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-1.652315204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-3.108896952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-0.195733455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-2.223341253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0.026192798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SP1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0.212198756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-1.550231915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-2.920528279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-0.179935551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-2.217329623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0.026600575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STMN1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8.999477254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2.197166493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0.252673764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4.141659222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2.214648134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0.026784225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0.094709961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-2.3569361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-4.446420063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-0.267452137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-2.210837676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0.02704708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ANO6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0.19047318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-1.658243881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-3.130959809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-0.185527952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-2.206873858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0.027322873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EIF2AK4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0.25573581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-1.36361036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-2.575907646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-0.151313073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-2.204597192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0.027482373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MTDH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0.297065714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-1.213801905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-2.295354426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-0.132249385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-2.199623202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0.02783364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PRDX1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0.251764373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-1.379261655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-2.610823505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-0.147699804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-2.195020224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0.028162147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CEBPG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4.127744057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1.417731024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0.146880548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2.688581501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2.186489912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0.028779782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AKR1C3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4.492806437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1.502477548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0.146457814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2.858497283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2.171651199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0.029881982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NCOA4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0.217660768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-1.52481754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-2.91625279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-0.13338229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-2.147845157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0.031726058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SLC1A4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0.294271475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-1.223252553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-2.347552361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-0.098952744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-2.13246585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0.032968569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LONP1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4.760124898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1.560273907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0.116664049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3.003883766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2.118356733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0.034144867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ASNS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6.148190261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1.816157772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0.129382953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3.502932591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2.110301733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0.034832374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CHAC1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4.812839233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1.571287187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0.092124063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3.050450311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2.082032905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0.037339464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PEBP1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11.41244617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2.434704529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0.139474278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4.729934781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2.079065134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0.037611364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CDO1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3.851889146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1.348563715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0.075619548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2.621507882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2.076396107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0.037857331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LINC00472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0.219624027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-1.515838165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-2.957006887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-0.074669442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-2.061513106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0.039254114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HSD17B11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0.308476628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-1.176109198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-2.300515389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-0.051703007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-2.050088028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0.040355841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PLIN2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5.747831085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1.748822581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0.068884694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3.428760468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2.040330955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0.041317374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ATM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0.259166314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-1.350285285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-2.649117973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-0.051452597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-2.037606962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0.041589255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ATG13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0.202348355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-1.597764535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-3.143436739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-0.052092331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-2.0260188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0.042762858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CISD2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0.194142609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-1.639162294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-3.230725256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-0.047599333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-2.018581193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0.043530767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CAPG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0.286118397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-1.251349577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-2.483375517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-0.019323637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-1.990704922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0.046513337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ZNF419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3.580719022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1.275563624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0.014684082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2.536443167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1.982789536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0.047390943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ALOX15B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0.307004815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-1.180891847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-2.35509399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-0.006689705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-1.971130358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0.048708967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VEGFA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0.254821491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-1.367192013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-2.730628251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-0.003755776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-1.965362979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0.049372241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dvOT6e5d2ec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6e5d2ec0 + 2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0979"/>
    <w:rsid w:val="02350F49"/>
    <w:rsid w:val="0CCF2C75"/>
    <w:rsid w:val="0EB5027E"/>
    <w:rsid w:val="0EF05B85"/>
    <w:rsid w:val="15090979"/>
    <w:rsid w:val="159C1EC0"/>
    <w:rsid w:val="39D47143"/>
    <w:rsid w:val="3A4E5A7D"/>
    <w:rsid w:val="3B226FA3"/>
    <w:rsid w:val="405D7EDF"/>
    <w:rsid w:val="49E01339"/>
    <w:rsid w:val="4B4372D6"/>
    <w:rsid w:val="5897511F"/>
    <w:rsid w:val="5F721D47"/>
    <w:rsid w:val="600D63FD"/>
    <w:rsid w:val="60D70C17"/>
    <w:rsid w:val="717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uiPriority w:val="0"/>
    <w:rPr>
      <w:rFonts w:ascii="AdvOT6e5d2ec0" w:hAnsi="AdvOT6e5d2ec0" w:eastAsia="AdvOT6e5d2ec0" w:cs="AdvOT6e5d2ec0"/>
      <w:color w:val="242021"/>
      <w:sz w:val="14"/>
      <w:szCs w:val="14"/>
    </w:rPr>
  </w:style>
  <w:style w:type="character" w:customStyle="1" w:styleId="5">
    <w:name w:val="fontstyle21"/>
    <w:basedOn w:val="3"/>
    <w:uiPriority w:val="0"/>
    <w:rPr>
      <w:rFonts w:ascii="AdvOT6e5d2ec0 + 20" w:hAnsi="AdvOT6e5d2ec0 + 20" w:eastAsia="AdvOT6e5d2ec0 + 20" w:cs="AdvOT6e5d2ec0 + 20"/>
      <w:color w:val="242021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2021-04-25T03:12:00Z</dcterms:created>
  <dc:creator>TAO</dc:creator>
  <cp:lastModifiedBy>TAO</cp:lastModifiedBy>
  <dcterms:modified xsi:type="dcterms:W3CDTF">2021-05-05T12:24:05Z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886D32CD98C94495BC0679AAC0AB1BBA</vt:lpwstr>
  </property>
</Properties>
</file>