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92EDB" w14:textId="37DAB8E9" w:rsidR="003D378D" w:rsidRPr="003E7C0E" w:rsidRDefault="00BA153C" w:rsidP="003D378D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78AD5D5" wp14:editId="5CF4858E">
            <wp:extent cx="6858000" cy="3119755"/>
            <wp:effectExtent l="0" t="0" r="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3317" w14:textId="3B036754" w:rsidR="003D378D" w:rsidRDefault="003D378D" w:rsidP="003D378D">
      <w:pPr>
        <w:spacing w:line="480" w:lineRule="auto"/>
        <w:rPr>
          <w:rFonts w:ascii="Times New Roman" w:hAnsi="Times New Roman" w:cs="Times New Roman"/>
        </w:rPr>
      </w:pPr>
      <w:r w:rsidRPr="003E7C0E">
        <w:rPr>
          <w:rFonts w:ascii="Times New Roman" w:hAnsi="Times New Roman" w:cs="Times New Roman"/>
          <w:b/>
        </w:rPr>
        <w:t>Supplemental Figure S.</w:t>
      </w:r>
      <w:r w:rsidR="009C3AB6">
        <w:rPr>
          <w:rFonts w:ascii="Times New Roman" w:hAnsi="Times New Roman" w:cs="Times New Roman"/>
          <w:b/>
        </w:rPr>
        <w:t>1</w:t>
      </w:r>
      <w:r w:rsidRPr="003E7C0E">
        <w:rPr>
          <w:rFonts w:ascii="Times New Roman" w:hAnsi="Times New Roman" w:cs="Times New Roman"/>
          <w:b/>
        </w:rPr>
        <w:t>:</w:t>
      </w:r>
      <w:r w:rsidRPr="003E7C0E">
        <w:rPr>
          <w:rFonts w:ascii="Times New Roman" w:hAnsi="Times New Roman" w:cs="Times New Roman"/>
        </w:rPr>
        <w:t xml:space="preserve"> </w:t>
      </w:r>
      <w:r w:rsidRPr="003E7C0E">
        <w:rPr>
          <w:rFonts w:ascii="Times New Roman" w:hAnsi="Times New Roman" w:cs="Times New Roman"/>
          <w:b/>
        </w:rPr>
        <w:t>C1498 derived EVs induce a proliferative response by murine splenocytes.</w:t>
      </w:r>
      <w:r w:rsidRPr="003E7C0E">
        <w:rPr>
          <w:rFonts w:ascii="Times New Roman" w:hAnsi="Times New Roman" w:cs="Times New Roman"/>
        </w:rPr>
        <w:t xml:space="preserve"> Splenocytes (1 x 10</w:t>
      </w:r>
      <w:r w:rsidRPr="003E7C0E">
        <w:rPr>
          <w:rFonts w:ascii="Times New Roman" w:hAnsi="Times New Roman" w:cs="Times New Roman"/>
          <w:vertAlign w:val="superscript"/>
        </w:rPr>
        <w:t xml:space="preserve">5 </w:t>
      </w:r>
      <w:r w:rsidRPr="003E7C0E">
        <w:rPr>
          <w:rFonts w:ascii="Times New Roman" w:hAnsi="Times New Roman" w:cs="Times New Roman"/>
        </w:rPr>
        <w:t xml:space="preserve">cells) were cultured with PBS, C1498 cells, different concentrations of C1498 derived EVs (C1 = high, C2 = low), or both C1498 cells and C1498 derived EVs. </w:t>
      </w:r>
      <w:r w:rsidR="00B82417">
        <w:rPr>
          <w:rFonts w:ascii="Times New Roman" w:hAnsi="Times New Roman" w:cs="Times New Roman"/>
          <w:b/>
        </w:rPr>
        <w:t>A</w:t>
      </w:r>
      <w:r w:rsidRPr="003E7C0E">
        <w:rPr>
          <w:rFonts w:ascii="Times New Roman" w:hAnsi="Times New Roman" w:cs="Times New Roman"/>
          <w:b/>
        </w:rPr>
        <w:t>)</w:t>
      </w:r>
      <w:r w:rsidRPr="003E7C0E">
        <w:rPr>
          <w:rFonts w:ascii="Times New Roman" w:hAnsi="Times New Roman" w:cs="Times New Roman"/>
        </w:rPr>
        <w:t xml:space="preserve"> Tritiated thymidine incorporation (mean ± SD) of splenocytes isolated from naïve C57BL/6 mice. </w:t>
      </w:r>
      <w:r w:rsidR="005A216C" w:rsidRPr="00890F88">
        <w:rPr>
          <w:rFonts w:ascii="Arial" w:hAnsi="Arial" w:cs="Arial"/>
          <w:color w:val="000000"/>
        </w:rPr>
        <w:t>(**p&lt;0.01</w:t>
      </w:r>
      <w:r w:rsidR="005A216C">
        <w:rPr>
          <w:rFonts w:ascii="Arial" w:hAnsi="Arial" w:cs="Arial"/>
          <w:color w:val="000000"/>
        </w:rPr>
        <w:t xml:space="preserve">, ***p&lt;0.001) </w:t>
      </w:r>
      <w:r w:rsidR="00B82417">
        <w:rPr>
          <w:rFonts w:ascii="Times New Roman" w:hAnsi="Times New Roman" w:cs="Times New Roman"/>
          <w:b/>
        </w:rPr>
        <w:t>B</w:t>
      </w:r>
      <w:r w:rsidRPr="003E7C0E">
        <w:rPr>
          <w:rFonts w:ascii="Times New Roman" w:hAnsi="Times New Roman" w:cs="Times New Roman"/>
          <w:b/>
        </w:rPr>
        <w:t>)</w:t>
      </w:r>
      <w:r w:rsidRPr="003E7C0E">
        <w:rPr>
          <w:rFonts w:ascii="Times New Roman" w:hAnsi="Times New Roman" w:cs="Times New Roman"/>
        </w:rPr>
        <w:t xml:space="preserve"> Tritiated thymidine incorporation (mean ± SD) of splenocytes isolated from C57BL/6J mice immunized with C1498 derived EVs</w:t>
      </w:r>
      <w:r w:rsidR="005A216C">
        <w:rPr>
          <w:rFonts w:ascii="Times New Roman" w:hAnsi="Times New Roman" w:cs="Times New Roman"/>
        </w:rPr>
        <w:t xml:space="preserve"> </w:t>
      </w:r>
      <w:r w:rsidR="005A216C" w:rsidRPr="00890F88">
        <w:rPr>
          <w:rFonts w:ascii="Arial" w:hAnsi="Arial" w:cs="Arial"/>
          <w:color w:val="000000"/>
        </w:rPr>
        <w:t>(*</w:t>
      </w:r>
      <w:r w:rsidR="005A216C" w:rsidRPr="00890F88">
        <w:rPr>
          <w:rFonts w:ascii="Arial" w:hAnsi="Arial" w:cs="Arial"/>
          <w:i/>
          <w:iCs/>
          <w:color w:val="000000"/>
        </w:rPr>
        <w:t xml:space="preserve">p </w:t>
      </w:r>
      <w:r w:rsidR="005A216C" w:rsidRPr="00890F88">
        <w:rPr>
          <w:rFonts w:ascii="Arial" w:hAnsi="Arial" w:cs="Arial"/>
          <w:color w:val="000000"/>
        </w:rPr>
        <w:t>&lt; 0.05, **p&lt;0.01</w:t>
      </w:r>
      <w:r w:rsidR="005A216C">
        <w:rPr>
          <w:rFonts w:ascii="Arial" w:hAnsi="Arial" w:cs="Arial"/>
          <w:color w:val="000000"/>
        </w:rPr>
        <w:t>, ***p&lt;0.001)</w:t>
      </w:r>
      <w:r w:rsidRPr="003E7C0E">
        <w:rPr>
          <w:rFonts w:ascii="Times New Roman" w:hAnsi="Times New Roman" w:cs="Times New Roman"/>
        </w:rPr>
        <w:t>.</w:t>
      </w:r>
    </w:p>
    <w:p w14:paraId="0DDAAB30" w14:textId="1A4F5FBC" w:rsidR="003D378D" w:rsidRDefault="003D378D" w:rsidP="003D378D">
      <w:pPr>
        <w:spacing w:line="480" w:lineRule="auto"/>
        <w:rPr>
          <w:rFonts w:ascii="Times New Roman" w:hAnsi="Times New Roman" w:cs="Times New Roman"/>
        </w:rPr>
      </w:pPr>
    </w:p>
    <w:p w14:paraId="447AF140" w14:textId="77777777" w:rsidR="0033030E" w:rsidRDefault="0033030E" w:rsidP="0033030E"/>
    <w:p w14:paraId="3B85EDE8" w14:textId="77777777" w:rsidR="0033030E" w:rsidRPr="003E7C0E" w:rsidRDefault="0033030E" w:rsidP="0033030E">
      <w:pPr>
        <w:rPr>
          <w:rFonts w:ascii="Times New Roman" w:hAnsi="Times New Roman" w:cs="Times New Roman"/>
          <w:b/>
        </w:rPr>
      </w:pPr>
      <w:r w:rsidRPr="003E7C0E">
        <w:rPr>
          <w:rFonts w:ascii="Times New Roman" w:hAnsi="Times New Roman" w:cs="Times New Roman"/>
          <w:noProof/>
          <w:vertAlign w:val="superscript"/>
        </w:rPr>
        <w:lastRenderedPageBreak/>
        <w:drawing>
          <wp:inline distT="0" distB="0" distL="0" distR="0" wp14:anchorId="795FAF8C" wp14:editId="66DE7E40">
            <wp:extent cx="2971800" cy="8229600"/>
            <wp:effectExtent l="0" t="0" r="0" b="0"/>
            <wp:docPr id="1" name="Picture 2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iagram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E7A8" w14:textId="690E10C0" w:rsidR="003D378D" w:rsidRPr="003E7C0E" w:rsidRDefault="0033030E" w:rsidP="003D378D">
      <w:pPr>
        <w:spacing w:line="480" w:lineRule="auto"/>
        <w:rPr>
          <w:rFonts w:ascii="Times New Roman" w:hAnsi="Times New Roman" w:cs="Times New Roman"/>
          <w:color w:val="000000"/>
        </w:rPr>
      </w:pPr>
      <w:r w:rsidRPr="003E7C0E">
        <w:rPr>
          <w:rFonts w:ascii="Times New Roman" w:hAnsi="Times New Roman" w:cs="Times New Roman"/>
          <w:b/>
        </w:rPr>
        <w:t>Supplemental Figure S.</w:t>
      </w:r>
      <w:r>
        <w:rPr>
          <w:rFonts w:ascii="Times New Roman" w:hAnsi="Times New Roman" w:cs="Times New Roman"/>
          <w:b/>
        </w:rPr>
        <w:t>2</w:t>
      </w:r>
      <w:r w:rsidRPr="003E7C0E">
        <w:rPr>
          <w:rFonts w:ascii="Times New Roman" w:hAnsi="Times New Roman" w:cs="Times New Roman"/>
        </w:rPr>
        <w:t>: Flow Cytometry Gating Analysis approach</w:t>
      </w:r>
      <w:r>
        <w:rPr>
          <w:rFonts w:ascii="Times New Roman" w:hAnsi="Times New Roman" w:cs="Times New Roman"/>
        </w:rPr>
        <w:t xml:space="preserve"> </w:t>
      </w:r>
      <w:r w:rsidRPr="003E7C0E">
        <w:rPr>
          <w:rFonts w:ascii="Times New Roman" w:hAnsi="Times New Roman" w:cs="Times New Roman"/>
        </w:rPr>
        <w:t>strategy. Forward Scatter and Side Scatter were used to identify and select lymphocytes. Lymphocytes were further separated. CD3+ positive cells were separated based on CD8 or CD4 expression</w:t>
      </w:r>
    </w:p>
    <w:p w14:paraId="7F9D79F6" w14:textId="77777777" w:rsidR="003D378D" w:rsidRPr="003E7C0E" w:rsidRDefault="003D378D" w:rsidP="003D378D">
      <w:pPr>
        <w:jc w:val="center"/>
        <w:rPr>
          <w:rFonts w:ascii="Times New Roman" w:hAnsi="Times New Roman" w:cs="Times New Roman"/>
        </w:rPr>
      </w:pPr>
      <w:r w:rsidRPr="003E7C0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E82501" wp14:editId="41E04080">
            <wp:extent cx="5283200" cy="43180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CBFA" w14:textId="77777777" w:rsidR="003D378D" w:rsidRPr="003E7C0E" w:rsidRDefault="003D378D" w:rsidP="003D378D">
      <w:pPr>
        <w:jc w:val="center"/>
        <w:rPr>
          <w:rFonts w:ascii="Times New Roman" w:hAnsi="Times New Roman" w:cs="Times New Roman"/>
        </w:rPr>
      </w:pPr>
    </w:p>
    <w:p w14:paraId="1E0A082B" w14:textId="5D299F86" w:rsidR="003D378D" w:rsidRPr="003E7C0E" w:rsidRDefault="003D378D" w:rsidP="003D378D">
      <w:pPr>
        <w:spacing w:line="480" w:lineRule="auto"/>
        <w:rPr>
          <w:rFonts w:ascii="Times New Roman" w:hAnsi="Times New Roman" w:cs="Times New Roman"/>
        </w:rPr>
      </w:pPr>
      <w:r w:rsidRPr="003E7C0E">
        <w:rPr>
          <w:rFonts w:ascii="Times New Roman" w:hAnsi="Times New Roman" w:cs="Times New Roman"/>
          <w:b/>
          <w:bCs/>
          <w:color w:val="000000" w:themeColor="text1"/>
        </w:rPr>
        <w:t>Supplemental Fig</w:t>
      </w:r>
      <w:r w:rsidR="0033030E">
        <w:rPr>
          <w:rFonts w:ascii="Times New Roman" w:hAnsi="Times New Roman" w:cs="Times New Roman"/>
          <w:b/>
          <w:bCs/>
          <w:color w:val="000000" w:themeColor="text1"/>
        </w:rPr>
        <w:t>ure</w:t>
      </w:r>
      <w:r w:rsidRPr="003E7C0E">
        <w:rPr>
          <w:rFonts w:ascii="Times New Roman" w:hAnsi="Times New Roman" w:cs="Times New Roman"/>
          <w:b/>
          <w:bCs/>
          <w:color w:val="000000" w:themeColor="text1"/>
        </w:rPr>
        <w:t>. S.</w:t>
      </w:r>
      <w:r w:rsidR="009C3AB6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3E7C0E">
        <w:rPr>
          <w:rFonts w:ascii="Times New Roman" w:hAnsi="Times New Roman" w:cs="Times New Roman"/>
          <w:b/>
          <w:bCs/>
        </w:rPr>
        <w:t>:</w:t>
      </w:r>
      <w:r w:rsidRPr="003E7C0E">
        <w:rPr>
          <w:rFonts w:ascii="Times New Roman" w:hAnsi="Times New Roman" w:cs="Times New Roman"/>
          <w:b/>
        </w:rPr>
        <w:t xml:space="preserve"> C1498 derived EVs increase activation induced inhibitory markers. </w:t>
      </w:r>
      <w:r w:rsidRPr="003E7C0E">
        <w:rPr>
          <w:rFonts w:ascii="Times New Roman" w:hAnsi="Times New Roman" w:cs="Times New Roman"/>
        </w:rPr>
        <w:t xml:space="preserve">Splenocytes obtained from mice injected with </w:t>
      </w:r>
      <w:r w:rsidRPr="003E7C0E">
        <w:rPr>
          <w:rFonts w:ascii="Times New Roman" w:hAnsi="Times New Roman" w:cs="Times New Roman"/>
          <w:color w:val="000000"/>
        </w:rPr>
        <w:t xml:space="preserve">PBS, low concentration of C1498 derived EVs, or high concentration of C1498 derived EVs collected fourteen days post injection and stained for expression of PD-1, TIGIT and LAG3 on CD3+ cells. </w:t>
      </w:r>
      <w:r w:rsidR="005A216C" w:rsidRPr="00890F88">
        <w:rPr>
          <w:rFonts w:ascii="Arial" w:hAnsi="Arial" w:cs="Arial"/>
          <w:color w:val="000000"/>
        </w:rPr>
        <w:t>(</w:t>
      </w:r>
      <w:r w:rsidR="005A216C">
        <w:rPr>
          <w:rFonts w:ascii="Arial" w:hAnsi="Arial" w:cs="Arial"/>
          <w:color w:val="000000"/>
        </w:rPr>
        <w:t xml:space="preserve">Mean ± SD, </w:t>
      </w:r>
      <w:r w:rsidR="005A216C" w:rsidRPr="00890F88">
        <w:rPr>
          <w:rFonts w:ascii="Arial" w:hAnsi="Arial" w:cs="Arial"/>
          <w:color w:val="000000"/>
        </w:rPr>
        <w:t>*</w:t>
      </w:r>
      <w:r w:rsidR="005A216C" w:rsidRPr="00890F88">
        <w:rPr>
          <w:rFonts w:ascii="Arial" w:hAnsi="Arial" w:cs="Arial"/>
          <w:i/>
          <w:iCs/>
          <w:color w:val="000000"/>
        </w:rPr>
        <w:t xml:space="preserve">p </w:t>
      </w:r>
      <w:r w:rsidR="005A216C" w:rsidRPr="00890F88">
        <w:rPr>
          <w:rFonts w:ascii="Arial" w:hAnsi="Arial" w:cs="Arial"/>
          <w:color w:val="000000"/>
        </w:rPr>
        <w:t>&lt; 0.05, **p&lt;0.01</w:t>
      </w:r>
      <w:r w:rsidR="005A216C">
        <w:rPr>
          <w:rFonts w:ascii="Arial" w:hAnsi="Arial" w:cs="Arial"/>
          <w:color w:val="000000"/>
        </w:rPr>
        <w:t>)</w:t>
      </w:r>
    </w:p>
    <w:p w14:paraId="6D8C1743" w14:textId="4716B9A4" w:rsidR="00964342" w:rsidRPr="003E7C0E" w:rsidRDefault="00964342" w:rsidP="00964342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5DCA5916" wp14:editId="4AA8D8A0">
            <wp:extent cx="6858000" cy="7100570"/>
            <wp:effectExtent l="0" t="0" r="0" b="0"/>
            <wp:docPr id="4" name="Picture 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342">
        <w:rPr>
          <w:rFonts w:ascii="Times New Roman" w:hAnsi="Times New Roman" w:cs="Times New Roman"/>
          <w:b/>
        </w:rPr>
        <w:t xml:space="preserve"> </w:t>
      </w:r>
      <w:r w:rsidRPr="003E7C0E">
        <w:rPr>
          <w:rFonts w:ascii="Times New Roman" w:hAnsi="Times New Roman" w:cs="Times New Roman"/>
          <w:b/>
        </w:rPr>
        <w:t xml:space="preserve">Supplemental Figure </w:t>
      </w:r>
      <w:r>
        <w:rPr>
          <w:rFonts w:ascii="Times New Roman" w:hAnsi="Times New Roman" w:cs="Times New Roman"/>
          <w:b/>
        </w:rPr>
        <w:t>S.4</w:t>
      </w:r>
      <w:r w:rsidRPr="003E7C0E">
        <w:rPr>
          <w:rFonts w:ascii="Times New Roman" w:hAnsi="Times New Roman" w:cs="Times New Roman"/>
        </w:rPr>
        <w:t xml:space="preserve">: Characterization of EVs </w:t>
      </w:r>
      <w:r w:rsidR="00B82417">
        <w:rPr>
          <w:rFonts w:ascii="Times New Roman" w:hAnsi="Times New Roman" w:cs="Times New Roman"/>
          <w:b/>
        </w:rPr>
        <w:t>A</w:t>
      </w:r>
      <w:r w:rsidRPr="003E7C0E">
        <w:rPr>
          <w:rFonts w:ascii="Times New Roman" w:hAnsi="Times New Roman" w:cs="Times New Roman"/>
          <w:b/>
        </w:rPr>
        <w:t>)</w:t>
      </w:r>
      <w:r w:rsidRPr="003E7C0E">
        <w:rPr>
          <w:rFonts w:ascii="Times New Roman" w:hAnsi="Times New Roman" w:cs="Times New Roman"/>
        </w:rPr>
        <w:t xml:space="preserve"> </w:t>
      </w:r>
      <w:r w:rsidRPr="003E7C0E">
        <w:rPr>
          <w:rFonts w:ascii="Times New Roman" w:hAnsi="Times New Roman" w:cs="Times New Roman"/>
          <w:b/>
        </w:rPr>
        <w:t>Electron Microscopy of C1498 derived EVs</w:t>
      </w:r>
      <w:r w:rsidRPr="003E7C0E">
        <w:rPr>
          <w:rFonts w:ascii="Times New Roman" w:hAnsi="Times New Roman" w:cs="Times New Roman"/>
        </w:rPr>
        <w:t xml:space="preserve">. </w:t>
      </w:r>
      <w:r w:rsidRPr="003E7C0E">
        <w:rPr>
          <w:rFonts w:ascii="Times New Roman" w:eastAsia="Arial Unicode MS" w:hAnsi="Times New Roman" w:cs="Times New Roman"/>
          <w:color w:val="000000"/>
          <w:shd w:val="clear" w:color="auto" w:fill="FFFFFF"/>
        </w:rPr>
        <w:t>Electron micrographs of populations of extracellular vesicles derived from the C1498 cell line (</w:t>
      </w:r>
      <w:r w:rsidRPr="003E7C0E">
        <w:rPr>
          <w:rFonts w:ascii="Times New Roman" w:hAnsi="Times New Roman" w:cs="Times New Roman"/>
        </w:rPr>
        <w:t>Scale bar = 200 nm, Magnification: x54,800)</w:t>
      </w:r>
      <w:r w:rsidRPr="003E7C0E">
        <w:rPr>
          <w:rFonts w:ascii="Times New Roman" w:hAnsi="Times New Roman" w:cs="Times New Roman"/>
          <w:color w:val="000000" w:themeColor="text1"/>
        </w:rPr>
        <w:t xml:space="preserve">. </w:t>
      </w:r>
      <w:r w:rsidRPr="003E7C0E">
        <w:rPr>
          <w:rFonts w:ascii="Times New Roman" w:hAnsi="Times New Roman" w:cs="Times New Roman"/>
          <w:shd w:val="clear" w:color="auto" w:fill="FFFFFF"/>
        </w:rPr>
        <w:t xml:space="preserve">EVs were fixed in 2% paraformaldehyde and loaded on </w:t>
      </w:r>
      <w:proofErr w:type="spellStart"/>
      <w:r w:rsidRPr="003E7C0E">
        <w:rPr>
          <w:rFonts w:ascii="Times New Roman" w:hAnsi="Times New Roman" w:cs="Times New Roman"/>
          <w:shd w:val="clear" w:color="auto" w:fill="FFFFFF"/>
        </w:rPr>
        <w:t>Formwar</w:t>
      </w:r>
      <w:proofErr w:type="spellEnd"/>
      <w:r w:rsidRPr="003E7C0E">
        <w:rPr>
          <w:rFonts w:ascii="Times New Roman" w:hAnsi="Times New Roman" w:cs="Times New Roman"/>
          <w:shd w:val="clear" w:color="auto" w:fill="FFFFFF"/>
        </w:rPr>
        <w:t>-carbon-coated electron microscopy grids. EVs were fixed in 1% glutaraldehyde and contrasted in 4% uranyl acetate. The samples were o</w:t>
      </w:r>
      <w:r w:rsidRPr="003E7C0E">
        <w:rPr>
          <w:rFonts w:ascii="Times New Roman" w:hAnsi="Times New Roman" w:cs="Times New Roman"/>
          <w:lang w:eastAsia="zh-CN"/>
        </w:rPr>
        <w:t>bserved under the transmission electron microscope (</w:t>
      </w:r>
      <w:r w:rsidRPr="003E7C0E">
        <w:rPr>
          <w:rFonts w:ascii="Times New Roman" w:hAnsi="Times New Roman" w:cs="Times New Roman"/>
          <w:shd w:val="clear" w:color="auto" w:fill="FFFFFF"/>
        </w:rPr>
        <w:t>FEI</w:t>
      </w:r>
      <w:r w:rsidRPr="003E7C0E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3E7C0E">
        <w:rPr>
          <w:rStyle w:val="Emphasis"/>
          <w:rFonts w:ascii="Times New Roman" w:hAnsi="Times New Roman" w:cs="Times New Roman"/>
          <w:bCs/>
          <w:shd w:val="clear" w:color="auto" w:fill="FFFFFF"/>
        </w:rPr>
        <w:t>Morgagni 268</w:t>
      </w:r>
      <w:r w:rsidRPr="003E7C0E">
        <w:rPr>
          <w:rStyle w:val="Emphasis"/>
          <w:rFonts w:ascii="Times New Roman" w:hAnsi="Times New Roman" w:cs="Times New Roman"/>
          <w:b w:val="0"/>
          <w:bCs/>
          <w:shd w:val="clear" w:color="auto" w:fill="FFFFFF"/>
        </w:rPr>
        <w:t>)</w:t>
      </w:r>
      <w:r w:rsidRPr="003E7C0E">
        <w:rPr>
          <w:rFonts w:ascii="Times New Roman" w:hAnsi="Times New Roman" w:cs="Times New Roman"/>
          <w:lang w:eastAsia="zh-CN"/>
        </w:rPr>
        <w:t xml:space="preserve"> at 80 kV. </w:t>
      </w:r>
      <w:r w:rsidR="00B82417">
        <w:rPr>
          <w:rFonts w:ascii="Times New Roman" w:hAnsi="Times New Roman" w:cs="Times New Roman"/>
          <w:b/>
        </w:rPr>
        <w:t>B</w:t>
      </w:r>
      <w:r w:rsidRPr="003E7C0E">
        <w:rPr>
          <w:rFonts w:ascii="Times New Roman" w:hAnsi="Times New Roman" w:cs="Times New Roman"/>
          <w:b/>
        </w:rPr>
        <w:t xml:space="preserve">) </w:t>
      </w:r>
      <w:r w:rsidRPr="003E7C0E">
        <w:rPr>
          <w:rFonts w:ascii="Times New Roman" w:hAnsi="Times New Roman" w:cs="Times New Roman"/>
          <w:b/>
          <w:color w:val="000000"/>
        </w:rPr>
        <w:lastRenderedPageBreak/>
        <w:t xml:space="preserve">Analysis of EVs fractions produced by murine AML cell line, C1498 via </w:t>
      </w:r>
      <w:proofErr w:type="spellStart"/>
      <w:r w:rsidRPr="003E7C0E">
        <w:rPr>
          <w:rFonts w:ascii="Times New Roman" w:hAnsi="Times New Roman" w:cs="Times New Roman"/>
          <w:b/>
          <w:color w:val="000000"/>
        </w:rPr>
        <w:t>Nanosight</w:t>
      </w:r>
      <w:proofErr w:type="spellEnd"/>
      <w:r w:rsidRPr="003E7C0E">
        <w:rPr>
          <w:rFonts w:ascii="Times New Roman" w:hAnsi="Times New Roman" w:cs="Times New Roman"/>
          <w:b/>
          <w:color w:val="000000"/>
        </w:rPr>
        <w:t>.</w:t>
      </w:r>
      <w:r w:rsidRPr="003E7C0E">
        <w:rPr>
          <w:rFonts w:ascii="Times New Roman" w:hAnsi="Times New Roman" w:cs="Times New Roman"/>
          <w:color w:val="000000"/>
        </w:rPr>
        <w:t xml:space="preserve"> A typical profile of murine C1498 derived EVs fractions by </w:t>
      </w:r>
      <w:proofErr w:type="spellStart"/>
      <w:r w:rsidRPr="003E7C0E">
        <w:rPr>
          <w:rFonts w:ascii="Times New Roman" w:hAnsi="Times New Roman" w:cs="Times New Roman"/>
          <w:color w:val="000000"/>
        </w:rPr>
        <w:t>Nanosight</w:t>
      </w:r>
      <w:proofErr w:type="spellEnd"/>
      <w:r w:rsidRPr="003E7C0E">
        <w:rPr>
          <w:rFonts w:ascii="Times New Roman" w:hAnsi="Times New Roman" w:cs="Times New Roman"/>
          <w:color w:val="000000"/>
        </w:rPr>
        <w:t xml:space="preserve"> analysis. The mean of EVs are 130.7nm, </w:t>
      </w:r>
      <w:r w:rsidRPr="003E7C0E">
        <w:rPr>
          <w:rFonts w:ascii="Times New Roman" w:hAnsi="Times New Roman" w:cs="Times New Roman"/>
          <w:color w:val="000000" w:themeColor="text1"/>
        </w:rPr>
        <w:t>mode of 124.4 nm, SD of 61.7nm</w:t>
      </w:r>
      <w:r w:rsidRPr="003E7C0E">
        <w:rPr>
          <w:rFonts w:ascii="Times New Roman" w:hAnsi="Times New Roman" w:cs="Times New Roman"/>
          <w:color w:val="000000"/>
        </w:rPr>
        <w:t>.</w:t>
      </w:r>
    </w:p>
    <w:p w14:paraId="50160289" w14:textId="77777777" w:rsidR="0033030E" w:rsidRDefault="0033030E"/>
    <w:sectPr w:rsidR="0033030E" w:rsidSect="003D37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8D"/>
    <w:rsid w:val="00015959"/>
    <w:rsid w:val="00046B7A"/>
    <w:rsid w:val="00083161"/>
    <w:rsid w:val="000831AA"/>
    <w:rsid w:val="000F5532"/>
    <w:rsid w:val="00114010"/>
    <w:rsid w:val="00141BB0"/>
    <w:rsid w:val="00141DF9"/>
    <w:rsid w:val="00142DF5"/>
    <w:rsid w:val="00162424"/>
    <w:rsid w:val="00170901"/>
    <w:rsid w:val="00183E99"/>
    <w:rsid w:val="00184A4A"/>
    <w:rsid w:val="00184C0A"/>
    <w:rsid w:val="00191ECF"/>
    <w:rsid w:val="00197071"/>
    <w:rsid w:val="00197F34"/>
    <w:rsid w:val="001A463E"/>
    <w:rsid w:val="001C50D2"/>
    <w:rsid w:val="001C6871"/>
    <w:rsid w:val="001D4714"/>
    <w:rsid w:val="002013B0"/>
    <w:rsid w:val="00214BBC"/>
    <w:rsid w:val="00230EA7"/>
    <w:rsid w:val="002431F0"/>
    <w:rsid w:val="00253D1C"/>
    <w:rsid w:val="00262D99"/>
    <w:rsid w:val="002822DA"/>
    <w:rsid w:val="00296C01"/>
    <w:rsid w:val="002D3CFE"/>
    <w:rsid w:val="002D467D"/>
    <w:rsid w:val="002D7F55"/>
    <w:rsid w:val="002E07DF"/>
    <w:rsid w:val="002E29B8"/>
    <w:rsid w:val="002F7E3A"/>
    <w:rsid w:val="00304BCF"/>
    <w:rsid w:val="0032326C"/>
    <w:rsid w:val="0033030E"/>
    <w:rsid w:val="00331203"/>
    <w:rsid w:val="00342551"/>
    <w:rsid w:val="00352BDC"/>
    <w:rsid w:val="00361F7D"/>
    <w:rsid w:val="00363BFB"/>
    <w:rsid w:val="0036612F"/>
    <w:rsid w:val="00371D64"/>
    <w:rsid w:val="00380EE5"/>
    <w:rsid w:val="0039200A"/>
    <w:rsid w:val="00393F14"/>
    <w:rsid w:val="00395798"/>
    <w:rsid w:val="003A42F9"/>
    <w:rsid w:val="003C4960"/>
    <w:rsid w:val="003D378D"/>
    <w:rsid w:val="003F3058"/>
    <w:rsid w:val="00431F8F"/>
    <w:rsid w:val="00442BB5"/>
    <w:rsid w:val="004669AB"/>
    <w:rsid w:val="00473B8A"/>
    <w:rsid w:val="004A6ADF"/>
    <w:rsid w:val="004E1E98"/>
    <w:rsid w:val="00513BB8"/>
    <w:rsid w:val="005204AC"/>
    <w:rsid w:val="0052565E"/>
    <w:rsid w:val="00532519"/>
    <w:rsid w:val="00534F9C"/>
    <w:rsid w:val="00535AB5"/>
    <w:rsid w:val="00544049"/>
    <w:rsid w:val="0056151F"/>
    <w:rsid w:val="005750B6"/>
    <w:rsid w:val="005804A8"/>
    <w:rsid w:val="005949F1"/>
    <w:rsid w:val="005A137E"/>
    <w:rsid w:val="005A216C"/>
    <w:rsid w:val="005A6505"/>
    <w:rsid w:val="005F2670"/>
    <w:rsid w:val="00645272"/>
    <w:rsid w:val="00656CFC"/>
    <w:rsid w:val="006752CF"/>
    <w:rsid w:val="0067571B"/>
    <w:rsid w:val="0067614D"/>
    <w:rsid w:val="00685620"/>
    <w:rsid w:val="00685D8A"/>
    <w:rsid w:val="006A6840"/>
    <w:rsid w:val="006E2766"/>
    <w:rsid w:val="006F35B5"/>
    <w:rsid w:val="00702843"/>
    <w:rsid w:val="00702CAE"/>
    <w:rsid w:val="00712981"/>
    <w:rsid w:val="00722145"/>
    <w:rsid w:val="00726C32"/>
    <w:rsid w:val="00731364"/>
    <w:rsid w:val="00746F22"/>
    <w:rsid w:val="007627A0"/>
    <w:rsid w:val="0077441A"/>
    <w:rsid w:val="0078560F"/>
    <w:rsid w:val="00786A0A"/>
    <w:rsid w:val="00794E69"/>
    <w:rsid w:val="007A54BC"/>
    <w:rsid w:val="007B7686"/>
    <w:rsid w:val="007C6A48"/>
    <w:rsid w:val="007D0964"/>
    <w:rsid w:val="00822271"/>
    <w:rsid w:val="008224C8"/>
    <w:rsid w:val="00823BF6"/>
    <w:rsid w:val="008336AA"/>
    <w:rsid w:val="008412A5"/>
    <w:rsid w:val="008A0829"/>
    <w:rsid w:val="008B4519"/>
    <w:rsid w:val="008C682C"/>
    <w:rsid w:val="008E2C5B"/>
    <w:rsid w:val="008E4D00"/>
    <w:rsid w:val="008F6159"/>
    <w:rsid w:val="00904E61"/>
    <w:rsid w:val="00912890"/>
    <w:rsid w:val="009236E7"/>
    <w:rsid w:val="00940BFC"/>
    <w:rsid w:val="009611BF"/>
    <w:rsid w:val="00964342"/>
    <w:rsid w:val="009A22AA"/>
    <w:rsid w:val="009B19C4"/>
    <w:rsid w:val="009B554B"/>
    <w:rsid w:val="009C3AB6"/>
    <w:rsid w:val="009D0D89"/>
    <w:rsid w:val="009E7A08"/>
    <w:rsid w:val="009F078E"/>
    <w:rsid w:val="009F5E9A"/>
    <w:rsid w:val="009F789D"/>
    <w:rsid w:val="00A00C20"/>
    <w:rsid w:val="00A1170C"/>
    <w:rsid w:val="00A15C1C"/>
    <w:rsid w:val="00A21C4A"/>
    <w:rsid w:val="00A46216"/>
    <w:rsid w:val="00A55DCA"/>
    <w:rsid w:val="00A61621"/>
    <w:rsid w:val="00A6399E"/>
    <w:rsid w:val="00AA5C57"/>
    <w:rsid w:val="00AD2347"/>
    <w:rsid w:val="00AE1833"/>
    <w:rsid w:val="00AE19CD"/>
    <w:rsid w:val="00AE4235"/>
    <w:rsid w:val="00B0324C"/>
    <w:rsid w:val="00B0424A"/>
    <w:rsid w:val="00B20866"/>
    <w:rsid w:val="00B60F07"/>
    <w:rsid w:val="00B647EC"/>
    <w:rsid w:val="00B82417"/>
    <w:rsid w:val="00BA153C"/>
    <w:rsid w:val="00BA4FC5"/>
    <w:rsid w:val="00BD5D83"/>
    <w:rsid w:val="00BE3C9A"/>
    <w:rsid w:val="00C020C1"/>
    <w:rsid w:val="00C063D0"/>
    <w:rsid w:val="00C42E87"/>
    <w:rsid w:val="00C50EA1"/>
    <w:rsid w:val="00C53C5C"/>
    <w:rsid w:val="00C65095"/>
    <w:rsid w:val="00C803CF"/>
    <w:rsid w:val="00C86347"/>
    <w:rsid w:val="00C92680"/>
    <w:rsid w:val="00C96416"/>
    <w:rsid w:val="00CA1138"/>
    <w:rsid w:val="00CF6767"/>
    <w:rsid w:val="00D01915"/>
    <w:rsid w:val="00D07036"/>
    <w:rsid w:val="00D0770E"/>
    <w:rsid w:val="00D122B2"/>
    <w:rsid w:val="00D27FE9"/>
    <w:rsid w:val="00D67E6B"/>
    <w:rsid w:val="00D7286B"/>
    <w:rsid w:val="00D812FE"/>
    <w:rsid w:val="00D96642"/>
    <w:rsid w:val="00DB4B27"/>
    <w:rsid w:val="00DB6B34"/>
    <w:rsid w:val="00DE7C1B"/>
    <w:rsid w:val="00E22543"/>
    <w:rsid w:val="00E23B5C"/>
    <w:rsid w:val="00E23F66"/>
    <w:rsid w:val="00E55B84"/>
    <w:rsid w:val="00E572D5"/>
    <w:rsid w:val="00E766EE"/>
    <w:rsid w:val="00E931FF"/>
    <w:rsid w:val="00EA7C02"/>
    <w:rsid w:val="00EC7A01"/>
    <w:rsid w:val="00ED2560"/>
    <w:rsid w:val="00EE3D95"/>
    <w:rsid w:val="00EE4566"/>
    <w:rsid w:val="00EF217A"/>
    <w:rsid w:val="00EF30D6"/>
    <w:rsid w:val="00F02BE4"/>
    <w:rsid w:val="00F44281"/>
    <w:rsid w:val="00F46AA0"/>
    <w:rsid w:val="00F7455A"/>
    <w:rsid w:val="00F841C2"/>
    <w:rsid w:val="00FA15C2"/>
    <w:rsid w:val="00FB220C"/>
    <w:rsid w:val="00FD677C"/>
    <w:rsid w:val="00FF3C40"/>
    <w:rsid w:val="00F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55F4CC"/>
  <w15:docId w15:val="{81B80E1B-AA14-4B41-A243-61D474DD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78D"/>
    <w:pPr>
      <w:spacing w:after="0" w:line="240" w:lineRule="auto"/>
      <w:jc w:val="lef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220C"/>
    <w:pPr>
      <w:spacing w:before="300" w:after="40" w:line="276" w:lineRule="auto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20C"/>
    <w:pPr>
      <w:spacing w:before="240" w:after="80" w:line="276" w:lineRule="auto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20C"/>
    <w:pPr>
      <w:spacing w:line="276" w:lineRule="auto"/>
      <w:outlineLvl w:val="2"/>
    </w:pPr>
    <w:rPr>
      <w:smallCaps/>
      <w:spacing w:val="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220C"/>
    <w:pPr>
      <w:spacing w:before="240" w:line="276" w:lineRule="auto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20C"/>
    <w:pPr>
      <w:spacing w:before="200" w:line="276" w:lineRule="auto"/>
      <w:outlineLvl w:val="4"/>
    </w:pPr>
    <w:rPr>
      <w:smallCaps/>
      <w:color w:val="943634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20C"/>
    <w:pPr>
      <w:spacing w:line="276" w:lineRule="auto"/>
      <w:outlineLvl w:val="5"/>
    </w:pPr>
    <w:rPr>
      <w:smallCaps/>
      <w:color w:val="C0504D"/>
      <w:spacing w:val="5"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20C"/>
    <w:pPr>
      <w:spacing w:line="276" w:lineRule="auto"/>
      <w:outlineLvl w:val="6"/>
    </w:pPr>
    <w:rPr>
      <w:b/>
      <w:smallCaps/>
      <w:color w:val="C0504D"/>
      <w:spacing w:val="1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20C"/>
    <w:pPr>
      <w:spacing w:line="276" w:lineRule="auto"/>
      <w:outlineLvl w:val="7"/>
    </w:pPr>
    <w:rPr>
      <w:b/>
      <w:i/>
      <w:smallCaps/>
      <w:color w:val="943634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20C"/>
    <w:pPr>
      <w:spacing w:line="276" w:lineRule="auto"/>
      <w:outlineLvl w:val="8"/>
    </w:pPr>
    <w:rPr>
      <w:b/>
      <w:i/>
      <w:smallCaps/>
      <w:color w:val="62242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B220C"/>
    <w:rPr>
      <w:smallCaps/>
      <w:spacing w:val="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B220C"/>
    <w:rPr>
      <w:smallCaps/>
      <w:spacing w:val="5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B220C"/>
    <w:rPr>
      <w:smallCaps/>
      <w:spacing w:val="5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FB220C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FB220C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FB220C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FB220C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FB220C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FB220C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220C"/>
    <w:pPr>
      <w:spacing w:after="200" w:line="276" w:lineRule="auto"/>
      <w:jc w:val="both"/>
    </w:pPr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B220C"/>
    <w:pPr>
      <w:pBdr>
        <w:top w:val="single" w:sz="12" w:space="1" w:color="C0504D"/>
      </w:pBdr>
      <w:spacing w:after="200"/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FB220C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220C"/>
    <w:pPr>
      <w:spacing w:after="720"/>
      <w:jc w:val="right"/>
    </w:pPr>
    <w:rPr>
      <w:rFonts w:ascii="Cambria" w:eastAsia="Times New Roman" w:hAnsi="Cambria" w:cs="Times New Roman"/>
      <w:sz w:val="20"/>
      <w:szCs w:val="22"/>
    </w:rPr>
  </w:style>
  <w:style w:type="character" w:customStyle="1" w:styleId="SubtitleChar">
    <w:name w:val="Subtitle Char"/>
    <w:link w:val="Subtitle"/>
    <w:uiPriority w:val="11"/>
    <w:rsid w:val="00FB220C"/>
    <w:rPr>
      <w:rFonts w:ascii="Cambria" w:eastAsia="Times New Roman" w:hAnsi="Cambria" w:cs="Times New Roman"/>
      <w:szCs w:val="22"/>
    </w:rPr>
  </w:style>
  <w:style w:type="character" w:styleId="Strong">
    <w:name w:val="Strong"/>
    <w:uiPriority w:val="22"/>
    <w:qFormat/>
    <w:rsid w:val="00FB220C"/>
    <w:rPr>
      <w:b/>
      <w:color w:val="C0504D"/>
    </w:rPr>
  </w:style>
  <w:style w:type="character" w:styleId="Emphasis">
    <w:name w:val="Emphasis"/>
    <w:uiPriority w:val="20"/>
    <w:qFormat/>
    <w:rsid w:val="00FB220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B220C"/>
    <w:pPr>
      <w:jc w:val="both"/>
    </w:pPr>
    <w:rPr>
      <w:sz w:val="20"/>
      <w:szCs w:val="20"/>
    </w:rPr>
  </w:style>
  <w:style w:type="character" w:customStyle="1" w:styleId="NoSpacingChar">
    <w:name w:val="No Spacing Char"/>
    <w:link w:val="NoSpacing"/>
    <w:uiPriority w:val="1"/>
    <w:rsid w:val="00FB220C"/>
  </w:style>
  <w:style w:type="paragraph" w:styleId="ListParagraph">
    <w:name w:val="List Paragraph"/>
    <w:basedOn w:val="Normal"/>
    <w:uiPriority w:val="34"/>
    <w:qFormat/>
    <w:rsid w:val="00FB220C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B220C"/>
    <w:pPr>
      <w:spacing w:after="200" w:line="276" w:lineRule="auto"/>
      <w:jc w:val="both"/>
    </w:pPr>
    <w:rPr>
      <w:i/>
      <w:sz w:val="20"/>
      <w:szCs w:val="20"/>
    </w:rPr>
  </w:style>
  <w:style w:type="character" w:customStyle="1" w:styleId="QuoteChar">
    <w:name w:val="Quote Char"/>
    <w:link w:val="Quote"/>
    <w:uiPriority w:val="29"/>
    <w:rsid w:val="00FB220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20C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 w:line="276" w:lineRule="auto"/>
      <w:ind w:left="1440" w:right="1440"/>
      <w:jc w:val="both"/>
    </w:pPr>
    <w:rPr>
      <w:b/>
      <w:i/>
      <w:color w:val="FFFFFF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FB220C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FB220C"/>
    <w:rPr>
      <w:i/>
    </w:rPr>
  </w:style>
  <w:style w:type="character" w:styleId="IntenseEmphasis">
    <w:name w:val="Intense Emphasis"/>
    <w:uiPriority w:val="21"/>
    <w:qFormat/>
    <w:rsid w:val="00FB220C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FB220C"/>
    <w:rPr>
      <w:b/>
    </w:rPr>
  </w:style>
  <w:style w:type="character" w:styleId="IntenseReference">
    <w:name w:val="Intense Reference"/>
    <w:uiPriority w:val="32"/>
    <w:qFormat/>
    <w:rsid w:val="00FB220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B220C"/>
    <w:rPr>
      <w:rFonts w:ascii="Cambria" w:eastAsia="Times New Roman" w:hAnsi="Cambria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B220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A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B6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964342"/>
  </w:style>
  <w:style w:type="character" w:styleId="CommentReference">
    <w:name w:val="annotation reference"/>
    <w:basedOn w:val="DefaultParagraphFont"/>
    <w:uiPriority w:val="99"/>
    <w:semiHidden/>
    <w:unhideWhenUsed/>
    <w:rsid w:val="00532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5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51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5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5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Pando, Alejandro</dc:creator>
  <cp:keywords/>
  <dc:description/>
  <cp:lastModifiedBy>Boon Lee</cp:lastModifiedBy>
  <cp:revision>2</cp:revision>
  <dcterms:created xsi:type="dcterms:W3CDTF">2021-05-09T23:07:00Z</dcterms:created>
  <dcterms:modified xsi:type="dcterms:W3CDTF">2021-05-09T23:07:00Z</dcterms:modified>
</cp:coreProperties>
</file>