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240" w:beforeAutospacing="0" w:after="0" w:afterAutospacing="0" w:line="480" w:lineRule="auto"/>
        <w:ind w:left="0" w:right="0"/>
        <w:jc w:val="center"/>
        <w:rPr>
          <w:rFonts w:hint="default" w:ascii="Times New Roman" w:hAnsi="Times New Roman" w:eastAsia="微软雅黑" w:cs="Times New Roman"/>
          <w:b/>
          <w:bCs w:val="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70730" cy="5118100"/>
            <wp:effectExtent l="0" t="0" r="1270" b="6350"/>
            <wp:docPr id="1" name="图片 1" descr="Figure-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-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240" w:beforeAutospacing="0" w:after="0" w:afterAutospacing="0" w:line="480" w:lineRule="auto"/>
        <w:ind w:left="0" w:right="0"/>
        <w:jc w:val="both"/>
        <w:rPr>
          <w:rFonts w:hint="default" w:ascii="Calibri" w:hAnsi="Calibri" w:eastAsia="微软雅黑" w:cs="mn-cs"/>
          <w:kern w:val="24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 w:val="0"/>
          <w:kern w:val="0"/>
          <w:sz w:val="24"/>
          <w:szCs w:val="24"/>
          <w:lang w:val="en-US" w:eastAsia="zh-CN" w:bidi="ar"/>
        </w:rPr>
        <w:t>Supplementary Figure</w:t>
      </w:r>
      <w:r>
        <w:rPr>
          <w:rFonts w:hint="default" w:ascii="Times New Roman" w:hAnsi="Times New Roman" w:eastAsia="微软雅黑" w:cs="Times New Roman"/>
          <w:b/>
          <w:bCs w:val="0"/>
          <w:kern w:val="24"/>
          <w:sz w:val="24"/>
          <w:szCs w:val="24"/>
          <w:lang w:val="en-US" w:eastAsia="zh-CN" w:bidi="ar"/>
        </w:rPr>
        <w:t xml:space="preserve"> 1.</w:t>
      </w:r>
      <w:r>
        <w:rPr>
          <w:rFonts w:hint="default" w:ascii="Times New Roman" w:hAnsi="Times New Roman" w:eastAsia="+ mn-ea" w:cs="Times New Roman"/>
          <w:kern w:val="24"/>
          <w:sz w:val="24"/>
          <w:szCs w:val="24"/>
          <w:lang w:val="en-US" w:eastAsia="zh-CN" w:bidi="ar"/>
        </w:rPr>
        <w:t xml:space="preserve">  </w:t>
      </w:r>
      <w:r>
        <w:rPr>
          <w:rFonts w:hint="default" w:ascii="Times New Roman" w:hAnsi="Times New Roman" w:eastAsia="+ mn-ea" w:cs="Times New Roman"/>
          <w:b/>
          <w:bCs w:val="0"/>
          <w:kern w:val="24"/>
          <w:sz w:val="24"/>
          <w:szCs w:val="24"/>
          <w:lang w:val="en-US" w:eastAsia="zh-CN" w:bidi="ar"/>
        </w:rPr>
        <w:t xml:space="preserve">Relative expression </w:t>
      </w:r>
      <w:r>
        <w:rPr>
          <w:rFonts w:hint="default" w:ascii="Times New Roman" w:hAnsi="Times New Roman" w:eastAsia="微软雅黑" w:cs="Times New Roman"/>
          <w:b/>
          <w:bCs w:val="0"/>
          <w:kern w:val="24"/>
          <w:sz w:val="24"/>
          <w:szCs w:val="24"/>
          <w:lang w:val="en-US" w:eastAsia="zh-CN" w:bidi="ar"/>
        </w:rPr>
        <w:t>of pro-inflammatory</w:t>
      </w:r>
      <w:r>
        <w:rPr>
          <w:rFonts w:hint="default" w:ascii="Times New Roman" w:hAnsi="Times New Roman" w:eastAsia="+ mn-ea" w:cs="Times New Roman"/>
          <w:b/>
          <w:bCs w:val="0"/>
          <w:kern w:val="24"/>
          <w:sz w:val="24"/>
          <w:szCs w:val="24"/>
          <w:lang w:val="en-US" w:eastAsia="zh-CN" w:bidi="ar"/>
        </w:rPr>
        <w:t xml:space="preserve"> genes related to gouty inflammation were not altered</w:t>
      </w:r>
      <w:r>
        <w:rPr>
          <w:rFonts w:hint="default" w:ascii="Times New Roman" w:hAnsi="Times New Roman" w:eastAsia="微软雅黑" w:cs="Times New Roman"/>
          <w:b/>
          <w:bCs w:val="0"/>
          <w:kern w:val="24"/>
          <w:sz w:val="24"/>
          <w:szCs w:val="24"/>
          <w:lang w:val="en-US" w:eastAsia="zh-CN" w:bidi="ar"/>
        </w:rPr>
        <w:t xml:space="preserve"> in BMDMs from miR-223 KO mice in response to MSU crystals </w:t>
      </w:r>
      <w:r>
        <w:rPr>
          <w:rFonts w:hint="default" w:ascii="Times New Roman" w:hAnsi="Times New Roman" w:eastAsia="微软雅黑" w:cs="Times New Roman"/>
          <w:b/>
          <w:bCs w:val="0"/>
          <w:i/>
          <w:iCs/>
          <w:kern w:val="24"/>
          <w:sz w:val="24"/>
          <w:szCs w:val="24"/>
          <w:lang w:val="en-US" w:eastAsia="zh-CN" w:bidi="ar"/>
        </w:rPr>
        <w:t>in vitro</w:t>
      </w:r>
      <w:r>
        <w:rPr>
          <w:rFonts w:hint="default" w:ascii="Times New Roman" w:hAnsi="Times New Roman" w:eastAsia="微软雅黑" w:cs="Times New Roman"/>
          <w:b/>
          <w:bCs w:val="0"/>
          <w:kern w:val="24"/>
          <w:sz w:val="24"/>
          <w:szCs w:val="24"/>
          <w:lang w:val="en-US" w:eastAsia="zh-CN" w:bidi="ar"/>
        </w:rPr>
        <w:t xml:space="preserve">. </w:t>
      </w:r>
      <w:r>
        <w:rPr>
          <w:rFonts w:hint="default" w:ascii="Times New Roman" w:hAnsi="Times New Roman" w:eastAsia="微软雅黑" w:cs="Times New Roman"/>
          <w:kern w:val="24"/>
          <w:sz w:val="24"/>
          <w:szCs w:val="24"/>
          <w:lang w:val="en-US" w:eastAsia="zh-CN" w:bidi="ar"/>
        </w:rPr>
        <w:t>(A-L) Relative expression of inflammatory genes including ASC, Caspase-1, P</w:t>
      </w:r>
      <w:r>
        <w:rPr>
          <w:rFonts w:hint="default" w:ascii="Times New Roman" w:hAnsi="Times New Roman" w:eastAsia="微软雅黑" w:cs="Times New Roman"/>
          <w:kern w:val="24"/>
          <w:sz w:val="24"/>
          <w:szCs w:val="24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微软雅黑" w:cs="Times New Roman"/>
          <w:kern w:val="24"/>
          <w:sz w:val="24"/>
          <w:szCs w:val="24"/>
          <w:lang w:val="en-US" w:eastAsia="zh-CN" w:bidi="ar"/>
        </w:rPr>
        <w:t>X</w:t>
      </w:r>
      <w:r>
        <w:rPr>
          <w:rFonts w:hint="default" w:ascii="Times New Roman" w:hAnsi="Times New Roman" w:eastAsia="微软雅黑" w:cs="Times New Roman"/>
          <w:kern w:val="24"/>
          <w:sz w:val="24"/>
          <w:szCs w:val="24"/>
          <w:vertAlign w:val="subscript"/>
          <w:lang w:val="en-US" w:eastAsia="zh-CN" w:bidi="ar"/>
        </w:rPr>
        <w:t>7</w:t>
      </w:r>
      <w:r>
        <w:rPr>
          <w:rFonts w:hint="default" w:ascii="Times New Roman" w:hAnsi="Times New Roman" w:eastAsia="微软雅黑" w:cs="Times New Roman"/>
          <w:kern w:val="24"/>
          <w:sz w:val="24"/>
          <w:szCs w:val="24"/>
          <w:lang w:val="en-US" w:eastAsia="zh-CN" w:bidi="ar"/>
        </w:rPr>
        <w:t xml:space="preserve">R, TLR2, TLR4, MyD88, SOCS1, STAT1, STAT3, MCP-1, IL-6, and CXCL5 mRNA in BMDMs treated with MSU (100 </w:t>
      </w:r>
      <w:r>
        <w:rPr>
          <w:rFonts w:hint="default" w:ascii="Times New Roman" w:hAnsi="Symbol" w:eastAsia="微软雅黑" w:cs="Symbol"/>
          <w:kern w:val="24"/>
          <w:sz w:val="24"/>
          <w:szCs w:val="24"/>
          <w:lang w:val="en-US" w:eastAsia="zh-CN" w:bidi="ar"/>
        </w:rPr>
        <w:sym w:font="Symbol" w:char="006D"/>
      </w:r>
      <w:r>
        <w:rPr>
          <w:rFonts w:hint="default" w:ascii="Times New Roman" w:hAnsi="Times New Roman" w:eastAsia="微软雅黑" w:cs="Times New Roman"/>
          <w:kern w:val="24"/>
          <w:sz w:val="24"/>
          <w:szCs w:val="24"/>
          <w:lang w:val="en-US" w:eastAsia="zh-CN" w:bidi="ar"/>
        </w:rPr>
        <w:t>g/mL) at 0, 4 or 8 h were detected by real-time qPCR. The results are representative of 3 independent experiments. n=3-5 for each group.</w:t>
      </w:r>
      <w:r>
        <w:rPr>
          <w:rFonts w:hint="default" w:ascii="Calibri" w:hAnsi="Calibri" w:eastAsia="微软雅黑" w:cs="mn-cs"/>
          <w:kern w:val="24"/>
          <w:sz w:val="24"/>
          <w:szCs w:val="24"/>
          <w:lang w:val="en-US" w:eastAsia="zh-CN" w:bidi="ar"/>
        </w:rPr>
        <w:t xml:space="preserve"> </w:t>
      </w:r>
    </w:p>
    <w:p>
      <w:pPr>
        <w:rPr>
          <w:rFonts w:hint="default" w:ascii="Calibri" w:hAnsi="Calibri" w:eastAsia="微软雅黑" w:cs="mn-cs"/>
          <w:kern w:val="24"/>
          <w:sz w:val="24"/>
          <w:szCs w:val="24"/>
          <w:lang w:val="en-US" w:eastAsia="zh-CN" w:bidi="ar"/>
        </w:rPr>
      </w:pPr>
      <w:r>
        <w:rPr>
          <w:rFonts w:hint="default" w:ascii="Calibri" w:hAnsi="Calibri" w:eastAsia="微软雅黑" w:cs="mn-cs"/>
          <w:kern w:val="24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240" w:beforeAutospacing="0" w:after="0" w:afterAutospacing="0" w:line="480" w:lineRule="auto"/>
        <w:ind w:left="0" w:right="0"/>
        <w:jc w:val="center"/>
        <w:rPr>
          <w:rFonts w:hint="default" w:ascii="Calibri" w:hAnsi="Calibri" w:eastAsia="微软雅黑" w:cs="mn-cs"/>
          <w:kern w:val="24"/>
          <w:sz w:val="24"/>
          <w:szCs w:val="24"/>
          <w:lang w:val="en-US" w:eastAsia="zh-CN" w:bidi="ar"/>
        </w:rPr>
      </w:pPr>
      <w:r>
        <w:rPr>
          <w:rFonts w:hint="default" w:ascii="Calibri" w:hAnsi="Calibri" w:eastAsia="微软雅黑" w:cs="mn-cs"/>
          <w:kern w:val="24"/>
          <w:sz w:val="24"/>
          <w:szCs w:val="24"/>
          <w:lang w:val="en-US" w:eastAsia="zh-CN" w:bidi="ar"/>
        </w:rPr>
        <w:drawing>
          <wp:inline distT="0" distB="0" distL="114300" distR="114300">
            <wp:extent cx="4967605" cy="1868805"/>
            <wp:effectExtent l="0" t="0" r="4445" b="17145"/>
            <wp:docPr id="2" name="图片 2" descr="Figure-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-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240" w:beforeAutospacing="0" w:after="0" w:afterAutospacing="0" w:line="480" w:lineRule="auto"/>
        <w:ind w:left="0" w:right="0"/>
        <w:jc w:val="both"/>
        <w:rPr>
          <w:rFonts w:hint="default" w:ascii="Times New Roman" w:hAnsi="Times New Roman" w:eastAsia="微软雅黑" w:cs="Times New Roman"/>
          <w:kern w:val="24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 w:val="0"/>
          <w:kern w:val="0"/>
          <w:sz w:val="24"/>
          <w:szCs w:val="24"/>
          <w:lang w:val="en-US" w:eastAsia="zh-CN" w:bidi="ar"/>
        </w:rPr>
        <w:t xml:space="preserve">Supplementary Figure 2.  The protein levels of MyD88 were comparable in BMDMs from miR-223 KO and WT mice in response to MSU crystals </w:t>
      </w:r>
      <w:r>
        <w:rPr>
          <w:rFonts w:hint="default" w:ascii="Times New Roman" w:hAnsi="Times New Roman" w:eastAsia="微软雅黑" w:cs="Times New Roman"/>
          <w:b/>
          <w:bCs w:val="0"/>
          <w:i/>
          <w:iCs/>
          <w:kern w:val="0"/>
          <w:sz w:val="24"/>
          <w:szCs w:val="24"/>
          <w:lang w:val="en-US" w:eastAsia="zh-CN" w:bidi="ar"/>
        </w:rPr>
        <w:t>in vitro</w:t>
      </w:r>
      <w:r>
        <w:rPr>
          <w:rFonts w:hint="default" w:ascii="Times New Roman" w:hAnsi="Times New Roman" w:eastAsia="微软雅黑" w:cs="Times New Roman"/>
          <w:b/>
          <w:bCs w:val="0"/>
          <w:kern w:val="0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微软雅黑" w:cs="Times New Roman"/>
          <w:kern w:val="24"/>
          <w:sz w:val="24"/>
          <w:szCs w:val="24"/>
          <w:lang w:val="en-US" w:eastAsia="zh-CN" w:bidi="ar"/>
        </w:rPr>
        <w:t xml:space="preserve">  MyD88 protein levels in the BMDMs from miR-223 KO or WT mice treated with MSU </w:t>
      </w:r>
      <w:bookmarkStart w:id="0" w:name="_GoBack"/>
      <w:bookmarkEnd w:id="0"/>
      <w:r>
        <w:rPr>
          <w:rFonts w:hint="default" w:ascii="Times New Roman" w:hAnsi="Times New Roman" w:eastAsia="微软雅黑" w:cs="Times New Roman"/>
          <w:kern w:val="24"/>
          <w:sz w:val="24"/>
          <w:szCs w:val="24"/>
          <w:lang w:val="en-US" w:eastAsia="zh-CN" w:bidi="ar"/>
        </w:rPr>
        <w:t xml:space="preserve">crystals at 0, 4 or 8 h were detected by Western blot and analyzed using Image J software. The results are representative of 3 independent experiments. n=3-5 for each group. </w:t>
      </w:r>
    </w:p>
    <w:p/>
    <w:sectPr>
      <w:footerReference r:id="rId3" w:type="default"/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n-cs">
    <w:altName w:val="Adobe 仿宋 Std R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+ mn-e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BD59ED"/>
    <w:rsid w:val="091E7EBD"/>
    <w:rsid w:val="351A4B64"/>
    <w:rsid w:val="36C42E54"/>
    <w:rsid w:val="3BCA15EF"/>
    <w:rsid w:val="777A6FFF"/>
    <w:rsid w:val="78D3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微软雅黑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yangqibin</dc:creator>
  <cp:lastModifiedBy>yangqibin</cp:lastModifiedBy>
  <dcterms:modified xsi:type="dcterms:W3CDTF">2021-04-12T09:47:33Z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310EDCB6F79F4F65B5FFC30C0A024A42</vt:lpwstr>
  </property>
</Properties>
</file>