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4185"/>
      </w:tblGrid>
      <w:tr>
        <w:trPr>
          <w:trHeight w:val="364" w:hRule="atLeast"/>
        </w:trPr>
        <w:tc>
          <w:tcPr>
            <w:tcW w:w="8296" w:type="dxa"/>
            <w:gridSpan w:val="2"/>
            <w:tcBorders>
              <w:top w:val="nil"/>
              <w:bottom w:val="single" w:color="auto" w:sz="8" w:space="0"/>
            </w:tcBorders>
            <w:shd w:val="clear" w:color="auto" w:fill="FFFFFF" w:themeFill="background1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Hans"/>
              </w:rPr>
              <w:t>Outcomes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TACE group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11" w:type="dxa"/>
            <w:tcBorders>
              <w:top w:val="single" w:color="auto" w:sz="8" w:space="0"/>
              <w:bottom w:val="single" w:color="auto" w:sz="6" w:space="0"/>
            </w:tcBorders>
            <w:shd w:val="clear" w:color="auto" w:fill="FFFFFF" w:themeFill="background1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Adverse events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4185" w:type="dxa"/>
            <w:tcBorders>
              <w:top w:val="single" w:color="auto" w:sz="8" w:space="0"/>
              <w:bottom w:val="single" w:color="auto" w:sz="6" w:space="0"/>
            </w:tcBorders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TACE group (n=40)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11" w:type="dxa"/>
            <w:tcBorders>
              <w:top w:val="single" w:color="auto" w:sz="6" w:space="0"/>
              <w:bottom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In-hospital mortality</w:t>
            </w:r>
          </w:p>
        </w:tc>
        <w:tc>
          <w:tcPr>
            <w:tcW w:w="4185" w:type="dxa"/>
            <w:tcBorders>
              <w:top w:val="single" w:color="auto" w:sz="6" w:space="0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11" w:type="dxa"/>
            <w:tcBorders>
              <w:top w:val="nil"/>
              <w:bottom w:val="nil"/>
            </w:tcBorders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Complications</w:t>
            </w:r>
          </w:p>
        </w:tc>
        <w:tc>
          <w:tcPr>
            <w:tcW w:w="418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111" w:type="dxa"/>
            <w:tcBorders>
              <w:top w:val="nil"/>
            </w:tcBorders>
            <w:shd w:val="clear" w:color="auto" w:fill="FFFFFF" w:themeFill="background1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Fever</w:t>
            </w:r>
          </w:p>
        </w:tc>
        <w:tc>
          <w:tcPr>
            <w:tcW w:w="4185" w:type="dxa"/>
            <w:tcBorders>
              <w:top w:val="nil"/>
            </w:tcBorders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</w:p>
        </w:tc>
      </w:tr>
      <w:tr>
        <w:tc>
          <w:tcPr>
            <w:tcW w:w="4111" w:type="dxa"/>
            <w:shd w:val="clear" w:color="auto" w:fill="FFFFFF" w:themeFill="background1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Abdominal pain </w:t>
            </w:r>
            <w:r>
              <w:rPr>
                <w:rFonts w:hint="eastAsia" w:ascii="Times New Roman" w:hAnsi="Times New Roman" w:cs="Times New Roman"/>
                <w:lang w:val="en-US" w:eastAsia="zh-Hans"/>
              </w:rPr>
              <w:t>or</w:t>
            </w:r>
            <w:r>
              <w:rPr>
                <w:rFonts w:hint="default" w:ascii="Times New Roman" w:hAnsi="Times New Roman" w:cs="Times New Roman"/>
                <w:lang w:eastAsia="zh-Hans"/>
              </w:rPr>
              <w:t xml:space="preserve"> discomfort</w:t>
            </w:r>
          </w:p>
        </w:tc>
        <w:tc>
          <w:tcPr>
            <w:tcW w:w="4185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</w:p>
        </w:tc>
      </w:tr>
      <w:tr>
        <w:tc>
          <w:tcPr>
            <w:tcW w:w="4111" w:type="dxa"/>
            <w:shd w:val="clear" w:color="auto" w:fill="FFFFFF" w:themeFill="background1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Nausea or vomiting</w:t>
            </w:r>
          </w:p>
        </w:tc>
        <w:tc>
          <w:tcPr>
            <w:tcW w:w="4185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</w:t>
            </w:r>
          </w:p>
        </w:tc>
      </w:tr>
      <w:tr>
        <w:tc>
          <w:tcPr>
            <w:tcW w:w="4111" w:type="dxa"/>
            <w:shd w:val="clear" w:color="auto" w:fill="FFFFFF" w:themeFill="background1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Abnormal liver biochemistry</w:t>
            </w:r>
            <w:r>
              <w:rPr>
                <w:rFonts w:hint="eastAsia" w:ascii="Times New Roman" w:hAnsi="Times New Roman" w:cs="Times New Roman"/>
                <w:vertAlign w:val="superscript"/>
              </w:rPr>
              <w:t>†</w:t>
            </w:r>
          </w:p>
        </w:tc>
        <w:tc>
          <w:tcPr>
            <w:tcW w:w="4185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</w:p>
        </w:tc>
      </w:tr>
      <w:tr>
        <w:tc>
          <w:tcPr>
            <w:tcW w:w="4111" w:type="dxa"/>
            <w:shd w:val="clear" w:color="auto" w:fill="FFFFFF" w:themeFill="background1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Leukopenia or thrombocytopenia</w:t>
            </w:r>
          </w:p>
        </w:tc>
        <w:tc>
          <w:tcPr>
            <w:tcW w:w="4185" w:type="dxa"/>
            <w:shd w:val="clear" w:color="auto" w:fill="FFFFFF" w:themeFill="background1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10 </w:t>
            </w:r>
          </w:p>
        </w:tc>
      </w:tr>
      <w:tr>
        <w:tc>
          <w:tcPr>
            <w:tcW w:w="4111" w:type="dxa"/>
            <w:tcBorders>
              <w:bottom w:val="single" w:color="auto" w:sz="8" w:space="0"/>
            </w:tcBorders>
            <w:shd w:val="clear" w:color="auto" w:fill="FFFFFF" w:themeFill="background1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Hans"/>
              </w:rPr>
              <w:t>Bleed</w:t>
            </w:r>
            <w:r>
              <w:rPr>
                <w:rFonts w:hint="default" w:ascii="Times New Roman" w:hAnsi="Times New Roman" w:cs="Times New Roman"/>
                <w:lang w:eastAsia="zh-Hans"/>
              </w:rPr>
              <w:t xml:space="preserve">ing or </w:t>
            </w:r>
            <w:r>
              <w:rPr>
                <w:rFonts w:ascii="Times New Roman" w:hAnsi="Times New Roman" w:cs="Times New Roman"/>
              </w:rPr>
              <w:t>hematoma at puncture site</w:t>
            </w:r>
          </w:p>
        </w:tc>
        <w:tc>
          <w:tcPr>
            <w:tcW w:w="4185" w:type="dxa"/>
            <w:tcBorders>
              <w:bottom w:val="single" w:color="auto" w:sz="8" w:space="0"/>
            </w:tcBorders>
            <w:shd w:val="clear" w:color="auto" w:fill="FFFFFF" w:themeFill="background1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vertAlign w:val="baseline"/>
        </w:rPr>
        <w:t xml:space="preserve">Adverse events were graded according to the National Cancer Institute Common Terminology Criteria for Adverse Events (CTCAE) v5.0. No grade 4 or 5 adverse events related to TACE were </w:t>
      </w:r>
      <w:bookmarkStart w:id="0" w:name="_GoBack"/>
      <w:bookmarkEnd w:id="0"/>
      <w:r>
        <w:rPr>
          <w:rFonts w:ascii="Times New Roman" w:hAnsi="Times New Roman" w:cs="Times New Roman"/>
          <w:vertAlign w:val="baseline"/>
        </w:rPr>
        <w:t>observed.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vertAlign w:val="baseline"/>
        </w:rPr>
      </w:pPr>
      <w:r>
        <w:rPr>
          <w:rFonts w:hint="eastAsia" w:ascii="Times New Roman" w:hAnsi="Times New Roman" w:cs="Times New Roman"/>
          <w:vertAlign w:val="superscript"/>
        </w:rPr>
        <w:t>†</w:t>
      </w:r>
      <w:r>
        <w:rPr>
          <w:rFonts w:hint="default" w:ascii="Times New Roman" w:hAnsi="Times New Roman" w:cs="Times New Roman"/>
          <w:vertAlign w:val="baseline"/>
          <w:lang w:eastAsia="zh-Hans"/>
        </w:rPr>
        <w:t xml:space="preserve">Abnormal liver biochemistry included transient increase in </w:t>
      </w:r>
      <w:r>
        <w:rPr>
          <w:rFonts w:hint="eastAsia" w:ascii="Times New Roman" w:hAnsi="Times New Roman" w:cs="Times New Roman"/>
          <w:vertAlign w:val="baseline"/>
          <w:lang w:val="en-US" w:eastAsia="zh-Hans"/>
        </w:rPr>
        <w:t>a</w:t>
      </w:r>
      <w:r>
        <w:rPr>
          <w:rFonts w:hint="default" w:ascii="Times New Roman" w:hAnsi="Times New Roman" w:cs="Times New Roman"/>
          <w:vertAlign w:val="baseline"/>
          <w:lang w:eastAsia="zh-Hans"/>
        </w:rPr>
        <w:t>lanine aminotransferase (</w:t>
      </w:r>
      <w:r>
        <w:rPr>
          <w:rFonts w:hint="eastAsia" w:ascii="Times New Roman" w:hAnsi="Times New Roman" w:cs="Times New Roman"/>
          <w:vertAlign w:val="baseline"/>
          <w:lang w:val="en-US" w:eastAsia="zh-Hans"/>
        </w:rPr>
        <w:t>ALT</w:t>
      </w:r>
      <w:r>
        <w:rPr>
          <w:rFonts w:hint="default" w:ascii="Times New Roman" w:hAnsi="Times New Roman" w:cs="Times New Roman"/>
          <w:vertAlign w:val="baseline"/>
          <w:lang w:eastAsia="zh-Hans"/>
        </w:rPr>
        <w:t xml:space="preserve">), </w:t>
      </w:r>
      <w:r>
        <w:rPr>
          <w:rFonts w:hint="eastAsia" w:ascii="Times New Roman" w:hAnsi="Times New Roman" w:cs="Times New Roman"/>
          <w:vertAlign w:val="baseline"/>
          <w:lang w:val="en-US" w:eastAsia="zh-Hans"/>
        </w:rPr>
        <w:t>a</w:t>
      </w:r>
      <w:r>
        <w:rPr>
          <w:rFonts w:hint="default" w:ascii="Times New Roman" w:hAnsi="Times New Roman" w:cs="Times New Roman"/>
          <w:vertAlign w:val="baseline"/>
          <w:lang w:eastAsia="zh-Hans"/>
        </w:rPr>
        <w:t xml:space="preserve">spartate aminotransferase (AST), </w:t>
      </w:r>
      <w:r>
        <w:rPr>
          <w:rFonts w:hint="default" w:ascii="Times New Roman Regular" w:hAnsi="Times New Roman Regular" w:cs="Times New Roman Regular"/>
          <w:vertAlign w:val="baseline"/>
          <w:lang w:val="en-US" w:eastAsia="zh-Hans"/>
        </w:rPr>
        <w:t>γ</w:t>
      </w:r>
      <w:r>
        <w:rPr>
          <w:rFonts w:hint="default" w:ascii="Times New Roman" w:hAnsi="Times New Roman" w:cs="Times New Roman"/>
          <w:vertAlign w:val="baseline"/>
          <w:lang w:eastAsia="zh-Hans"/>
        </w:rPr>
        <w:t>-</w:t>
      </w:r>
      <w:r>
        <w:rPr>
          <w:rFonts w:hint="eastAsia" w:ascii="Times New Roman" w:hAnsi="Times New Roman" w:cs="Times New Roman"/>
          <w:vertAlign w:val="baseline"/>
          <w:lang w:val="en-US" w:eastAsia="zh-Hans"/>
        </w:rPr>
        <w:t>g</w:t>
      </w:r>
      <w:r>
        <w:rPr>
          <w:rFonts w:hint="default" w:ascii="Times New Roman" w:hAnsi="Times New Roman" w:cs="Times New Roman"/>
          <w:vertAlign w:val="baseline"/>
          <w:lang w:eastAsia="zh-Hans"/>
        </w:rPr>
        <w:t>lutamyl</w:t>
      </w:r>
      <w:r>
        <w:rPr>
          <w:rFonts w:hint="eastAsia" w:ascii="Times New Roman" w:hAnsi="Times New Roman" w:cs="Times New Roman"/>
          <w:vertAlign w:val="baseline"/>
          <w:lang w:val="en-US" w:eastAsia="zh-Hans"/>
        </w:rPr>
        <w:t>tr</w:t>
      </w:r>
      <w:r>
        <w:rPr>
          <w:rFonts w:hint="default" w:ascii="Times New Roman" w:hAnsi="Times New Roman" w:cs="Times New Roman"/>
          <w:vertAlign w:val="baseline"/>
          <w:lang w:eastAsia="zh-Hans"/>
        </w:rPr>
        <w:t>anspeptidase (GGT) or bilirubin, and transient decrease in albumin.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altName w:val="华文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Open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CE"/>
    <w:rsid w:val="000B4B4F"/>
    <w:rsid w:val="00194645"/>
    <w:rsid w:val="001D5BE8"/>
    <w:rsid w:val="0026319D"/>
    <w:rsid w:val="003328C9"/>
    <w:rsid w:val="0051009B"/>
    <w:rsid w:val="00585030"/>
    <w:rsid w:val="005A3821"/>
    <w:rsid w:val="00614654"/>
    <w:rsid w:val="00682D30"/>
    <w:rsid w:val="006C417C"/>
    <w:rsid w:val="00732747"/>
    <w:rsid w:val="0073666C"/>
    <w:rsid w:val="0076053B"/>
    <w:rsid w:val="007C1C26"/>
    <w:rsid w:val="0088738C"/>
    <w:rsid w:val="009E1D3E"/>
    <w:rsid w:val="00A95591"/>
    <w:rsid w:val="00B35BC4"/>
    <w:rsid w:val="00B44E99"/>
    <w:rsid w:val="00B620BE"/>
    <w:rsid w:val="00BA55E4"/>
    <w:rsid w:val="00BD631B"/>
    <w:rsid w:val="00D101D1"/>
    <w:rsid w:val="00DB63CE"/>
    <w:rsid w:val="00DF3216"/>
    <w:rsid w:val="00E77F72"/>
    <w:rsid w:val="00F85649"/>
    <w:rsid w:val="2CE47721"/>
    <w:rsid w:val="39625052"/>
    <w:rsid w:val="3DBF1325"/>
    <w:rsid w:val="4BFFD6A1"/>
    <w:rsid w:val="4ECF7167"/>
    <w:rsid w:val="4FF3A3A2"/>
    <w:rsid w:val="4FF45C47"/>
    <w:rsid w:val="514FE7E3"/>
    <w:rsid w:val="57073649"/>
    <w:rsid w:val="57F82D02"/>
    <w:rsid w:val="5D702297"/>
    <w:rsid w:val="5F7E4712"/>
    <w:rsid w:val="62FB0CC0"/>
    <w:rsid w:val="6BAFB290"/>
    <w:rsid w:val="6CFBFFC3"/>
    <w:rsid w:val="6F906DB0"/>
    <w:rsid w:val="6FFA7967"/>
    <w:rsid w:val="767FFA72"/>
    <w:rsid w:val="77FD2EE0"/>
    <w:rsid w:val="7A0F685B"/>
    <w:rsid w:val="7BDBF586"/>
    <w:rsid w:val="7BFE9FFE"/>
    <w:rsid w:val="7DDF67CB"/>
    <w:rsid w:val="7EFE8FFC"/>
    <w:rsid w:val="7EFF3C3A"/>
    <w:rsid w:val="7EFFF2FF"/>
    <w:rsid w:val="7F7D8DB0"/>
    <w:rsid w:val="7FB119A0"/>
    <w:rsid w:val="7FFCA090"/>
    <w:rsid w:val="7FFD3B4D"/>
    <w:rsid w:val="87F37A90"/>
    <w:rsid w:val="94FF65D1"/>
    <w:rsid w:val="96672762"/>
    <w:rsid w:val="B3BD1E17"/>
    <w:rsid w:val="B56FBE0E"/>
    <w:rsid w:val="B7CB3207"/>
    <w:rsid w:val="BE08A862"/>
    <w:rsid w:val="BFD7993A"/>
    <w:rsid w:val="D7E15EF6"/>
    <w:rsid w:val="DBFE6AE1"/>
    <w:rsid w:val="DDFFE397"/>
    <w:rsid w:val="EB6F3A61"/>
    <w:rsid w:val="EB796B25"/>
    <w:rsid w:val="F4EF822B"/>
    <w:rsid w:val="F61BAFE1"/>
    <w:rsid w:val="F7BEB069"/>
    <w:rsid w:val="FB7DAD9C"/>
    <w:rsid w:val="FB8F4250"/>
    <w:rsid w:val="FC4FF5B7"/>
    <w:rsid w:val="FD5F2171"/>
    <w:rsid w:val="FDFBAC11"/>
    <w:rsid w:val="FEF74E27"/>
    <w:rsid w:val="FF673C63"/>
    <w:rsid w:val="FFDBC5D7"/>
    <w:rsid w:val="FFEEE47D"/>
    <w:rsid w:val="FFF2F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ScaleCrop>false</ScaleCrop>
  <LinksUpToDate>false</LinksUpToDate>
  <CharactersWithSpaces>584</CharactersWithSpaces>
  <Application>WPS Office_3.0.0.4824_F1E327BC-269C-435d-A152-05C5408002CA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2020-10-27T05:06:00Z</dcterms:created>
  <dc:creator>lzh0731</dc:creator>
  <cp:lastModifiedBy>apple</cp:lastModifiedBy>
  <dcterms:modified xsi:type="dcterms:W3CDTF">2020-12-13T11:54:30Z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