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16301" w14:textId="77777777" w:rsidR="00AB584C" w:rsidRPr="006B0D66" w:rsidRDefault="00AB584C" w:rsidP="00B94355">
      <w:pPr>
        <w:rPr>
          <w:b/>
        </w:rPr>
      </w:pPr>
      <w:bookmarkStart w:id="0" w:name="_Hlk54598600"/>
      <w:bookmarkStart w:id="1" w:name="_Hlk54872725"/>
      <w:r w:rsidRPr="006B0D66">
        <w:rPr>
          <w:b/>
        </w:rPr>
        <w:t>SUPPLEMENTARY INFORMATION TO:</w:t>
      </w:r>
    </w:p>
    <w:p w14:paraId="308016F9" w14:textId="77777777" w:rsidR="00AB584C" w:rsidRPr="006B0D66" w:rsidRDefault="00AB584C" w:rsidP="00B94355">
      <w:pPr>
        <w:rPr>
          <w:b/>
        </w:rPr>
      </w:pPr>
    </w:p>
    <w:p w14:paraId="3CFE20BB" w14:textId="77777777" w:rsidR="00AB584C" w:rsidRPr="006B0D66" w:rsidRDefault="00AB584C" w:rsidP="00D860A4">
      <w:pPr>
        <w:rPr>
          <w:b/>
        </w:rPr>
      </w:pPr>
      <w:r w:rsidRPr="006B0D66">
        <w:rPr>
          <w:b/>
        </w:rPr>
        <w:t xml:space="preserve">Safety, Tolerability, Pharmacokinetics, and Pharmacodynamics of the MK2 Inhibitor ATI-450 in Healthy Subjects: </w:t>
      </w:r>
      <w:r w:rsidRPr="006B0D66">
        <w:rPr>
          <w:b/>
        </w:rPr>
        <w:br/>
        <w:t xml:space="preserve">A Placebo-Controlled, Randomized Phase 1 Study </w:t>
      </w:r>
    </w:p>
    <w:p w14:paraId="7C3A6A57" w14:textId="77777777" w:rsidR="00AB584C" w:rsidRPr="006B0D66" w:rsidRDefault="00AB584C" w:rsidP="00D860A4"/>
    <w:p w14:paraId="680E8596" w14:textId="77777777" w:rsidR="00AB584C" w:rsidRPr="006B0D66" w:rsidRDefault="00AB584C" w:rsidP="00D860A4">
      <w:r w:rsidRPr="006B0D66">
        <w:t>David Gordon, Edward T. Hellriegel, Heidi Rath Hope, David Burt, Joe Monahan</w:t>
      </w:r>
    </w:p>
    <w:p w14:paraId="1027C09C" w14:textId="77777777" w:rsidR="00AB584C" w:rsidRPr="006B0D66" w:rsidRDefault="00AB584C" w:rsidP="00D860A4"/>
    <w:p w14:paraId="6014D079" w14:textId="77777777" w:rsidR="00AB584C" w:rsidRPr="006B0D66" w:rsidRDefault="00AB584C" w:rsidP="00E65712">
      <w:pPr>
        <w:rPr>
          <w:b/>
        </w:rPr>
      </w:pPr>
      <w:r w:rsidRPr="006B0D66">
        <w:rPr>
          <w:b/>
          <w:bCs/>
        </w:rPr>
        <w:t>Methods</w:t>
      </w:r>
    </w:p>
    <w:p w14:paraId="198EADD1" w14:textId="77777777" w:rsidR="00AB584C" w:rsidRPr="006B0D66" w:rsidRDefault="00AB584C" w:rsidP="00E65712">
      <w:pPr>
        <w:ind w:left="360"/>
        <w:rPr>
          <w:bCs/>
        </w:rPr>
      </w:pPr>
      <w:r w:rsidRPr="006B0D66">
        <w:rPr>
          <w:bCs/>
        </w:rPr>
        <w:t>ATI-450 bioanalysis assay</w:t>
      </w:r>
    </w:p>
    <w:p w14:paraId="11AEE812" w14:textId="77777777" w:rsidR="00AB584C" w:rsidRPr="006B0D66" w:rsidRDefault="00AB584C" w:rsidP="00E65712">
      <w:pPr>
        <w:pStyle w:val="Heading2"/>
        <w:ind w:left="360"/>
        <w:rPr>
          <w:b w:val="0"/>
        </w:rPr>
      </w:pPr>
      <w:r w:rsidRPr="006B0D66">
        <w:rPr>
          <w:b w:val="0"/>
        </w:rPr>
        <w:t>Sample preparation for p-HSP27 analysis</w:t>
      </w:r>
    </w:p>
    <w:p w14:paraId="7E09B667" w14:textId="77777777" w:rsidR="00AB584C" w:rsidRPr="006B0D66" w:rsidRDefault="00AB584C" w:rsidP="00E65712">
      <w:pPr>
        <w:pStyle w:val="Heading2"/>
        <w:ind w:left="360"/>
        <w:rPr>
          <w:b w:val="0"/>
        </w:rPr>
      </w:pPr>
      <w:r w:rsidRPr="006B0D66">
        <w:rPr>
          <w:b w:val="0"/>
        </w:rPr>
        <w:t>Analysis of p-HSP27 (Ser78) levels using Luminex technology</w:t>
      </w:r>
    </w:p>
    <w:p w14:paraId="55A792A4" w14:textId="77777777" w:rsidR="00AB584C" w:rsidRPr="006B0D66" w:rsidRDefault="00AB584C" w:rsidP="00E65712">
      <w:pPr>
        <w:pStyle w:val="Heading2"/>
        <w:ind w:left="360"/>
        <w:rPr>
          <w:b w:val="0"/>
        </w:rPr>
      </w:pPr>
      <w:r w:rsidRPr="006B0D66">
        <w:rPr>
          <w:b w:val="0"/>
        </w:rPr>
        <w:t>Sample preparation for cytokine analysis</w:t>
      </w:r>
    </w:p>
    <w:p w14:paraId="18B175EC" w14:textId="77777777" w:rsidR="00AB584C" w:rsidRPr="006B0D66" w:rsidRDefault="00AB584C" w:rsidP="00873CC6">
      <w:pPr>
        <w:pStyle w:val="Heading2"/>
        <w:keepNext/>
        <w:ind w:left="360"/>
        <w:rPr>
          <w:b w:val="0"/>
        </w:rPr>
      </w:pPr>
      <w:r w:rsidRPr="006B0D66">
        <w:rPr>
          <w:b w:val="0"/>
        </w:rPr>
        <w:t>Analysis of cytokine levels using Meso Scale Discovery technology</w:t>
      </w:r>
    </w:p>
    <w:p w14:paraId="6B059821" w14:textId="469306B9" w:rsidR="00AB584C" w:rsidRPr="006B0D66" w:rsidRDefault="00AB584C" w:rsidP="00873CC6">
      <w:pPr>
        <w:tabs>
          <w:tab w:val="clear" w:pos="0"/>
        </w:tabs>
        <w:outlineLvl w:val="9"/>
        <w:rPr>
          <w:b/>
          <w:bCs/>
        </w:rPr>
      </w:pPr>
      <w:r w:rsidRPr="006B0D66">
        <w:rPr>
          <w:b/>
          <w:bCs/>
        </w:rPr>
        <w:t xml:space="preserve">Supplementary Figure </w:t>
      </w:r>
      <w:r w:rsidR="00A95D90" w:rsidRPr="006B0D66">
        <w:rPr>
          <w:b/>
          <w:bCs/>
        </w:rPr>
        <w:t>S1</w:t>
      </w:r>
    </w:p>
    <w:p w14:paraId="50AA0912" w14:textId="77777777" w:rsidR="00AB584C" w:rsidRPr="006B0D66" w:rsidRDefault="00AB584C" w:rsidP="00873CC6">
      <w:pPr>
        <w:tabs>
          <w:tab w:val="clear" w:pos="0"/>
        </w:tabs>
        <w:outlineLvl w:val="9"/>
        <w:rPr>
          <w:b/>
          <w:bCs/>
        </w:rPr>
      </w:pPr>
      <w:r w:rsidRPr="006B0D66">
        <w:rPr>
          <w:b/>
          <w:bCs/>
        </w:rPr>
        <w:t>Supplementary Table S1</w:t>
      </w:r>
    </w:p>
    <w:p w14:paraId="262AE4B6" w14:textId="77777777" w:rsidR="00AB584C" w:rsidRPr="006B0D66" w:rsidRDefault="00AB584C" w:rsidP="00873CC6">
      <w:pPr>
        <w:tabs>
          <w:tab w:val="clear" w:pos="0"/>
        </w:tabs>
        <w:outlineLvl w:val="9"/>
        <w:rPr>
          <w:b/>
          <w:bCs/>
        </w:rPr>
      </w:pPr>
      <w:r w:rsidRPr="006B0D66">
        <w:rPr>
          <w:b/>
          <w:bCs/>
        </w:rPr>
        <w:t>Supplementary Table S2</w:t>
      </w:r>
    </w:p>
    <w:p w14:paraId="5694E68B" w14:textId="77777777" w:rsidR="00AB584C" w:rsidRPr="006B0D66" w:rsidRDefault="00AB584C" w:rsidP="00873CC6">
      <w:pPr>
        <w:tabs>
          <w:tab w:val="clear" w:pos="0"/>
        </w:tabs>
        <w:outlineLvl w:val="9"/>
        <w:rPr>
          <w:b/>
          <w:bCs/>
        </w:rPr>
      </w:pPr>
      <w:r w:rsidRPr="006B0D66">
        <w:rPr>
          <w:b/>
          <w:bCs/>
        </w:rPr>
        <w:t>Supplementary Table S3</w:t>
      </w:r>
    </w:p>
    <w:p w14:paraId="295D46D4" w14:textId="77777777" w:rsidR="00AB584C" w:rsidRPr="006B0D66" w:rsidRDefault="00AB584C" w:rsidP="00873CC6">
      <w:pPr>
        <w:tabs>
          <w:tab w:val="clear" w:pos="0"/>
        </w:tabs>
        <w:outlineLvl w:val="9"/>
        <w:rPr>
          <w:b/>
          <w:bCs/>
        </w:rPr>
      </w:pPr>
      <w:r w:rsidRPr="006B0D66">
        <w:rPr>
          <w:b/>
          <w:bCs/>
        </w:rPr>
        <w:t xml:space="preserve"> </w:t>
      </w:r>
      <w:r w:rsidRPr="006B0D66">
        <w:rPr>
          <w:b/>
          <w:bCs/>
        </w:rPr>
        <w:br w:type="page"/>
      </w:r>
    </w:p>
    <w:p w14:paraId="7A72EECE" w14:textId="77777777" w:rsidR="00AB584C" w:rsidRPr="006B0D66" w:rsidRDefault="00AB584C" w:rsidP="00B94355">
      <w:pPr>
        <w:rPr>
          <w:b/>
        </w:rPr>
      </w:pPr>
      <w:r w:rsidRPr="006B0D66">
        <w:rPr>
          <w:b/>
          <w:bCs/>
        </w:rPr>
        <w:lastRenderedPageBreak/>
        <w:t>Methods</w:t>
      </w:r>
    </w:p>
    <w:p w14:paraId="26405318" w14:textId="77777777" w:rsidR="00AB584C" w:rsidRPr="006B0D66" w:rsidRDefault="00AB584C" w:rsidP="00B94355">
      <w:pPr>
        <w:rPr>
          <w:b/>
        </w:rPr>
      </w:pPr>
      <w:r w:rsidRPr="006B0D66">
        <w:rPr>
          <w:b/>
        </w:rPr>
        <w:t>ATI-450 bioanalysis assay</w:t>
      </w:r>
    </w:p>
    <w:p w14:paraId="0CC075BF" w14:textId="77777777" w:rsidR="00AB584C" w:rsidRPr="006B0D66" w:rsidRDefault="00AB584C" w:rsidP="0067278E">
      <w:r w:rsidRPr="006B0D66">
        <w:t xml:space="preserve">Sample processing was performed by protein precipitation using a 50.0 μL sample volume. Separation between potential metabolites and interfering endogenous compounds was achieved by </w:t>
      </w:r>
      <w:r w:rsidRPr="006B0D66">
        <w:rPr>
          <w:rFonts w:cs="Arial"/>
          <w:color w:val="222222"/>
          <w:shd w:val="clear" w:color="auto" w:fill="FFFFFF"/>
        </w:rPr>
        <w:t xml:space="preserve">liquid chromatography with tandem mass spectrometry </w:t>
      </w:r>
      <w:r w:rsidRPr="006B0D66">
        <w:t>using a Waters Acquity UPLC BEH C18 column (2.1 x 50 mm, 1.7 μm particle size) at 40°C using 10 mM ammonium formate with 0.3% formic acid as mobile phase A and 50:50:0.3 acetonitrile:methanol:formic acid as mobile phase B, operating at isocratic conditions (with post-elution gradient wash-off) with a flow rate of 0.700 mL/min. A triple quadrupole 6500 mass spectrometer equipped with a turbo-ion spray source was used for detection in positive ion mode. Quantification was based on multiple reaction monitoring of the transitions of m/z 514.3</w:t>
      </w:r>
      <w:r w:rsidRPr="006B0D66">
        <w:rPr>
          <w:rFonts w:ascii="Wingdings" w:eastAsia="Wingdings" w:hAnsi="Wingdings" w:cs="Wingdings"/>
        </w:rPr>
        <w:t>à</w:t>
      </w:r>
      <w:r w:rsidRPr="006B0D66">
        <w:t>297.2 for ATI-450 and 517.3</w:t>
      </w:r>
      <w:r w:rsidRPr="006B0D66">
        <w:rPr>
          <w:rFonts w:ascii="Wingdings" w:eastAsia="Wingdings" w:hAnsi="Wingdings" w:cs="Wingdings"/>
        </w:rPr>
        <w:t>à</w:t>
      </w:r>
      <w:r w:rsidRPr="006B0D66">
        <w:t>336.2 for the internal standard, ATI-450-</w:t>
      </w:r>
      <w:r w:rsidRPr="006B0D66">
        <w:rPr>
          <w:vertAlign w:val="superscript"/>
        </w:rPr>
        <w:t>13</w:t>
      </w:r>
      <w:r w:rsidRPr="006B0D66">
        <w:t>C</w:t>
      </w:r>
      <w:r w:rsidRPr="006B0D66">
        <w:rPr>
          <w:vertAlign w:val="subscript"/>
        </w:rPr>
        <w:t>3</w:t>
      </w:r>
      <w:r w:rsidRPr="006B0D66">
        <w:t>. A linear calibration curve ranging from 0.500 to 500 ng/mL with a 1/x</w:t>
      </w:r>
      <w:r w:rsidRPr="006B0D66">
        <w:rPr>
          <w:vertAlign w:val="superscript"/>
        </w:rPr>
        <w:t>2</w:t>
      </w:r>
      <w:r w:rsidRPr="006B0D66">
        <w:t xml:space="preserve"> weighting factor was used. The method was minimally required to have intra</w:t>
      </w:r>
      <w:r w:rsidRPr="006B0D66">
        <w:rPr>
          <w:rFonts w:ascii="Cambria Math" w:hAnsi="Cambria Math" w:cs="Cambria Math"/>
        </w:rPr>
        <w:t>‐</w:t>
      </w:r>
      <w:r w:rsidRPr="006B0D66">
        <w:t xml:space="preserve"> and inter-day precision (coefficients of variation) for pooled plasma quality control samples of ≤15% except at the lower limit of quantitation, where ≤20% was acceptable. The calculated concentrations (both inter</w:t>
      </w:r>
      <w:r w:rsidRPr="006B0D66">
        <w:rPr>
          <w:rFonts w:ascii="Cambria Math" w:hAnsi="Cambria Math" w:cs="Cambria Math"/>
        </w:rPr>
        <w:t>‐</w:t>
      </w:r>
      <w:r w:rsidRPr="006B0D66">
        <w:t xml:space="preserve"> and intra-day) were required to be within 15% of nominal at all concentrations except the lower limit of quantitation, where up to 20% deviation from nominal was acceptable. The precision and accuracy of the method exceeded these minimum requirements for assay validation. In addition, </w:t>
      </w:r>
      <w:r w:rsidRPr="006B0D66">
        <w:lastRenderedPageBreak/>
        <w:t>stability of the analyte in frozen K</w:t>
      </w:r>
      <w:r w:rsidRPr="006B0D66">
        <w:rPr>
          <w:vertAlign w:val="subscript"/>
        </w:rPr>
        <w:t>2</w:t>
      </w:r>
      <w:r w:rsidRPr="006B0D66">
        <w:t>-EDTA human plasma was demonstrated for periods exceeding the storage periods of the samples prior to analysis, as well as under all conditions to which study samples or working solutions were subjected.</w:t>
      </w:r>
    </w:p>
    <w:p w14:paraId="4E71D270" w14:textId="77777777" w:rsidR="00AB584C" w:rsidRPr="006B0D66" w:rsidRDefault="00AB584C" w:rsidP="0067278E"/>
    <w:p w14:paraId="7FA2F969" w14:textId="77777777" w:rsidR="00AB584C" w:rsidRPr="006B0D66" w:rsidRDefault="00AB584C" w:rsidP="005E6BFF">
      <w:pPr>
        <w:pStyle w:val="Heading2"/>
      </w:pPr>
      <w:bookmarkStart w:id="2" w:name="_Hlk49881622"/>
      <w:r w:rsidRPr="006B0D66">
        <w:t>Sample preparation for p-HSP27 analysis</w:t>
      </w:r>
    </w:p>
    <w:p w14:paraId="2A473279" w14:textId="77777777" w:rsidR="00AB584C" w:rsidRPr="006B0D66" w:rsidRDefault="00AB584C" w:rsidP="00B068F0">
      <w:pPr>
        <w:rPr>
          <w:rFonts w:cs="Arial"/>
        </w:rPr>
      </w:pPr>
      <w:r w:rsidRPr="006B0D66">
        <w:t xml:space="preserve">For p-HSP27 analysis, </w:t>
      </w:r>
      <w:r w:rsidRPr="006B0D66">
        <w:rPr>
          <w:rFonts w:cs="Arial"/>
        </w:rPr>
        <w:t>1-mL aliquots of each sample were transferred into six 2-mL microtubes with subsequent treatment designation: “A” for lipopolysaccharide stimulation only (maximum signal), “B” for ex vivo added ATI-450 samples that received lipopolysaccharide stimulation (maximum inhibition), ‘C’ for unstimulated. Treatment groups consisted of 3 tubes for group “A,” 2 tubes for group “B,” and 1 tube for group “C.”</w:t>
      </w:r>
    </w:p>
    <w:p w14:paraId="08681338" w14:textId="77777777" w:rsidR="00AB584C" w:rsidRPr="006B0D66" w:rsidRDefault="00AB584C" w:rsidP="00B068F0">
      <w:pPr>
        <w:rPr>
          <w:rFonts w:cs="Arial"/>
        </w:rPr>
      </w:pPr>
    </w:p>
    <w:p w14:paraId="1BB5F4DB" w14:textId="77777777" w:rsidR="00AB584C" w:rsidRPr="006B0D66" w:rsidRDefault="00AB584C" w:rsidP="00B068F0">
      <w:pPr>
        <w:rPr>
          <w:rFonts w:cs="Arial"/>
        </w:rPr>
      </w:pPr>
      <w:r w:rsidRPr="006B0D66">
        <w:rPr>
          <w:rFonts w:cs="Arial"/>
        </w:rPr>
        <w:t xml:space="preserve">Dimethyl sulfoxide (DMSO) was added to all tubes in groups “A” and “C” to a final concentration of 0.1% (10 </w:t>
      </w:r>
      <w:r w:rsidRPr="006B0D66">
        <w:rPr>
          <w:rFonts w:ascii="Symbol" w:eastAsia="Symbol" w:hAnsi="Symbol" w:cs="Symbol"/>
        </w:rPr>
        <w:t>m</w:t>
      </w:r>
      <w:r w:rsidRPr="006B0D66">
        <w:rPr>
          <w:rFonts w:cs="Arial"/>
        </w:rPr>
        <w:t xml:space="preserve">L per mL of a 10% DMSO solution in Dulbecco’s Modified Eagle Medium (DMEM) containing 10% fetal bovine serum (FBS) and 1% penicillin/streptomycin/glutamine). Samples were then rocked gently at room temperature. A stock solution of ATI-450 at 10 mM in 100% DMSO was diluted to 1 mM in DMEM containing 10% FBS and 1% penicillin/streptomycin, and 10 </w:t>
      </w:r>
      <w:r w:rsidRPr="006B0D66">
        <w:rPr>
          <w:rFonts w:ascii="Symbol" w:eastAsia="Symbol" w:hAnsi="Symbol" w:cs="Symbol"/>
        </w:rPr>
        <w:t>m</w:t>
      </w:r>
      <w:r w:rsidRPr="006B0D66">
        <w:rPr>
          <w:rFonts w:cs="Arial"/>
        </w:rPr>
        <w:t xml:space="preserve">L of this working solution was added per mL of blood in group “B” samples to give a final concentration of 10 </w:t>
      </w:r>
      <w:r w:rsidRPr="006B0D66">
        <w:rPr>
          <w:rFonts w:ascii="Symbol" w:eastAsia="Symbol" w:hAnsi="Symbol" w:cs="Symbol"/>
        </w:rPr>
        <w:t>m</w:t>
      </w:r>
      <w:r w:rsidRPr="006B0D66">
        <w:rPr>
          <w:rFonts w:cs="Arial"/>
        </w:rPr>
        <w:t>M in 0.1% DMSO. Samples were then rocked gently at room temperature for a minimum of 1 hour.</w:t>
      </w:r>
    </w:p>
    <w:p w14:paraId="2E7F412A" w14:textId="77777777" w:rsidR="00AB584C" w:rsidRPr="006B0D66" w:rsidRDefault="00AB584C" w:rsidP="00B068F0">
      <w:pPr>
        <w:rPr>
          <w:rFonts w:cs="Arial"/>
        </w:rPr>
      </w:pPr>
    </w:p>
    <w:p w14:paraId="62F3A64C" w14:textId="77777777" w:rsidR="00AB584C" w:rsidRPr="006B0D66" w:rsidRDefault="00AB584C" w:rsidP="00B068F0">
      <w:pPr>
        <w:rPr>
          <w:rFonts w:cs="Arial"/>
        </w:rPr>
      </w:pPr>
      <w:r w:rsidRPr="006B0D66">
        <w:rPr>
          <w:rFonts w:cs="Arial"/>
        </w:rPr>
        <w:t xml:space="preserve">Samples in groups “A” and “B” were stimulated with lipopolysaccharide at a final concentration of 100 ng/mL for 22 minutes at room temperature. A stock solution of lipopolysaccharide at 1 mg/mL in DMEM containing 10% FBS and 1% penicillin/streptomycin was diluted to 10 </w:t>
      </w:r>
      <w:r w:rsidRPr="006B0D66">
        <w:rPr>
          <w:rFonts w:ascii="Symbol" w:eastAsia="Symbol" w:hAnsi="Symbol" w:cs="Symbol"/>
        </w:rPr>
        <w:t>m</w:t>
      </w:r>
      <w:r w:rsidRPr="006B0D66">
        <w:rPr>
          <w:rFonts w:cs="Arial"/>
        </w:rPr>
        <w:t xml:space="preserve">g/mL in DMEM containing 10% FBS and 1% penicillin/streptomycin, and 10 </w:t>
      </w:r>
      <w:r w:rsidRPr="006B0D66">
        <w:rPr>
          <w:rFonts w:ascii="Symbol" w:eastAsia="Symbol" w:hAnsi="Symbol" w:cs="Symbol"/>
        </w:rPr>
        <w:t>m</w:t>
      </w:r>
      <w:r w:rsidRPr="006B0D66">
        <w:rPr>
          <w:rFonts w:cs="Arial"/>
        </w:rPr>
        <w:t>L of this working solution was added per mL of blood. Samples were gently rocked at room temperature for 11 minutes, then placed upright for 11 minutes prior to peripheral blood mononuclear cells (PBMC) isolation.</w:t>
      </w:r>
    </w:p>
    <w:p w14:paraId="383F9ABC" w14:textId="77777777" w:rsidR="00AB584C" w:rsidRPr="006B0D66" w:rsidRDefault="00AB584C" w:rsidP="00B068F0">
      <w:pPr>
        <w:rPr>
          <w:rFonts w:cs="Arial"/>
        </w:rPr>
      </w:pPr>
    </w:p>
    <w:p w14:paraId="7B1FF210" w14:textId="77777777" w:rsidR="00AB584C" w:rsidRPr="006B0D66" w:rsidRDefault="00AB584C" w:rsidP="00B068F0">
      <w:pPr>
        <w:rPr>
          <w:rFonts w:cs="Arial"/>
        </w:rPr>
      </w:pPr>
      <w:r w:rsidRPr="006B0D66">
        <w:rPr>
          <w:rFonts w:cs="Arial"/>
        </w:rPr>
        <w:t xml:space="preserve">Ten </w:t>
      </w:r>
      <w:r w:rsidRPr="006B0D66">
        <w:rPr>
          <w:rFonts w:ascii="Symbol" w:eastAsia="Symbol" w:hAnsi="Symbol" w:cs="Symbol"/>
        </w:rPr>
        <w:t>m</w:t>
      </w:r>
      <w:r w:rsidRPr="006B0D66">
        <w:rPr>
          <w:rFonts w:cs="Arial"/>
        </w:rPr>
        <w:t>L of DMEM containing 10% FBS only was added per mL of blood in group “C” for all patient samples (unstimulated samples). Samples were gently rocked at room temperature for 11 minutes, then placed upright for 11 minutes prior to PBMC isolation.</w:t>
      </w:r>
    </w:p>
    <w:p w14:paraId="139652DD" w14:textId="77777777" w:rsidR="00AB584C" w:rsidRPr="006B0D66" w:rsidRDefault="00AB584C" w:rsidP="00B068F0">
      <w:pPr>
        <w:rPr>
          <w:rFonts w:cs="Arial"/>
        </w:rPr>
      </w:pPr>
    </w:p>
    <w:p w14:paraId="08F5B64A" w14:textId="77777777" w:rsidR="00AB584C" w:rsidRPr="006B0D66" w:rsidRDefault="00AB584C" w:rsidP="00B06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6B0D66">
        <w:rPr>
          <w:rFonts w:cs="Arial"/>
        </w:rPr>
        <w:t>Upon completion of treatment (lipopolysaccharide stimulated or unstimulated) for each sample, PBMCs were isolated from each human whole blood aliquot in all treatment groups. One mL of blood from each sample was gently layered onto 0.75 mL of Histopaque-1077 in a 2-mL microcentrifuge tube. Histopaque-1077 was maintained at room temperature. The samples were centrifuged for 2 minutes at 16,000 x g in an Eppendorf microcentrifuge. The interface and upper layers were removed and added to tubes containing 1 mL cold Dulbecco’s phosphate-</w:t>
      </w:r>
      <w:r w:rsidRPr="006B0D66">
        <w:rPr>
          <w:rFonts w:cs="Arial"/>
        </w:rPr>
        <w:lastRenderedPageBreak/>
        <w:t xml:space="preserve">buffered saline (DPBS). These samples were then centrifuged for 30 seconds at 16,000 x g in an Eppendorf microcentrifuge to pellet the cells. The buffer supernatant was removed by aspiration and the pellets were re-suspended in 1 mL of cold DPBS. The pellets from each sample were then re-pelleted, as described above. The buffer was removed by aspiration and the final pellets were lysed in 100 </w:t>
      </w:r>
      <w:r w:rsidRPr="006B0D66">
        <w:rPr>
          <w:rFonts w:ascii="Symbol" w:eastAsia="Symbol" w:hAnsi="Symbol" w:cs="Symbol"/>
        </w:rPr>
        <w:t>m</w:t>
      </w:r>
      <w:r w:rsidRPr="006B0D66">
        <w:rPr>
          <w:rFonts w:cs="Arial"/>
        </w:rPr>
        <w:t>L of complete lysis buffer (MSD Tris lysis buffer, 1X Halt</w:t>
      </w:r>
      <w:r w:rsidRPr="006B0D66">
        <w:rPr>
          <w:rFonts w:cs="Arial"/>
          <w:vertAlign w:val="superscript"/>
        </w:rPr>
        <w:t>TM</w:t>
      </w:r>
      <w:r w:rsidRPr="006B0D66">
        <w:rPr>
          <w:rFonts w:cs="Arial"/>
        </w:rPr>
        <w:t xml:space="preserve"> Protease inhibitor cocktail, 1X phosphatase inhibitor cocktail 2, 1X phosphatase inhibitor cocktail 3, 2 mM phenylmethylsulfonyl fluoride, 2 mM sodium fluoride and 1 mM sodium vanadate). Samples were vortexed until the cell pellet fully dissolved and then were flash frozen on dry ice.</w:t>
      </w:r>
    </w:p>
    <w:p w14:paraId="555EEBBB" w14:textId="77777777" w:rsidR="00AB584C" w:rsidRPr="006B0D66" w:rsidRDefault="00AB584C" w:rsidP="00B10138"/>
    <w:p w14:paraId="35863D46" w14:textId="77777777" w:rsidR="00AB584C" w:rsidRPr="006B0D66" w:rsidRDefault="00AB584C" w:rsidP="00862CDE">
      <w:pPr>
        <w:pStyle w:val="Heading2"/>
      </w:pPr>
      <w:r w:rsidRPr="006B0D66">
        <w:t>Analysis of p-HSP27 (Ser78) levels using Luminex technology</w:t>
      </w:r>
    </w:p>
    <w:p w14:paraId="79E9862F" w14:textId="77777777" w:rsidR="00AB584C" w:rsidRPr="006B0D66" w:rsidRDefault="00AB584C" w:rsidP="006F0D3E">
      <w:r w:rsidRPr="006B0D66">
        <w:t>The lysates were analyzed for HSP27 phosphorylation with a custom Milliplex</w:t>
      </w:r>
      <w:r w:rsidRPr="006B0D66">
        <w:rPr>
          <w:rFonts w:cs="Arial"/>
          <w:vertAlign w:val="superscript"/>
        </w:rPr>
        <w:t>®</w:t>
      </w:r>
      <w:r w:rsidRPr="006B0D66">
        <w:t xml:space="preserve"> MAP Human Phospho-HSP27(Ser78) Cell Signaling Magnetic Bead Kit from Millipore Sigma (Burlington, MA) using the kit-prescribed immunoassay protocol for a 96-well solid plate and hand-held magnetic separation block. Once all sample lysates from a given cohort were generated, the lysates were thawed at 4</w:t>
      </w:r>
      <w:r w:rsidRPr="006B0D66">
        <w:rPr>
          <w:vertAlign w:val="superscript"/>
        </w:rPr>
        <w:t>o</w:t>
      </w:r>
      <w:r w:rsidRPr="006B0D66">
        <w:t xml:space="preserve">C and transferred to a round-bottom 96-well polypropylene master plate. A daughter plate consisting of a 2-fold dilution of each lysate (17 </w:t>
      </w:r>
      <w:r w:rsidRPr="006B0D66">
        <w:rPr>
          <w:rFonts w:ascii="Symbol" w:eastAsia="Symbol" w:hAnsi="Symbol" w:cs="Symbol"/>
        </w:rPr>
        <w:t>m</w:t>
      </w:r>
      <w:r w:rsidRPr="006B0D66">
        <w:t xml:space="preserve">L of lysate plus 17 </w:t>
      </w:r>
      <w:r w:rsidRPr="006B0D66">
        <w:rPr>
          <w:rFonts w:ascii="Symbol" w:eastAsia="Symbol" w:hAnsi="Symbol" w:cs="Symbol"/>
        </w:rPr>
        <w:t>m</w:t>
      </w:r>
      <w:r w:rsidRPr="006B0D66">
        <w:t xml:space="preserve">L of Milliplex MAP assay buffer 2) was generated for each master plate. The diluted lysates from the daughter plates were used in the assay. </w:t>
      </w:r>
    </w:p>
    <w:p w14:paraId="0ECDBE86" w14:textId="77777777" w:rsidR="00AB584C" w:rsidRPr="006B0D66" w:rsidRDefault="00AB584C" w:rsidP="006F0D3E"/>
    <w:p w14:paraId="0612E17E" w14:textId="77777777" w:rsidR="00AB584C" w:rsidRPr="006B0D66" w:rsidRDefault="00AB584C" w:rsidP="006F0D3E">
      <w:r w:rsidRPr="006B0D66">
        <w:t xml:space="preserve">The 96-well, flat-bottom, clear-bottom black plates provided in the kit were prewashed with 50 </w:t>
      </w:r>
      <w:r w:rsidRPr="006B0D66">
        <w:rPr>
          <w:rFonts w:ascii="Symbol" w:eastAsia="Symbol" w:hAnsi="Symbol" w:cs="Symbol"/>
        </w:rPr>
        <w:t>m</w:t>
      </w:r>
      <w:r w:rsidRPr="006B0D66">
        <w:t xml:space="preserve">L/well of assay buffer 2 for 10 minutes. The wash was decanted and 1X HSP27 magnetic beads in assay buffer 2 were added to each well at 25 </w:t>
      </w:r>
      <w:r w:rsidRPr="006B0D66">
        <w:rPr>
          <w:rFonts w:ascii="Symbol" w:eastAsia="Symbol" w:hAnsi="Symbol" w:cs="Symbol"/>
        </w:rPr>
        <w:t>m</w:t>
      </w:r>
      <w:r w:rsidRPr="006B0D66">
        <w:t xml:space="preserve">L/well. The diluted lysates from the daughter plates were then added at 25 </w:t>
      </w:r>
      <w:r w:rsidRPr="006B0D66">
        <w:rPr>
          <w:rFonts w:ascii="Symbol" w:eastAsia="Symbol" w:hAnsi="Symbol" w:cs="Symbol"/>
        </w:rPr>
        <w:t>m</w:t>
      </w:r>
      <w:r w:rsidRPr="006B0D66">
        <w:t>L/well. The plates were sealed and incubated overnight at 4</w:t>
      </w:r>
      <w:r w:rsidRPr="006B0D66">
        <w:rPr>
          <w:vertAlign w:val="superscript"/>
        </w:rPr>
        <w:t>o</w:t>
      </w:r>
      <w:r w:rsidRPr="006B0D66">
        <w:t>C with shaking in the dark.</w:t>
      </w:r>
    </w:p>
    <w:p w14:paraId="1D6144D7" w14:textId="77777777" w:rsidR="00AB584C" w:rsidRPr="006B0D66" w:rsidRDefault="00AB584C" w:rsidP="006F0D3E"/>
    <w:p w14:paraId="379AAA12" w14:textId="77777777" w:rsidR="00AB584C" w:rsidRPr="006B0D66" w:rsidRDefault="00AB584C" w:rsidP="006F0D3E">
      <w:r w:rsidRPr="006B0D66">
        <w:t xml:space="preserve">After the overnight incubation, using the hand-held magnetic separation block, the samples were decanted and plates were washed 2 times with assay buffer 2. Biotin-labeled detection antibody (1X in assay buffer 2) was added at 25 </w:t>
      </w:r>
      <w:r w:rsidRPr="006B0D66">
        <w:rPr>
          <w:rFonts w:ascii="Symbol" w:eastAsia="Symbol" w:hAnsi="Symbol" w:cs="Symbol"/>
        </w:rPr>
        <w:t>m</w:t>
      </w:r>
      <w:r w:rsidRPr="006B0D66">
        <w:t xml:space="preserve">L/well to all plates and incubated for 1 hour. All incubations were at room temperature with shaking in the dark. The detection antibody was then decanted using the hand-held magnetic separation block and streptavidin-phycoerythrin (PE; 1X in assay buffer 2) was added to each well at 25 </w:t>
      </w:r>
      <w:r w:rsidRPr="006B0D66">
        <w:rPr>
          <w:rFonts w:ascii="Symbol" w:eastAsia="Symbol" w:hAnsi="Symbol" w:cs="Symbol"/>
        </w:rPr>
        <w:t>m</w:t>
      </w:r>
      <w:r w:rsidRPr="006B0D66">
        <w:t>L/well. The plates were then incubated for 15 minutes. Amplification buffer (1X in assay buffer 2) was added to the streptavidin-PE</w:t>
      </w:r>
      <w:r w:rsidRPr="006B0D66">
        <w:rPr>
          <w:rFonts w:cs="Arial"/>
        </w:rPr>
        <w:t>–</w:t>
      </w:r>
      <w:r w:rsidRPr="006B0D66">
        <w:t xml:space="preserve">containing wells at 25 </w:t>
      </w:r>
      <w:r w:rsidRPr="006B0D66">
        <w:rPr>
          <w:rFonts w:ascii="Symbol" w:eastAsia="Symbol" w:hAnsi="Symbol" w:cs="Symbol"/>
        </w:rPr>
        <w:t>m</w:t>
      </w:r>
      <w:r w:rsidRPr="006B0D66">
        <w:t xml:space="preserve">L/well and incubated an additional 15 minutes. Using the hand-held magnetic separation block, the streptavidin-PE/amplification buffer was removed by decanting. Assay buffer 2 was added to each well at 150 </w:t>
      </w:r>
      <w:r w:rsidRPr="006B0D66">
        <w:rPr>
          <w:rFonts w:ascii="Symbol" w:eastAsia="Symbol" w:hAnsi="Symbol" w:cs="Symbol"/>
        </w:rPr>
        <w:t>m</w:t>
      </w:r>
      <w:r w:rsidRPr="006B0D66">
        <w:t>L/well. The plates were placed on the plate shaker for a minimum of 5 minutes, then analyzed using the Luminex</w:t>
      </w:r>
      <w:r w:rsidRPr="006B0D66">
        <w:rPr>
          <w:vertAlign w:val="superscript"/>
        </w:rPr>
        <w:t>®</w:t>
      </w:r>
      <w:r w:rsidRPr="006B0D66">
        <w:t xml:space="preserve"> 100/200 Instrument (Luminex Corporation, Austin, TX). </w:t>
      </w:r>
    </w:p>
    <w:p w14:paraId="437B56B2" w14:textId="77777777" w:rsidR="00AB584C" w:rsidRPr="006B0D66" w:rsidRDefault="00AB584C" w:rsidP="006F0D3E"/>
    <w:p w14:paraId="6DB9C28D" w14:textId="77777777" w:rsidR="00AB584C" w:rsidRPr="006B0D66" w:rsidRDefault="00AB584C" w:rsidP="005B090A">
      <w:pPr>
        <w:pStyle w:val="Heading2"/>
      </w:pPr>
      <w:r w:rsidRPr="006B0D66">
        <w:t>Sample preparation for cytokine analysis</w:t>
      </w:r>
    </w:p>
    <w:p w14:paraId="0A699DE7" w14:textId="77777777" w:rsidR="00AB584C" w:rsidRPr="006B0D66" w:rsidRDefault="00AB584C" w:rsidP="00D84D1F">
      <w:pPr>
        <w:rPr>
          <w:rFonts w:cs="Arial"/>
        </w:rPr>
      </w:pPr>
      <w:r w:rsidRPr="006B0D66">
        <w:rPr>
          <w:rFonts w:cs="Arial"/>
        </w:rPr>
        <w:t xml:space="preserve">For each sample, 180 </w:t>
      </w:r>
      <w:r w:rsidRPr="006B0D66">
        <w:rPr>
          <w:rFonts w:ascii="Symbol" w:eastAsia="Symbol" w:hAnsi="Symbol" w:cs="Symbol"/>
        </w:rPr>
        <w:t>m</w:t>
      </w:r>
      <w:r w:rsidRPr="006B0D66">
        <w:rPr>
          <w:rFonts w:cs="Arial"/>
        </w:rPr>
        <w:t xml:space="preserve">L aliquots were transferred into 7 wells of a round-bottom 96-well tissue culture polystyrene low-evaporation plate. Of the 7 wells for each sample, 3 were designated “A” for lipopolysaccharide stimulation only (maximum signal), 2 were designated “B” for ex vivo added ATI-450 samples that received lipopolysaccharide stimulation (maximum inhibition), and 2 were designated “C” for unstimulated samples. No outer wells on the plates were used and all wells surrounding the samples contained 200 </w:t>
      </w:r>
      <w:r w:rsidRPr="006B0D66">
        <w:rPr>
          <w:rFonts w:ascii="Symbol" w:eastAsia="Symbol" w:hAnsi="Symbol" w:cs="Symbol"/>
        </w:rPr>
        <w:t>m</w:t>
      </w:r>
      <w:r w:rsidRPr="006B0D66">
        <w:rPr>
          <w:rFonts w:eastAsia="Symbol" w:cs="Arial"/>
        </w:rPr>
        <w:t>L</w:t>
      </w:r>
      <w:r w:rsidRPr="006B0D66">
        <w:rPr>
          <w:rFonts w:cs="Arial"/>
        </w:rPr>
        <w:t xml:space="preserve"> of phosphate-buffered saline.</w:t>
      </w:r>
    </w:p>
    <w:p w14:paraId="10DB5201" w14:textId="77777777" w:rsidR="00AB584C" w:rsidRPr="006B0D66" w:rsidRDefault="00AB584C" w:rsidP="00D84D1F">
      <w:pPr>
        <w:rPr>
          <w:rFonts w:cs="Arial"/>
        </w:rPr>
      </w:pPr>
    </w:p>
    <w:p w14:paraId="48E5B4D9" w14:textId="77777777" w:rsidR="00AB584C" w:rsidRPr="006B0D66" w:rsidRDefault="00AB584C" w:rsidP="00D84D1F">
      <w:pPr>
        <w:rPr>
          <w:rFonts w:cs="Arial"/>
        </w:rPr>
      </w:pPr>
      <w:r w:rsidRPr="006B0D66">
        <w:rPr>
          <w:rFonts w:cs="Arial"/>
        </w:rPr>
        <w:t xml:space="preserve">DMSO was added to all wells in groups “A” and “C” to a final concentration of 0.1% (10 </w:t>
      </w:r>
      <w:r w:rsidRPr="006B0D66">
        <w:rPr>
          <w:rFonts w:ascii="Symbol" w:eastAsia="Symbol" w:hAnsi="Symbol" w:cs="Symbol"/>
        </w:rPr>
        <w:t>m</w:t>
      </w:r>
      <w:r w:rsidRPr="006B0D66">
        <w:rPr>
          <w:rFonts w:cs="Arial"/>
        </w:rPr>
        <w:t xml:space="preserve">L/well of a 2% DMSO solution in DMEM containing 10% FBS and 1% penicillin/streptomycin/glutamine). A stock solution of ATI-450 at 10 mM in 100% DMSO was diluted to 200 </w:t>
      </w:r>
      <w:r w:rsidRPr="006B0D66">
        <w:rPr>
          <w:rFonts w:ascii="Symbol" w:eastAsia="Symbol" w:hAnsi="Symbol" w:cs="Symbol"/>
        </w:rPr>
        <w:t>m</w:t>
      </w:r>
      <w:r w:rsidRPr="006B0D66">
        <w:rPr>
          <w:rFonts w:cs="Arial"/>
        </w:rPr>
        <w:t xml:space="preserve">M in DMEM containing 10% FBS and 1% penicillin/streptomycin, and 10 </w:t>
      </w:r>
      <w:r w:rsidRPr="006B0D66">
        <w:rPr>
          <w:rFonts w:ascii="Symbol" w:eastAsia="Symbol" w:hAnsi="Symbol" w:cs="Symbol"/>
        </w:rPr>
        <w:t>m</w:t>
      </w:r>
      <w:r w:rsidRPr="006B0D66">
        <w:rPr>
          <w:rFonts w:cs="Arial"/>
        </w:rPr>
        <w:t xml:space="preserve">L of this working solution was added per well to all wells in group “B” to give a final concentration of 10 </w:t>
      </w:r>
      <w:r w:rsidRPr="006B0D66">
        <w:rPr>
          <w:rFonts w:ascii="Symbol" w:eastAsia="Symbol" w:hAnsi="Symbol" w:cs="Symbol"/>
        </w:rPr>
        <w:t>m</w:t>
      </w:r>
      <w:r w:rsidRPr="006B0D66">
        <w:rPr>
          <w:rFonts w:cs="Arial"/>
        </w:rPr>
        <w:t>M in 0.1% DMSO. Samples were mixed gently for 30 seconds on a plate shaker using pin tools, then placed in an incubator at 37</w:t>
      </w:r>
      <w:r w:rsidRPr="006B0D66">
        <w:rPr>
          <w:rFonts w:cs="Arial"/>
          <w:vertAlign w:val="superscript"/>
        </w:rPr>
        <w:t>o</w:t>
      </w:r>
      <w:r w:rsidRPr="006B0D66">
        <w:rPr>
          <w:rFonts w:cs="Arial"/>
        </w:rPr>
        <w:t>C/5% CO</w:t>
      </w:r>
      <w:r w:rsidRPr="006B0D66">
        <w:rPr>
          <w:rFonts w:cs="Arial"/>
          <w:vertAlign w:val="subscript"/>
        </w:rPr>
        <w:t>2</w:t>
      </w:r>
      <w:r w:rsidRPr="006B0D66">
        <w:rPr>
          <w:rFonts w:cs="Arial"/>
        </w:rPr>
        <w:t xml:space="preserve"> for 1 hour.</w:t>
      </w:r>
    </w:p>
    <w:p w14:paraId="2F57C36C" w14:textId="77777777" w:rsidR="00AB584C" w:rsidRPr="006B0D66" w:rsidRDefault="00AB584C" w:rsidP="00B66A4D"/>
    <w:p w14:paraId="54F0D0DD" w14:textId="77777777" w:rsidR="00AB584C" w:rsidRPr="006B0D66" w:rsidRDefault="00AB584C" w:rsidP="00531072">
      <w:pPr>
        <w:rPr>
          <w:rFonts w:cs="Arial"/>
        </w:rPr>
      </w:pPr>
      <w:r w:rsidRPr="006B0D66">
        <w:rPr>
          <w:rFonts w:cs="Arial"/>
        </w:rPr>
        <w:t xml:space="preserve">Samples in groups “A” and “B” were stimulated with </w:t>
      </w:r>
      <w:r w:rsidRPr="006B0D66">
        <w:rPr>
          <w:rFonts w:cs="Arial"/>
          <w:bCs/>
        </w:rPr>
        <w:t xml:space="preserve">lipopolysaccharide </w:t>
      </w:r>
      <w:r w:rsidRPr="006B0D66">
        <w:rPr>
          <w:rFonts w:cs="Arial"/>
        </w:rPr>
        <w:t xml:space="preserve">at a final concentration of 100 ng/mL. A stock solution of </w:t>
      </w:r>
      <w:r w:rsidRPr="006B0D66">
        <w:rPr>
          <w:rFonts w:cs="Arial"/>
          <w:bCs/>
        </w:rPr>
        <w:t>lipopolysaccharide</w:t>
      </w:r>
      <w:r w:rsidRPr="006B0D66">
        <w:rPr>
          <w:rFonts w:cs="Arial"/>
        </w:rPr>
        <w:t xml:space="preserve"> at 1 </w:t>
      </w:r>
      <w:r w:rsidRPr="006B0D66">
        <w:rPr>
          <w:rFonts w:cs="Arial"/>
        </w:rPr>
        <w:lastRenderedPageBreak/>
        <w:t xml:space="preserve">mg/mL in DMEM containing 10% FBS and 1% penicillin/streptomycin was diluted to 2 </w:t>
      </w:r>
      <w:r w:rsidRPr="006B0D66">
        <w:rPr>
          <w:rFonts w:ascii="Symbol" w:eastAsia="Symbol" w:hAnsi="Symbol" w:cs="Symbol"/>
        </w:rPr>
        <w:t>m</w:t>
      </w:r>
      <w:r w:rsidRPr="006B0D66">
        <w:rPr>
          <w:rFonts w:cs="Arial"/>
        </w:rPr>
        <w:t xml:space="preserve">g/mL in DMEM containing 10% FBS and 1% penicillin/streptomycin, and 10 </w:t>
      </w:r>
      <w:r w:rsidRPr="006B0D66">
        <w:rPr>
          <w:rFonts w:ascii="Symbol" w:eastAsia="Symbol" w:hAnsi="Symbol" w:cs="Symbol"/>
        </w:rPr>
        <w:t>m</w:t>
      </w:r>
      <w:r w:rsidRPr="006B0D66">
        <w:rPr>
          <w:rFonts w:cs="Arial"/>
        </w:rPr>
        <w:t xml:space="preserve">L of this working solution was added per well of blood for all samples in groups “A” and “B.” Ten </w:t>
      </w:r>
      <w:r w:rsidRPr="006B0D66">
        <w:rPr>
          <w:rFonts w:ascii="Symbol" w:eastAsia="Symbol" w:hAnsi="Symbol" w:cs="Symbol"/>
        </w:rPr>
        <w:t>m</w:t>
      </w:r>
      <w:r w:rsidRPr="006B0D66">
        <w:rPr>
          <w:rFonts w:cs="Arial"/>
        </w:rPr>
        <w:t>L of DMEM containing 10% FBS only was added per well of blood for all samples in group “C” (unstimulated samples). Samples were mixed gently for 30 seconds on a plate shaker using pin tools, then placed in an incubator at 37</w:t>
      </w:r>
      <w:r w:rsidRPr="006B0D66">
        <w:rPr>
          <w:rFonts w:cs="Arial"/>
          <w:vertAlign w:val="superscript"/>
        </w:rPr>
        <w:t>o</w:t>
      </w:r>
      <w:r w:rsidRPr="006B0D66">
        <w:rPr>
          <w:rFonts w:cs="Arial"/>
        </w:rPr>
        <w:t>C/5% CO</w:t>
      </w:r>
      <w:r w:rsidRPr="006B0D66">
        <w:rPr>
          <w:rFonts w:cs="Arial"/>
          <w:vertAlign w:val="subscript"/>
        </w:rPr>
        <w:t>2</w:t>
      </w:r>
      <w:r w:rsidRPr="006B0D66">
        <w:rPr>
          <w:rFonts w:cs="Arial"/>
        </w:rPr>
        <w:t xml:space="preserve"> for 5 hours.</w:t>
      </w:r>
    </w:p>
    <w:p w14:paraId="358984D4" w14:textId="77777777" w:rsidR="00AB584C" w:rsidRPr="006B0D66" w:rsidRDefault="00AB584C" w:rsidP="00531072">
      <w:pPr>
        <w:rPr>
          <w:rFonts w:ascii="Times New Roman" w:hAnsi="Times New Roman"/>
        </w:rPr>
      </w:pPr>
    </w:p>
    <w:p w14:paraId="77B98AFC" w14:textId="77777777" w:rsidR="00AB584C" w:rsidRPr="006B0D66" w:rsidRDefault="00AB584C" w:rsidP="00531072">
      <w:pPr>
        <w:rPr>
          <w:rFonts w:ascii="Times New Roman" w:hAnsi="Times New Roman"/>
        </w:rPr>
      </w:pPr>
      <w:r w:rsidRPr="006B0D66">
        <w:t xml:space="preserve">Following the incubation, the plates were removed from the incubator </w:t>
      </w:r>
      <w:r w:rsidRPr="006B0D66">
        <w:rPr>
          <w:rFonts w:cs="Arial"/>
        </w:rPr>
        <w:t>and sealed with</w:t>
      </w:r>
      <w:r w:rsidRPr="006B0D66">
        <w:rPr>
          <w:rFonts w:ascii="Times New Roman" w:hAnsi="Times New Roman"/>
        </w:rPr>
        <w:t xml:space="preserve"> </w:t>
      </w:r>
      <w:r w:rsidRPr="006B0D66">
        <w:rPr>
          <w:rFonts w:cs="Arial"/>
        </w:rPr>
        <w:t xml:space="preserve">adhesive clear plate seals. The plates were then centrifuged for 10 minutes at 1800 x g at room temperature. Seventy-five </w:t>
      </w:r>
      <w:r w:rsidRPr="006B0D66">
        <w:rPr>
          <w:rFonts w:ascii="Symbol" w:eastAsia="Symbol" w:hAnsi="Symbol" w:cs="Symbol"/>
        </w:rPr>
        <w:t>m</w:t>
      </w:r>
      <w:r w:rsidRPr="006B0D66">
        <w:rPr>
          <w:rFonts w:cs="Arial"/>
        </w:rPr>
        <w:t>L of plasma were removed from each well and transferred to a 96-well, polypropylene, round-bottom master plate, which was then sealed and frozen at −80</w:t>
      </w:r>
      <w:r w:rsidRPr="006B0D66">
        <w:rPr>
          <w:rFonts w:cs="Arial"/>
          <w:vertAlign w:val="superscript"/>
        </w:rPr>
        <w:t>o</w:t>
      </w:r>
      <w:r w:rsidRPr="006B0D66">
        <w:rPr>
          <w:rFonts w:cs="Arial"/>
        </w:rPr>
        <w:t>C until all samples from the respective cohort were generated. Once all samples from a given cohort were generated, the samples were analyzed for cytokine (TNF-α, IL-1β, IL-6, and IL-8) production using Meso Scale Discovery Technology.</w:t>
      </w:r>
    </w:p>
    <w:p w14:paraId="2415DAD0" w14:textId="77777777" w:rsidR="00AB584C" w:rsidRPr="006B0D66" w:rsidRDefault="00AB584C" w:rsidP="005B090A"/>
    <w:p w14:paraId="75781B60" w14:textId="77777777" w:rsidR="00AB584C" w:rsidRPr="006B0D66" w:rsidRDefault="00AB584C" w:rsidP="002A73AC">
      <w:pPr>
        <w:pStyle w:val="Heading2"/>
        <w:keepNext/>
      </w:pPr>
      <w:r w:rsidRPr="006B0D66">
        <w:t>Analysis of cytokine levels using Meso Scale Discovery technology</w:t>
      </w:r>
    </w:p>
    <w:p w14:paraId="1BBF2C76" w14:textId="77777777" w:rsidR="00AB584C" w:rsidRPr="006B0D66" w:rsidRDefault="00AB584C" w:rsidP="006B709A">
      <w:r w:rsidRPr="006B0D66">
        <w:t>All plasma samples were analyzed for cytokine production with a V-Plex Human Proinflammatory Panel II (4-Plex) Kit from Meso Scale Discovery (</w:t>
      </w:r>
      <w:r w:rsidRPr="006B0D66">
        <w:rPr>
          <w:bCs/>
        </w:rPr>
        <w:t>Rockville, MD)</w:t>
      </w:r>
      <w:r w:rsidRPr="006B0D66">
        <w:t xml:space="preserve">. The master plates containing the plasma samples were </w:t>
      </w:r>
      <w:r w:rsidRPr="006B0D66">
        <w:lastRenderedPageBreak/>
        <w:t xml:space="preserve">thawed on ice, and a daughter plate consisting of a 25-fold dilution of each plasma sample (3 </w:t>
      </w:r>
      <w:r w:rsidRPr="006B0D66">
        <w:rPr>
          <w:rFonts w:ascii="Symbol" w:eastAsia="Symbol" w:hAnsi="Symbol" w:cs="Symbol"/>
        </w:rPr>
        <w:t>m</w:t>
      </w:r>
      <w:r w:rsidRPr="006B0D66">
        <w:t xml:space="preserve">L of plasma plus 72 </w:t>
      </w:r>
      <w:r w:rsidRPr="006B0D66">
        <w:rPr>
          <w:rFonts w:ascii="Symbol" w:eastAsia="Symbol" w:hAnsi="Symbol" w:cs="Symbol"/>
        </w:rPr>
        <w:t>m</w:t>
      </w:r>
      <w:r w:rsidRPr="006B0D66">
        <w:t xml:space="preserve">L of Meso Scale Discovery Diluent 2) was generated for each master plate. The diluted plasma samples from the daughter plates were used in the cytokine analysis. The Meso Scale Discovery 4-plex plates were washed 3 times with 150 </w:t>
      </w:r>
      <w:r w:rsidRPr="006B0D66">
        <w:rPr>
          <w:rFonts w:ascii="Symbol" w:eastAsia="Symbol" w:hAnsi="Symbol" w:cs="Symbol"/>
        </w:rPr>
        <w:t>m</w:t>
      </w:r>
      <w:r w:rsidRPr="006B0D66">
        <w:t xml:space="preserve">L/well of wash buffer (1X KPL phosphate-buffered saline with Tween 20 from SeraCare [Milford, MA]). Prepared calibrators and the samples from the daughter plates were added to the washed Meso Scale Discovery 4-plex plates at 50 </w:t>
      </w:r>
      <w:r w:rsidRPr="006B0D66">
        <w:rPr>
          <w:rFonts w:ascii="Symbol" w:eastAsia="Symbol" w:hAnsi="Symbol" w:cs="Symbol"/>
        </w:rPr>
        <w:t>m</w:t>
      </w:r>
      <w:r w:rsidRPr="006B0D66">
        <w:t>L/well. The 4-plex plates were sealed and shaken overnight at 4</w:t>
      </w:r>
      <w:r w:rsidRPr="006B0D66">
        <w:rPr>
          <w:vertAlign w:val="superscript"/>
        </w:rPr>
        <w:t>o</w:t>
      </w:r>
      <w:r w:rsidRPr="006B0D66">
        <w:t>C.</w:t>
      </w:r>
    </w:p>
    <w:p w14:paraId="101964A4" w14:textId="77777777" w:rsidR="00AB584C" w:rsidRPr="006B0D66" w:rsidRDefault="00AB584C" w:rsidP="006B709A"/>
    <w:p w14:paraId="39369CC7" w14:textId="77777777" w:rsidR="00AB584C" w:rsidRPr="006B0D66" w:rsidRDefault="00AB584C" w:rsidP="006B709A">
      <w:r w:rsidRPr="006B0D66">
        <w:t xml:space="preserve">After the overnight incubation, the samples were removed by decanting. The 4-plex plates were then washed 3 times with 150 </w:t>
      </w:r>
      <w:r w:rsidRPr="006B0D66">
        <w:rPr>
          <w:rFonts w:ascii="Symbol" w:eastAsia="Symbol" w:hAnsi="Symbol" w:cs="Symbol"/>
        </w:rPr>
        <w:t>m</w:t>
      </w:r>
      <w:r w:rsidRPr="006B0D66">
        <w:t>L of wash buffer per well. A detection antibody mix consisting of sulfo-tagged anti-human IL-1</w:t>
      </w:r>
      <w:r w:rsidRPr="006B0D66">
        <w:rPr>
          <w:rFonts w:ascii="Symbol" w:eastAsia="Symbol" w:hAnsi="Symbol" w:cs="Symbol"/>
        </w:rPr>
        <w:t>b</w:t>
      </w:r>
      <w:r w:rsidRPr="006B0D66">
        <w:t>, sulfo-tagged anti-human IL-6, sulfo-tagged anti-human IL-8, and sulfo-tagged anti-human TNF-</w:t>
      </w:r>
      <w:r w:rsidRPr="006B0D66">
        <w:rPr>
          <w:rFonts w:ascii="Symbol" w:eastAsia="Symbol" w:hAnsi="Symbol" w:cs="Symbol"/>
        </w:rPr>
        <w:t>a</w:t>
      </w:r>
      <w:r w:rsidRPr="006B0D66">
        <w:t xml:space="preserve"> antibodies in Meso Scale Discovery Diluent 3 was added to each well at 25 </w:t>
      </w:r>
      <w:r w:rsidRPr="006B0D66">
        <w:rPr>
          <w:rFonts w:ascii="Symbol" w:eastAsia="Symbol" w:hAnsi="Symbol" w:cs="Symbol"/>
        </w:rPr>
        <w:t>m</w:t>
      </w:r>
      <w:r w:rsidRPr="006B0D66">
        <w:t xml:space="preserve">L/well, and the plates were sealed and incubated for 2 hours at room temperature with shaking. Following the incubation, the detection antibodies were removed by decanting. The 4-plex plates were washed 3 times with 150 </w:t>
      </w:r>
      <w:r w:rsidRPr="006B0D66">
        <w:rPr>
          <w:rFonts w:ascii="Symbol" w:eastAsia="Symbol" w:hAnsi="Symbol" w:cs="Symbol"/>
        </w:rPr>
        <w:t>m</w:t>
      </w:r>
      <w:r w:rsidRPr="006B0D66">
        <w:t xml:space="preserve">L/well of wash buffer after which 2X Read Buffer was added at 150 </w:t>
      </w:r>
      <w:r w:rsidRPr="006B0D66">
        <w:rPr>
          <w:rFonts w:ascii="Symbol" w:eastAsia="Symbol" w:hAnsi="Symbol" w:cs="Symbol"/>
        </w:rPr>
        <w:t>m</w:t>
      </w:r>
      <w:r w:rsidRPr="006B0D66">
        <w:t>L/well to all wells. The plates were then read using a Meso Scale Discovery</w:t>
      </w:r>
      <w:r w:rsidRPr="006B0D66" w:rsidDel="00791F8F">
        <w:t xml:space="preserve"> </w:t>
      </w:r>
      <w:r w:rsidRPr="006B0D66">
        <w:t xml:space="preserve">Sector S 600 instrument. Calculations to establish cytokine calibration curves and to determine analyte </w:t>
      </w:r>
      <w:r w:rsidRPr="006B0D66">
        <w:lastRenderedPageBreak/>
        <w:t>concentrations in the samples were carried out using the Meso Scale Discovery</w:t>
      </w:r>
      <w:r w:rsidRPr="006B0D66" w:rsidDel="00791F8F">
        <w:t xml:space="preserve"> </w:t>
      </w:r>
      <w:r w:rsidRPr="006B0D66">
        <w:t>Workbench analysis software.</w:t>
      </w:r>
    </w:p>
    <w:p w14:paraId="7F2956C8" w14:textId="77777777" w:rsidR="00AB584C" w:rsidRPr="006B0D66" w:rsidRDefault="00AB584C">
      <w:pPr>
        <w:tabs>
          <w:tab w:val="clear" w:pos="0"/>
        </w:tabs>
        <w:spacing w:line="240" w:lineRule="auto"/>
        <w:outlineLvl w:val="9"/>
        <w:rPr>
          <w:b/>
          <w:bCs/>
        </w:rPr>
      </w:pPr>
      <w:r w:rsidRPr="006B0D66">
        <w:rPr>
          <w:b/>
          <w:bCs/>
        </w:rPr>
        <w:br w:type="page"/>
      </w:r>
    </w:p>
    <w:p w14:paraId="6FF32459" w14:textId="38EC89A7" w:rsidR="00AB584C" w:rsidRPr="006B0D66" w:rsidRDefault="00AB584C" w:rsidP="006D046F">
      <w:pPr>
        <w:spacing w:line="360" w:lineRule="auto"/>
      </w:pPr>
      <w:r w:rsidRPr="006B0D66">
        <w:rPr>
          <w:b/>
          <w:bCs/>
        </w:rPr>
        <w:lastRenderedPageBreak/>
        <w:t>Supplementary Figure</w:t>
      </w:r>
      <w:r w:rsidR="00A95D90" w:rsidRPr="006B0D66">
        <w:rPr>
          <w:b/>
          <w:bCs/>
        </w:rPr>
        <w:t xml:space="preserve"> S1</w:t>
      </w:r>
      <w:r w:rsidRPr="006B0D66">
        <w:rPr>
          <w:b/>
          <w:bCs/>
        </w:rPr>
        <w:t>.</w:t>
      </w:r>
      <w:r w:rsidRPr="006B0D66">
        <w:t xml:space="preserve"> Chemical structure of ATI-450, a recently developed MK2 inhibitor. </w:t>
      </w:r>
      <w:r w:rsidRPr="006B0D66">
        <w:rPr>
          <w:b/>
          <w:bCs/>
        </w:rPr>
        <w:t>Abbreviations:</w:t>
      </w:r>
      <w:r w:rsidRPr="006B0D66">
        <w:t xml:space="preserve"> MK2, MAPK-activated protein kinase 2; </w:t>
      </w:r>
      <w:r w:rsidRPr="006B0D66">
        <w:rPr>
          <w:rFonts w:cs="Arial"/>
        </w:rPr>
        <w:t xml:space="preserve">MAPK, </w:t>
      </w:r>
      <w:r w:rsidRPr="006B0D66">
        <w:t>mitogen-activated protein kinase.</w:t>
      </w:r>
    </w:p>
    <w:p w14:paraId="5DC66789" w14:textId="77777777" w:rsidR="00AB584C" w:rsidRPr="006B0D66" w:rsidRDefault="00AB584C" w:rsidP="006D046F">
      <w:pPr>
        <w:spacing w:line="360" w:lineRule="auto"/>
      </w:pPr>
    </w:p>
    <w:p w14:paraId="1F7EE0B1" w14:textId="77777777" w:rsidR="00AB584C" w:rsidRPr="006B0D66" w:rsidRDefault="00AB584C" w:rsidP="006D046F">
      <w:pPr>
        <w:spacing w:line="360" w:lineRule="auto"/>
      </w:pPr>
    </w:p>
    <w:p w14:paraId="617EABAF" w14:textId="77777777" w:rsidR="00AB584C" w:rsidRPr="006B0D66" w:rsidRDefault="00AB584C" w:rsidP="006B709A">
      <w:r w:rsidRPr="006B0D66">
        <w:rPr>
          <w:noProof/>
        </w:rPr>
        <w:drawing>
          <wp:inline distT="0" distB="0" distL="0" distR="0" wp14:anchorId="266171B8" wp14:editId="03546528">
            <wp:extent cx="2450592" cy="2808954"/>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1904" cy="2833383"/>
                    </a:xfrm>
                    <a:prstGeom prst="rect">
                      <a:avLst/>
                    </a:prstGeom>
                    <a:noFill/>
                  </pic:spPr>
                </pic:pic>
              </a:graphicData>
            </a:graphic>
          </wp:inline>
        </w:drawing>
      </w:r>
    </w:p>
    <w:p w14:paraId="538D3A0E" w14:textId="77777777" w:rsidR="00AB584C" w:rsidRPr="006B0D66" w:rsidRDefault="00AB584C" w:rsidP="00C23D1D">
      <w:pPr>
        <w:pStyle w:val="Heading2"/>
      </w:pPr>
      <w:bookmarkStart w:id="3" w:name="_Hlk49517503"/>
      <w:bookmarkEnd w:id="2"/>
    </w:p>
    <w:p w14:paraId="6BF910FC" w14:textId="77777777" w:rsidR="00AB584C" w:rsidRPr="006B0D66" w:rsidRDefault="00AB584C">
      <w:pPr>
        <w:tabs>
          <w:tab w:val="clear" w:pos="0"/>
        </w:tabs>
        <w:spacing w:line="240" w:lineRule="auto"/>
        <w:outlineLvl w:val="9"/>
        <w:rPr>
          <w:rFonts w:cs="Arial"/>
          <w:b/>
          <w:bCs/>
          <w:iCs/>
        </w:rPr>
      </w:pPr>
      <w:r w:rsidRPr="006B0D66">
        <w:br w:type="page"/>
      </w:r>
    </w:p>
    <w:p w14:paraId="4D0D94F3" w14:textId="77777777" w:rsidR="00AB584C" w:rsidRPr="006B0D66" w:rsidRDefault="00AB584C" w:rsidP="00926B31">
      <w:pPr>
        <w:pStyle w:val="Heading2"/>
        <w:spacing w:after="120" w:line="360" w:lineRule="auto"/>
        <w:rPr>
          <w:b w:val="0"/>
          <w:bCs w:val="0"/>
        </w:rPr>
      </w:pPr>
      <w:r w:rsidRPr="006B0D66">
        <w:lastRenderedPageBreak/>
        <w:t>Supplementary Table S1.</w:t>
      </w:r>
      <w:r w:rsidRPr="006B0D66">
        <w:rPr>
          <w:b w:val="0"/>
          <w:bCs w:val="0"/>
        </w:rPr>
        <w:t xml:space="preserve"> Statistical analysis of dose proportionality of ATI-450 in SAD cohorts</w:t>
      </w:r>
    </w:p>
    <w:tbl>
      <w:tblPr>
        <w:tblStyle w:val="TableGrid"/>
        <w:tblW w:w="0" w:type="auto"/>
        <w:tblLook w:val="04A0" w:firstRow="1" w:lastRow="0" w:firstColumn="1" w:lastColumn="0" w:noHBand="0" w:noVBand="1"/>
      </w:tblPr>
      <w:tblGrid>
        <w:gridCol w:w="1847"/>
        <w:gridCol w:w="1315"/>
        <w:gridCol w:w="1753"/>
        <w:gridCol w:w="1569"/>
        <w:gridCol w:w="1599"/>
      </w:tblGrid>
      <w:tr w:rsidR="00AB584C" w:rsidRPr="006B0D66" w14:paraId="76A4BB5F" w14:textId="77777777" w:rsidTr="00B13878">
        <w:tc>
          <w:tcPr>
            <w:tcW w:w="2062" w:type="dxa"/>
            <w:vAlign w:val="bottom"/>
          </w:tcPr>
          <w:p w14:paraId="1D17FC6E" w14:textId="77777777" w:rsidR="00AB584C" w:rsidRPr="006B0D66" w:rsidRDefault="00AB584C" w:rsidP="00926B31">
            <w:pPr>
              <w:spacing w:line="276" w:lineRule="auto"/>
              <w:rPr>
                <w:b/>
                <w:bCs/>
              </w:rPr>
            </w:pPr>
            <w:r w:rsidRPr="006B0D66">
              <w:rPr>
                <w:b/>
                <w:bCs/>
              </w:rPr>
              <w:t>PK Parameter</w:t>
            </w:r>
          </w:p>
        </w:tc>
        <w:tc>
          <w:tcPr>
            <w:tcW w:w="1710" w:type="dxa"/>
            <w:vAlign w:val="bottom"/>
          </w:tcPr>
          <w:p w14:paraId="3C3BCCBF" w14:textId="77777777" w:rsidR="00AB584C" w:rsidRPr="006B0D66" w:rsidRDefault="00AB584C" w:rsidP="00926B31">
            <w:pPr>
              <w:spacing w:line="276" w:lineRule="auto"/>
              <w:jc w:val="center"/>
              <w:rPr>
                <w:b/>
                <w:bCs/>
              </w:rPr>
            </w:pPr>
            <w:r w:rsidRPr="006B0D66">
              <w:rPr>
                <w:b/>
                <w:bCs/>
              </w:rPr>
              <w:t>n</w:t>
            </w:r>
          </w:p>
        </w:tc>
        <w:tc>
          <w:tcPr>
            <w:tcW w:w="2002" w:type="dxa"/>
            <w:vAlign w:val="bottom"/>
          </w:tcPr>
          <w:p w14:paraId="5D2A8B7C" w14:textId="77777777" w:rsidR="00AB584C" w:rsidRPr="006B0D66" w:rsidRDefault="00AB584C" w:rsidP="00926B31">
            <w:pPr>
              <w:spacing w:line="276" w:lineRule="auto"/>
              <w:jc w:val="center"/>
              <w:rPr>
                <w:b/>
                <w:bCs/>
              </w:rPr>
            </w:pPr>
            <w:r w:rsidRPr="006B0D66">
              <w:rPr>
                <w:b/>
                <w:bCs/>
              </w:rPr>
              <w:t>Intercept</w:t>
            </w:r>
          </w:p>
        </w:tc>
        <w:tc>
          <w:tcPr>
            <w:tcW w:w="1901" w:type="dxa"/>
            <w:vAlign w:val="bottom"/>
          </w:tcPr>
          <w:p w14:paraId="4435F48E" w14:textId="77777777" w:rsidR="00AB584C" w:rsidRPr="006B0D66" w:rsidRDefault="00AB584C" w:rsidP="00926B31">
            <w:pPr>
              <w:spacing w:line="276" w:lineRule="auto"/>
              <w:jc w:val="center"/>
              <w:rPr>
                <w:b/>
                <w:bCs/>
              </w:rPr>
            </w:pPr>
            <w:r w:rsidRPr="006B0D66">
              <w:rPr>
                <w:b/>
                <w:bCs/>
              </w:rPr>
              <w:t>Slope</w:t>
            </w:r>
          </w:p>
        </w:tc>
        <w:tc>
          <w:tcPr>
            <w:tcW w:w="1901" w:type="dxa"/>
          </w:tcPr>
          <w:p w14:paraId="64F3C3A0" w14:textId="77777777" w:rsidR="00AB584C" w:rsidRPr="006B0D66" w:rsidRDefault="00AB584C" w:rsidP="00926B31">
            <w:pPr>
              <w:spacing w:line="276" w:lineRule="auto"/>
              <w:jc w:val="center"/>
              <w:rPr>
                <w:b/>
                <w:bCs/>
              </w:rPr>
            </w:pPr>
            <w:r w:rsidRPr="006B0D66">
              <w:rPr>
                <w:b/>
                <w:bCs/>
              </w:rPr>
              <w:t>90% CI of Slope</w:t>
            </w:r>
          </w:p>
        </w:tc>
      </w:tr>
      <w:tr w:rsidR="00AB584C" w:rsidRPr="006B0D66" w14:paraId="0484A391" w14:textId="77777777" w:rsidTr="00D10891">
        <w:tc>
          <w:tcPr>
            <w:tcW w:w="2062" w:type="dxa"/>
          </w:tcPr>
          <w:p w14:paraId="28B51B15" w14:textId="77777777" w:rsidR="00AB584C" w:rsidRPr="006B0D66" w:rsidRDefault="00AB584C" w:rsidP="00926B31">
            <w:pPr>
              <w:spacing w:line="276" w:lineRule="auto"/>
            </w:pPr>
            <w:r w:rsidRPr="006B0D66">
              <w:t>C</w:t>
            </w:r>
            <w:r w:rsidRPr="006B0D66">
              <w:rPr>
                <w:vertAlign w:val="subscript"/>
              </w:rPr>
              <w:t>max</w:t>
            </w:r>
            <w:r w:rsidRPr="006B0D66">
              <w:t xml:space="preserve"> (ng/mL)</w:t>
            </w:r>
          </w:p>
        </w:tc>
        <w:tc>
          <w:tcPr>
            <w:tcW w:w="1710" w:type="dxa"/>
          </w:tcPr>
          <w:p w14:paraId="46DCB9F0" w14:textId="77777777" w:rsidR="00AB584C" w:rsidRPr="006B0D66" w:rsidRDefault="00AB584C" w:rsidP="00926B31">
            <w:pPr>
              <w:spacing w:line="276" w:lineRule="auto"/>
              <w:jc w:val="center"/>
            </w:pPr>
            <w:r w:rsidRPr="006B0D66">
              <w:t>24</w:t>
            </w:r>
          </w:p>
        </w:tc>
        <w:tc>
          <w:tcPr>
            <w:tcW w:w="2002" w:type="dxa"/>
          </w:tcPr>
          <w:p w14:paraId="1CD606B4" w14:textId="77777777" w:rsidR="00AB584C" w:rsidRPr="006B0D66" w:rsidRDefault="00AB584C" w:rsidP="00926B31">
            <w:pPr>
              <w:spacing w:line="276" w:lineRule="auto"/>
              <w:jc w:val="center"/>
            </w:pPr>
            <w:r w:rsidRPr="006B0D66">
              <w:t>1.302</w:t>
            </w:r>
          </w:p>
        </w:tc>
        <w:tc>
          <w:tcPr>
            <w:tcW w:w="1901" w:type="dxa"/>
          </w:tcPr>
          <w:p w14:paraId="59CBEB0D" w14:textId="77777777" w:rsidR="00AB584C" w:rsidRPr="006B0D66" w:rsidRDefault="00AB584C" w:rsidP="00926B31">
            <w:pPr>
              <w:spacing w:line="276" w:lineRule="auto"/>
              <w:jc w:val="center"/>
            </w:pPr>
            <w:r w:rsidRPr="006B0D66">
              <w:t>1.006</w:t>
            </w:r>
          </w:p>
        </w:tc>
        <w:tc>
          <w:tcPr>
            <w:tcW w:w="1901" w:type="dxa"/>
            <w:vAlign w:val="center"/>
          </w:tcPr>
          <w:p w14:paraId="7F052C62" w14:textId="77777777" w:rsidR="00AB584C" w:rsidRPr="006B0D66" w:rsidRDefault="00AB584C" w:rsidP="00926B31">
            <w:pPr>
              <w:spacing w:line="276" w:lineRule="auto"/>
              <w:jc w:val="center"/>
            </w:pPr>
            <w:r w:rsidRPr="006B0D66">
              <w:t>(0.902, 1.111)</w:t>
            </w:r>
          </w:p>
        </w:tc>
      </w:tr>
      <w:tr w:rsidR="00AB584C" w:rsidRPr="006B0D66" w14:paraId="37E0E148" w14:textId="77777777" w:rsidTr="00D10891">
        <w:tc>
          <w:tcPr>
            <w:tcW w:w="2062" w:type="dxa"/>
          </w:tcPr>
          <w:p w14:paraId="6F839DCE" w14:textId="77777777" w:rsidR="00AB584C" w:rsidRPr="006B0D66" w:rsidRDefault="00AB584C" w:rsidP="00926B31">
            <w:pPr>
              <w:spacing w:line="276" w:lineRule="auto"/>
            </w:pPr>
            <w:r w:rsidRPr="006B0D66">
              <w:t>AUC</w:t>
            </w:r>
            <w:r w:rsidRPr="006B0D66">
              <w:rPr>
                <w:vertAlign w:val="subscript"/>
              </w:rPr>
              <w:t xml:space="preserve">0-t </w:t>
            </w:r>
            <w:r w:rsidRPr="006B0D66">
              <w:t>(h*ng/mL)</w:t>
            </w:r>
          </w:p>
        </w:tc>
        <w:tc>
          <w:tcPr>
            <w:tcW w:w="1710" w:type="dxa"/>
          </w:tcPr>
          <w:p w14:paraId="2749E784" w14:textId="77777777" w:rsidR="00AB584C" w:rsidRPr="006B0D66" w:rsidRDefault="00AB584C" w:rsidP="00926B31">
            <w:pPr>
              <w:spacing w:line="276" w:lineRule="auto"/>
              <w:jc w:val="center"/>
            </w:pPr>
            <w:r w:rsidRPr="006B0D66">
              <w:t>23</w:t>
            </w:r>
          </w:p>
        </w:tc>
        <w:tc>
          <w:tcPr>
            <w:tcW w:w="2002" w:type="dxa"/>
          </w:tcPr>
          <w:p w14:paraId="59437A35" w14:textId="77777777" w:rsidR="00AB584C" w:rsidRPr="006B0D66" w:rsidRDefault="00AB584C" w:rsidP="00926B31">
            <w:pPr>
              <w:spacing w:line="276" w:lineRule="auto"/>
              <w:jc w:val="center"/>
            </w:pPr>
            <w:r w:rsidRPr="006B0D66">
              <w:t>3.113</w:t>
            </w:r>
          </w:p>
        </w:tc>
        <w:tc>
          <w:tcPr>
            <w:tcW w:w="1901" w:type="dxa"/>
          </w:tcPr>
          <w:p w14:paraId="0CB4397F" w14:textId="77777777" w:rsidR="00AB584C" w:rsidRPr="006B0D66" w:rsidRDefault="00AB584C" w:rsidP="00926B31">
            <w:pPr>
              <w:spacing w:line="276" w:lineRule="auto"/>
              <w:jc w:val="center"/>
            </w:pPr>
            <w:r w:rsidRPr="006B0D66">
              <w:t>1.088</w:t>
            </w:r>
          </w:p>
        </w:tc>
        <w:tc>
          <w:tcPr>
            <w:tcW w:w="1901" w:type="dxa"/>
            <w:vAlign w:val="center"/>
          </w:tcPr>
          <w:p w14:paraId="790E625F" w14:textId="77777777" w:rsidR="00AB584C" w:rsidRPr="006B0D66" w:rsidRDefault="00AB584C" w:rsidP="00926B31">
            <w:pPr>
              <w:spacing w:line="276" w:lineRule="auto"/>
              <w:jc w:val="center"/>
            </w:pPr>
            <w:r w:rsidRPr="006B0D66">
              <w:t>(0.997, 1.180)</w:t>
            </w:r>
          </w:p>
        </w:tc>
      </w:tr>
      <w:tr w:rsidR="00AB584C" w:rsidRPr="006B0D66" w14:paraId="7ABD85E4" w14:textId="77777777" w:rsidTr="00D10891">
        <w:tc>
          <w:tcPr>
            <w:tcW w:w="2062" w:type="dxa"/>
          </w:tcPr>
          <w:p w14:paraId="492F49EB" w14:textId="77777777" w:rsidR="00AB584C" w:rsidRPr="006B0D66" w:rsidRDefault="00AB584C" w:rsidP="00926B31">
            <w:pPr>
              <w:spacing w:line="276" w:lineRule="auto"/>
            </w:pPr>
            <w:r w:rsidRPr="006B0D66">
              <w:t>AUC</w:t>
            </w:r>
            <w:r w:rsidRPr="006B0D66">
              <w:rPr>
                <w:vertAlign w:val="subscript"/>
              </w:rPr>
              <w:t>0-inf</w:t>
            </w:r>
            <w:r w:rsidRPr="006B0D66">
              <w:t xml:space="preserve"> (h*ng/mL)</w:t>
            </w:r>
          </w:p>
        </w:tc>
        <w:tc>
          <w:tcPr>
            <w:tcW w:w="1710" w:type="dxa"/>
          </w:tcPr>
          <w:p w14:paraId="36339024" w14:textId="77777777" w:rsidR="00AB584C" w:rsidRPr="006B0D66" w:rsidRDefault="00AB584C" w:rsidP="00926B31">
            <w:pPr>
              <w:spacing w:line="276" w:lineRule="auto"/>
              <w:jc w:val="center"/>
            </w:pPr>
            <w:r w:rsidRPr="006B0D66">
              <w:t>23</w:t>
            </w:r>
          </w:p>
        </w:tc>
        <w:tc>
          <w:tcPr>
            <w:tcW w:w="2002" w:type="dxa"/>
          </w:tcPr>
          <w:p w14:paraId="732D91C3" w14:textId="77777777" w:rsidR="00AB584C" w:rsidRPr="006B0D66" w:rsidRDefault="00AB584C" w:rsidP="00926B31">
            <w:pPr>
              <w:spacing w:line="276" w:lineRule="auto"/>
              <w:jc w:val="center"/>
            </w:pPr>
            <w:r w:rsidRPr="006B0D66">
              <w:t>3.134</w:t>
            </w:r>
          </w:p>
        </w:tc>
        <w:tc>
          <w:tcPr>
            <w:tcW w:w="1901" w:type="dxa"/>
          </w:tcPr>
          <w:p w14:paraId="363DDA21" w14:textId="77777777" w:rsidR="00AB584C" w:rsidRPr="006B0D66" w:rsidRDefault="00AB584C" w:rsidP="00926B31">
            <w:pPr>
              <w:spacing w:line="276" w:lineRule="auto"/>
              <w:jc w:val="center"/>
            </w:pPr>
            <w:r w:rsidRPr="006B0D66">
              <w:t>1.091</w:t>
            </w:r>
          </w:p>
        </w:tc>
        <w:tc>
          <w:tcPr>
            <w:tcW w:w="1901" w:type="dxa"/>
            <w:vAlign w:val="center"/>
          </w:tcPr>
          <w:p w14:paraId="7DE5FA3A" w14:textId="77777777" w:rsidR="00AB584C" w:rsidRPr="006B0D66" w:rsidRDefault="00AB584C" w:rsidP="00926B31">
            <w:pPr>
              <w:spacing w:line="276" w:lineRule="auto"/>
              <w:jc w:val="center"/>
            </w:pPr>
            <w:r w:rsidRPr="006B0D66">
              <w:t>(0.999, 1.184)</w:t>
            </w:r>
          </w:p>
        </w:tc>
      </w:tr>
    </w:tbl>
    <w:p w14:paraId="53C681B9" w14:textId="77777777" w:rsidR="00AB584C" w:rsidRPr="006B0D66" w:rsidRDefault="00AB584C" w:rsidP="00726027">
      <w:pPr>
        <w:spacing w:before="60" w:line="360" w:lineRule="auto"/>
        <w:outlineLvl w:val="9"/>
        <w:rPr>
          <w:sz w:val="20"/>
          <w:szCs w:val="20"/>
        </w:rPr>
      </w:pPr>
      <w:r w:rsidRPr="006B0D66">
        <w:rPr>
          <w:sz w:val="20"/>
          <w:szCs w:val="20"/>
        </w:rPr>
        <w:t>The dose proportionality analyses were performed using the power model: In(PK) = intercept + slope*In(dose) + e, where PK is the PK parameter and e is the error term. A value of slope = 1 indicates dose proportionality. One subject was excluded for the AUC parameters because of withdrawn consent.</w:t>
      </w:r>
    </w:p>
    <w:p w14:paraId="016B86D4" w14:textId="77777777" w:rsidR="00AB584C" w:rsidRPr="006B0D66" w:rsidRDefault="00AB584C" w:rsidP="00726027">
      <w:pPr>
        <w:spacing w:line="360" w:lineRule="auto"/>
        <w:rPr>
          <w:sz w:val="20"/>
          <w:szCs w:val="20"/>
        </w:rPr>
      </w:pPr>
      <w:r w:rsidRPr="006B0D66">
        <w:rPr>
          <w:b/>
          <w:sz w:val="20"/>
          <w:szCs w:val="20"/>
        </w:rPr>
        <w:t xml:space="preserve">Abbreviations: </w:t>
      </w:r>
      <w:r w:rsidRPr="006B0D66">
        <w:rPr>
          <w:sz w:val="20"/>
          <w:szCs w:val="20"/>
        </w:rPr>
        <w:t>AUC, area under the concentration-time curve; C</w:t>
      </w:r>
      <w:r w:rsidRPr="006B0D66">
        <w:rPr>
          <w:sz w:val="20"/>
          <w:szCs w:val="20"/>
          <w:vertAlign w:val="subscript"/>
        </w:rPr>
        <w:t>max</w:t>
      </w:r>
      <w:r w:rsidRPr="006B0D66">
        <w:rPr>
          <w:sz w:val="20"/>
          <w:szCs w:val="20"/>
        </w:rPr>
        <w:t>, maximal plasma concentration; CI, confidence interval; n, number of observations; PK, pharmacokinetics; SAD, single ascending dose.</w:t>
      </w:r>
    </w:p>
    <w:p w14:paraId="152026B8" w14:textId="77777777" w:rsidR="00AB584C" w:rsidRPr="006B0D66" w:rsidRDefault="00AB584C">
      <w:pPr>
        <w:tabs>
          <w:tab w:val="clear" w:pos="0"/>
        </w:tabs>
        <w:spacing w:line="240" w:lineRule="auto"/>
        <w:outlineLvl w:val="9"/>
        <w:rPr>
          <w:rFonts w:cs="Arial"/>
          <w:b/>
          <w:bCs/>
          <w:iCs/>
        </w:rPr>
      </w:pPr>
      <w:r w:rsidRPr="006B0D66">
        <w:br w:type="page"/>
      </w:r>
    </w:p>
    <w:p w14:paraId="0D7A2110" w14:textId="77777777" w:rsidR="00AB584C" w:rsidRPr="006B0D66" w:rsidRDefault="00AB584C" w:rsidP="00926B31">
      <w:pPr>
        <w:pStyle w:val="Heading2"/>
        <w:spacing w:after="120" w:line="360" w:lineRule="auto"/>
        <w:rPr>
          <w:b w:val="0"/>
          <w:bCs w:val="0"/>
        </w:rPr>
      </w:pPr>
      <w:r w:rsidRPr="006B0D66">
        <w:lastRenderedPageBreak/>
        <w:t>Supplementary Table S2.</w:t>
      </w:r>
      <w:r w:rsidRPr="006B0D66">
        <w:rPr>
          <w:b w:val="0"/>
          <w:bCs w:val="0"/>
        </w:rPr>
        <w:t xml:space="preserve"> Statistical analysis of dose proportionality of ATI-450 in MAD cohorts</w:t>
      </w:r>
    </w:p>
    <w:tbl>
      <w:tblPr>
        <w:tblStyle w:val="TableGrid"/>
        <w:tblW w:w="0" w:type="auto"/>
        <w:tblLook w:val="04A0" w:firstRow="1" w:lastRow="0" w:firstColumn="1" w:lastColumn="0" w:noHBand="0" w:noVBand="1"/>
      </w:tblPr>
      <w:tblGrid>
        <w:gridCol w:w="1847"/>
        <w:gridCol w:w="1315"/>
        <w:gridCol w:w="1753"/>
        <w:gridCol w:w="1569"/>
        <w:gridCol w:w="1599"/>
      </w:tblGrid>
      <w:tr w:rsidR="00AB584C" w:rsidRPr="006B0D66" w14:paraId="38F5CC96" w14:textId="77777777" w:rsidTr="00E34FBF">
        <w:tc>
          <w:tcPr>
            <w:tcW w:w="2062" w:type="dxa"/>
            <w:vAlign w:val="bottom"/>
          </w:tcPr>
          <w:p w14:paraId="215314FB" w14:textId="77777777" w:rsidR="00AB584C" w:rsidRPr="006B0D66" w:rsidRDefault="00AB584C" w:rsidP="00926B31">
            <w:pPr>
              <w:spacing w:line="276" w:lineRule="auto"/>
              <w:rPr>
                <w:b/>
                <w:bCs/>
              </w:rPr>
            </w:pPr>
            <w:r w:rsidRPr="006B0D66">
              <w:rPr>
                <w:b/>
                <w:bCs/>
              </w:rPr>
              <w:t>PK Parameter</w:t>
            </w:r>
          </w:p>
        </w:tc>
        <w:tc>
          <w:tcPr>
            <w:tcW w:w="1710" w:type="dxa"/>
            <w:vAlign w:val="bottom"/>
          </w:tcPr>
          <w:p w14:paraId="0B5898D2" w14:textId="77777777" w:rsidR="00AB584C" w:rsidRPr="006B0D66" w:rsidRDefault="00AB584C" w:rsidP="00926B31">
            <w:pPr>
              <w:spacing w:line="276" w:lineRule="auto"/>
              <w:jc w:val="center"/>
              <w:rPr>
                <w:b/>
                <w:bCs/>
              </w:rPr>
            </w:pPr>
            <w:r w:rsidRPr="006B0D66">
              <w:rPr>
                <w:b/>
                <w:bCs/>
              </w:rPr>
              <w:t>n</w:t>
            </w:r>
          </w:p>
        </w:tc>
        <w:tc>
          <w:tcPr>
            <w:tcW w:w="2002" w:type="dxa"/>
            <w:vAlign w:val="bottom"/>
          </w:tcPr>
          <w:p w14:paraId="60EB71E3" w14:textId="77777777" w:rsidR="00AB584C" w:rsidRPr="006B0D66" w:rsidRDefault="00AB584C" w:rsidP="00926B31">
            <w:pPr>
              <w:spacing w:line="276" w:lineRule="auto"/>
              <w:jc w:val="center"/>
              <w:rPr>
                <w:b/>
                <w:bCs/>
              </w:rPr>
            </w:pPr>
            <w:r w:rsidRPr="006B0D66">
              <w:rPr>
                <w:b/>
                <w:bCs/>
              </w:rPr>
              <w:t>Intercept</w:t>
            </w:r>
          </w:p>
        </w:tc>
        <w:tc>
          <w:tcPr>
            <w:tcW w:w="1901" w:type="dxa"/>
            <w:vAlign w:val="bottom"/>
          </w:tcPr>
          <w:p w14:paraId="437CFF7F" w14:textId="77777777" w:rsidR="00AB584C" w:rsidRPr="006B0D66" w:rsidRDefault="00AB584C" w:rsidP="00926B31">
            <w:pPr>
              <w:spacing w:line="276" w:lineRule="auto"/>
              <w:jc w:val="center"/>
              <w:rPr>
                <w:b/>
                <w:bCs/>
              </w:rPr>
            </w:pPr>
            <w:r w:rsidRPr="006B0D66">
              <w:rPr>
                <w:b/>
                <w:bCs/>
              </w:rPr>
              <w:t>Slope</w:t>
            </w:r>
          </w:p>
        </w:tc>
        <w:tc>
          <w:tcPr>
            <w:tcW w:w="1901" w:type="dxa"/>
            <w:vAlign w:val="bottom"/>
          </w:tcPr>
          <w:p w14:paraId="2D628E32" w14:textId="77777777" w:rsidR="00AB584C" w:rsidRPr="006B0D66" w:rsidRDefault="00AB584C" w:rsidP="00926B31">
            <w:pPr>
              <w:spacing w:line="276" w:lineRule="auto"/>
              <w:jc w:val="center"/>
              <w:rPr>
                <w:b/>
                <w:bCs/>
              </w:rPr>
            </w:pPr>
            <w:r w:rsidRPr="006B0D66">
              <w:rPr>
                <w:b/>
                <w:bCs/>
              </w:rPr>
              <w:t>90% CI of Slope</w:t>
            </w:r>
          </w:p>
        </w:tc>
      </w:tr>
      <w:tr w:rsidR="00AB584C" w:rsidRPr="006B0D66" w14:paraId="11965175" w14:textId="77777777" w:rsidTr="00D10891">
        <w:tc>
          <w:tcPr>
            <w:tcW w:w="2062" w:type="dxa"/>
          </w:tcPr>
          <w:p w14:paraId="48B667B7" w14:textId="77777777" w:rsidR="00AB584C" w:rsidRPr="006B0D66" w:rsidRDefault="00AB584C" w:rsidP="00926B31">
            <w:pPr>
              <w:spacing w:line="276" w:lineRule="auto"/>
            </w:pPr>
            <w:r w:rsidRPr="006B0D66">
              <w:t>C</w:t>
            </w:r>
            <w:r w:rsidRPr="006B0D66">
              <w:rPr>
                <w:vertAlign w:val="subscript"/>
              </w:rPr>
              <w:t>max</w:t>
            </w:r>
            <w:r w:rsidRPr="006B0D66">
              <w:t xml:space="preserve"> (ng/mL)</w:t>
            </w:r>
          </w:p>
        </w:tc>
        <w:tc>
          <w:tcPr>
            <w:tcW w:w="1710" w:type="dxa"/>
          </w:tcPr>
          <w:p w14:paraId="18B5AD6D" w14:textId="77777777" w:rsidR="00AB584C" w:rsidRPr="006B0D66" w:rsidRDefault="00AB584C" w:rsidP="00926B31">
            <w:pPr>
              <w:spacing w:line="276" w:lineRule="auto"/>
              <w:jc w:val="center"/>
            </w:pPr>
            <w:r w:rsidRPr="006B0D66">
              <w:t>24</w:t>
            </w:r>
          </w:p>
        </w:tc>
        <w:tc>
          <w:tcPr>
            <w:tcW w:w="2002" w:type="dxa"/>
          </w:tcPr>
          <w:p w14:paraId="0CCAEF30" w14:textId="77777777" w:rsidR="00AB584C" w:rsidRPr="006B0D66" w:rsidRDefault="00AB584C" w:rsidP="00926B31">
            <w:pPr>
              <w:spacing w:line="276" w:lineRule="auto"/>
              <w:jc w:val="center"/>
            </w:pPr>
            <w:r w:rsidRPr="006B0D66">
              <w:t>1.857</w:t>
            </w:r>
          </w:p>
        </w:tc>
        <w:tc>
          <w:tcPr>
            <w:tcW w:w="1901" w:type="dxa"/>
          </w:tcPr>
          <w:p w14:paraId="6046CDF1" w14:textId="77777777" w:rsidR="00AB584C" w:rsidRPr="006B0D66" w:rsidRDefault="00AB584C" w:rsidP="00926B31">
            <w:pPr>
              <w:spacing w:line="276" w:lineRule="auto"/>
              <w:jc w:val="center"/>
            </w:pPr>
            <w:r w:rsidRPr="006B0D66">
              <w:t>0.899</w:t>
            </w:r>
          </w:p>
        </w:tc>
        <w:tc>
          <w:tcPr>
            <w:tcW w:w="1901" w:type="dxa"/>
            <w:vAlign w:val="center"/>
          </w:tcPr>
          <w:p w14:paraId="175777A9" w14:textId="77777777" w:rsidR="00AB584C" w:rsidRPr="006B0D66" w:rsidRDefault="00AB584C" w:rsidP="00926B31">
            <w:pPr>
              <w:spacing w:line="276" w:lineRule="auto"/>
              <w:jc w:val="center"/>
            </w:pPr>
            <w:r w:rsidRPr="006B0D66">
              <w:t>(0.757, 1.042)</w:t>
            </w:r>
          </w:p>
        </w:tc>
      </w:tr>
      <w:tr w:rsidR="00AB584C" w:rsidRPr="006B0D66" w14:paraId="66BEA705" w14:textId="77777777" w:rsidTr="00D10891">
        <w:tc>
          <w:tcPr>
            <w:tcW w:w="2062" w:type="dxa"/>
          </w:tcPr>
          <w:p w14:paraId="4EBFBEC9" w14:textId="77777777" w:rsidR="00AB584C" w:rsidRPr="006B0D66" w:rsidRDefault="00AB584C" w:rsidP="004C7403">
            <w:pPr>
              <w:spacing w:line="276" w:lineRule="auto"/>
            </w:pPr>
            <w:r w:rsidRPr="006B0D66">
              <w:t>AUC</w:t>
            </w:r>
            <w:r w:rsidRPr="006B0D66">
              <w:rPr>
                <w:vertAlign w:val="subscript"/>
              </w:rPr>
              <w:t xml:space="preserve">tau </w:t>
            </w:r>
            <w:r w:rsidRPr="006B0D66">
              <w:t>(h*ng/mL)</w:t>
            </w:r>
          </w:p>
        </w:tc>
        <w:tc>
          <w:tcPr>
            <w:tcW w:w="1710" w:type="dxa"/>
          </w:tcPr>
          <w:p w14:paraId="2D06F139" w14:textId="77777777" w:rsidR="00AB584C" w:rsidRPr="006B0D66" w:rsidRDefault="00AB584C" w:rsidP="00926B31">
            <w:pPr>
              <w:spacing w:line="276" w:lineRule="auto"/>
              <w:jc w:val="center"/>
            </w:pPr>
            <w:r w:rsidRPr="006B0D66">
              <w:t>24</w:t>
            </w:r>
          </w:p>
        </w:tc>
        <w:tc>
          <w:tcPr>
            <w:tcW w:w="2002" w:type="dxa"/>
          </w:tcPr>
          <w:p w14:paraId="7E60E721" w14:textId="77777777" w:rsidR="00AB584C" w:rsidRPr="006B0D66" w:rsidRDefault="00AB584C" w:rsidP="00926B31">
            <w:pPr>
              <w:spacing w:line="276" w:lineRule="auto"/>
              <w:jc w:val="center"/>
            </w:pPr>
            <w:r w:rsidRPr="006B0D66">
              <w:t>3.292</w:t>
            </w:r>
          </w:p>
        </w:tc>
        <w:tc>
          <w:tcPr>
            <w:tcW w:w="1901" w:type="dxa"/>
          </w:tcPr>
          <w:p w14:paraId="668FCB81" w14:textId="77777777" w:rsidR="00AB584C" w:rsidRPr="006B0D66" w:rsidRDefault="00AB584C" w:rsidP="00926B31">
            <w:pPr>
              <w:spacing w:line="276" w:lineRule="auto"/>
              <w:jc w:val="center"/>
            </w:pPr>
            <w:r w:rsidRPr="006B0D66">
              <w:t>1.019</w:t>
            </w:r>
          </w:p>
        </w:tc>
        <w:tc>
          <w:tcPr>
            <w:tcW w:w="1901" w:type="dxa"/>
            <w:vAlign w:val="center"/>
          </w:tcPr>
          <w:p w14:paraId="357F1112" w14:textId="77777777" w:rsidR="00AB584C" w:rsidRPr="006B0D66" w:rsidRDefault="00AB584C" w:rsidP="00926B31">
            <w:pPr>
              <w:spacing w:line="276" w:lineRule="auto"/>
              <w:jc w:val="center"/>
            </w:pPr>
            <w:r w:rsidRPr="006B0D66">
              <w:t>(0.872, 1.167)</w:t>
            </w:r>
          </w:p>
        </w:tc>
      </w:tr>
    </w:tbl>
    <w:p w14:paraId="3B1A4F98" w14:textId="77777777" w:rsidR="00AB584C" w:rsidRPr="006B0D66" w:rsidRDefault="00AB584C" w:rsidP="00726027">
      <w:pPr>
        <w:spacing w:before="60" w:line="360" w:lineRule="auto"/>
        <w:outlineLvl w:val="9"/>
        <w:rPr>
          <w:sz w:val="20"/>
          <w:szCs w:val="20"/>
        </w:rPr>
      </w:pPr>
      <w:r w:rsidRPr="006B0D66">
        <w:rPr>
          <w:sz w:val="20"/>
          <w:szCs w:val="20"/>
        </w:rPr>
        <w:t>The dose proportionality analyses were performed using the power model: In(PK) = intercept + slope*In(dose) + e, where PK is the PK parameter and e is the error term. A value of slope = 1 indicates dose proportionality.</w:t>
      </w:r>
    </w:p>
    <w:p w14:paraId="7B6C5FD1" w14:textId="77777777" w:rsidR="00AB584C" w:rsidRPr="006B0D66" w:rsidRDefault="00AB584C" w:rsidP="00726027">
      <w:pPr>
        <w:spacing w:before="60" w:line="360" w:lineRule="auto"/>
        <w:rPr>
          <w:sz w:val="20"/>
          <w:szCs w:val="20"/>
        </w:rPr>
      </w:pPr>
      <w:r w:rsidRPr="006B0D66">
        <w:rPr>
          <w:b/>
          <w:sz w:val="20"/>
          <w:szCs w:val="20"/>
        </w:rPr>
        <w:t xml:space="preserve">Abbreviations: </w:t>
      </w:r>
      <w:r w:rsidRPr="006B0D66">
        <w:rPr>
          <w:sz w:val="20"/>
          <w:szCs w:val="20"/>
        </w:rPr>
        <w:t>AUC, area under the concentration-time curve; C</w:t>
      </w:r>
      <w:r w:rsidRPr="006B0D66">
        <w:rPr>
          <w:sz w:val="20"/>
          <w:szCs w:val="20"/>
          <w:vertAlign w:val="subscript"/>
        </w:rPr>
        <w:t>max</w:t>
      </w:r>
      <w:r w:rsidRPr="006B0D66">
        <w:rPr>
          <w:sz w:val="20"/>
          <w:szCs w:val="20"/>
        </w:rPr>
        <w:t>, maximal plasma concentration; CI, confidence interval; n, number of observations; MAD, multiple ascending dose; PK, pharmacokinetics.</w:t>
      </w:r>
    </w:p>
    <w:p w14:paraId="07A4E0D2" w14:textId="77777777" w:rsidR="00AB584C" w:rsidRPr="006B0D66" w:rsidRDefault="00AB584C">
      <w:pPr>
        <w:tabs>
          <w:tab w:val="clear" w:pos="0"/>
        </w:tabs>
        <w:spacing w:line="240" w:lineRule="auto"/>
        <w:outlineLvl w:val="9"/>
        <w:rPr>
          <w:rFonts w:cs="Arial"/>
          <w:b/>
          <w:bCs/>
          <w:iCs/>
        </w:rPr>
      </w:pPr>
      <w:r w:rsidRPr="006B0D66">
        <w:br w:type="page"/>
      </w:r>
    </w:p>
    <w:p w14:paraId="5B51908F" w14:textId="77777777" w:rsidR="00AB584C" w:rsidRPr="006B0D66" w:rsidRDefault="00AB584C" w:rsidP="00C23D1D">
      <w:pPr>
        <w:pStyle w:val="Heading2"/>
        <w:rPr>
          <w:b w:val="0"/>
          <w:bCs w:val="0"/>
        </w:rPr>
      </w:pPr>
      <w:r w:rsidRPr="006B0D66">
        <w:lastRenderedPageBreak/>
        <w:t>Supplementary Table S3.</w:t>
      </w:r>
      <w:r w:rsidRPr="006B0D66">
        <w:rPr>
          <w:b w:val="0"/>
          <w:bCs w:val="0"/>
        </w:rPr>
        <w:t xml:space="preserve"> Inhibitory E</w:t>
      </w:r>
      <w:r w:rsidRPr="006B0D66">
        <w:rPr>
          <w:b w:val="0"/>
          <w:bCs w:val="0"/>
          <w:vertAlign w:val="subscript"/>
        </w:rPr>
        <w:t>max</w:t>
      </w:r>
      <w:r w:rsidRPr="006B0D66">
        <w:rPr>
          <w:b w:val="0"/>
          <w:bCs w:val="0"/>
        </w:rPr>
        <w:t xml:space="preserve"> model parameters</w:t>
      </w:r>
    </w:p>
    <w:tbl>
      <w:tblPr>
        <w:tblStyle w:val="TableGrid"/>
        <w:tblW w:w="0" w:type="auto"/>
        <w:tblLook w:val="04A0" w:firstRow="1" w:lastRow="0" w:firstColumn="1" w:lastColumn="0" w:noHBand="0" w:noVBand="1"/>
      </w:tblPr>
      <w:tblGrid>
        <w:gridCol w:w="1374"/>
        <w:gridCol w:w="1402"/>
        <w:gridCol w:w="1335"/>
        <w:gridCol w:w="1310"/>
        <w:gridCol w:w="1352"/>
        <w:gridCol w:w="1310"/>
      </w:tblGrid>
      <w:tr w:rsidR="00AB584C" w:rsidRPr="006B0D66" w14:paraId="0BAD5B91" w14:textId="77777777" w:rsidTr="0071533C">
        <w:tc>
          <w:tcPr>
            <w:tcW w:w="1374" w:type="dxa"/>
          </w:tcPr>
          <w:p w14:paraId="6323A799" w14:textId="77777777" w:rsidR="00AB584C" w:rsidRPr="006B0D66" w:rsidRDefault="00AB584C" w:rsidP="006D046F">
            <w:pPr>
              <w:spacing w:line="360" w:lineRule="auto"/>
            </w:pPr>
          </w:p>
        </w:tc>
        <w:tc>
          <w:tcPr>
            <w:tcW w:w="1402" w:type="dxa"/>
            <w:vAlign w:val="center"/>
          </w:tcPr>
          <w:p w14:paraId="69E176C4" w14:textId="77777777" w:rsidR="00AB584C" w:rsidRPr="006B0D66" w:rsidRDefault="00AB584C" w:rsidP="006D046F">
            <w:pPr>
              <w:spacing w:line="360" w:lineRule="auto"/>
              <w:jc w:val="center"/>
              <w:rPr>
                <w:b/>
                <w:bCs/>
              </w:rPr>
            </w:pPr>
            <w:r w:rsidRPr="006B0D66">
              <w:rPr>
                <w:b/>
                <w:bCs/>
              </w:rPr>
              <w:t>p-HSP27</w:t>
            </w:r>
          </w:p>
        </w:tc>
        <w:tc>
          <w:tcPr>
            <w:tcW w:w="1335" w:type="dxa"/>
            <w:vAlign w:val="center"/>
          </w:tcPr>
          <w:p w14:paraId="09962369" w14:textId="77777777" w:rsidR="00AB584C" w:rsidRPr="006B0D66" w:rsidRDefault="00AB584C" w:rsidP="006D046F">
            <w:pPr>
              <w:spacing w:line="360" w:lineRule="auto"/>
              <w:jc w:val="center"/>
              <w:rPr>
                <w:b/>
                <w:bCs/>
              </w:rPr>
            </w:pPr>
            <w:r w:rsidRPr="006B0D66">
              <w:rPr>
                <w:b/>
                <w:bCs/>
              </w:rPr>
              <w:t>TNF-</w:t>
            </w:r>
            <w:r w:rsidRPr="006B0D66">
              <w:rPr>
                <w:rFonts w:ascii="Symbol" w:eastAsia="Symbol" w:hAnsi="Symbol" w:cs="Symbol"/>
                <w:b/>
              </w:rPr>
              <w:t>a</w:t>
            </w:r>
          </w:p>
        </w:tc>
        <w:tc>
          <w:tcPr>
            <w:tcW w:w="1310" w:type="dxa"/>
            <w:vAlign w:val="center"/>
          </w:tcPr>
          <w:p w14:paraId="5FD91D54" w14:textId="77777777" w:rsidR="00AB584C" w:rsidRPr="006B0D66" w:rsidRDefault="00AB584C" w:rsidP="006D046F">
            <w:pPr>
              <w:spacing w:line="360" w:lineRule="auto"/>
              <w:jc w:val="center"/>
              <w:rPr>
                <w:b/>
                <w:bCs/>
              </w:rPr>
            </w:pPr>
            <w:r w:rsidRPr="006B0D66">
              <w:rPr>
                <w:b/>
                <w:bCs/>
              </w:rPr>
              <w:t>IL-1</w:t>
            </w:r>
            <w:r w:rsidRPr="006B0D66">
              <w:rPr>
                <w:rFonts w:ascii="Symbol" w:eastAsia="Symbol" w:hAnsi="Symbol" w:cs="Symbol"/>
                <w:b/>
              </w:rPr>
              <w:t>b</w:t>
            </w:r>
          </w:p>
        </w:tc>
        <w:tc>
          <w:tcPr>
            <w:tcW w:w="1352" w:type="dxa"/>
            <w:vAlign w:val="center"/>
          </w:tcPr>
          <w:p w14:paraId="27470379" w14:textId="77777777" w:rsidR="00AB584C" w:rsidRPr="006B0D66" w:rsidRDefault="00AB584C" w:rsidP="006D046F">
            <w:pPr>
              <w:spacing w:line="360" w:lineRule="auto"/>
              <w:jc w:val="center"/>
              <w:rPr>
                <w:b/>
                <w:bCs/>
              </w:rPr>
            </w:pPr>
            <w:r w:rsidRPr="006B0D66">
              <w:rPr>
                <w:b/>
                <w:bCs/>
              </w:rPr>
              <w:t>IL-6</w:t>
            </w:r>
          </w:p>
        </w:tc>
        <w:tc>
          <w:tcPr>
            <w:tcW w:w="1310" w:type="dxa"/>
            <w:vAlign w:val="center"/>
          </w:tcPr>
          <w:p w14:paraId="6A5CF845" w14:textId="77777777" w:rsidR="00AB584C" w:rsidRPr="006B0D66" w:rsidRDefault="00AB584C" w:rsidP="006D046F">
            <w:pPr>
              <w:spacing w:line="360" w:lineRule="auto"/>
              <w:jc w:val="center"/>
              <w:rPr>
                <w:b/>
                <w:bCs/>
              </w:rPr>
            </w:pPr>
            <w:r w:rsidRPr="006B0D66">
              <w:rPr>
                <w:b/>
                <w:bCs/>
              </w:rPr>
              <w:t>IL-8</w:t>
            </w:r>
          </w:p>
        </w:tc>
      </w:tr>
      <w:tr w:rsidR="00AB584C" w:rsidRPr="006B0D66" w14:paraId="66E5F24A" w14:textId="77777777" w:rsidTr="0071533C">
        <w:tc>
          <w:tcPr>
            <w:tcW w:w="1374" w:type="dxa"/>
          </w:tcPr>
          <w:p w14:paraId="149E7DC1" w14:textId="77777777" w:rsidR="00AB584C" w:rsidRPr="006B0D66" w:rsidRDefault="00AB584C" w:rsidP="00926B31">
            <w:pPr>
              <w:spacing w:line="276" w:lineRule="auto"/>
            </w:pPr>
            <w:r w:rsidRPr="006B0D66">
              <w:rPr>
                <w:bCs/>
              </w:rPr>
              <w:t>IC</w:t>
            </w:r>
            <w:r w:rsidRPr="006B0D66">
              <w:rPr>
                <w:bCs/>
                <w:vertAlign w:val="subscript"/>
              </w:rPr>
              <w:t>50</w:t>
            </w:r>
            <w:r w:rsidRPr="006B0D66">
              <w:rPr>
                <w:bCs/>
              </w:rPr>
              <w:t>, ng/mL</w:t>
            </w:r>
          </w:p>
        </w:tc>
        <w:tc>
          <w:tcPr>
            <w:tcW w:w="1402" w:type="dxa"/>
          </w:tcPr>
          <w:p w14:paraId="1F4B11CF" w14:textId="77777777" w:rsidR="00AB584C" w:rsidRPr="006B0D66" w:rsidRDefault="00AB584C" w:rsidP="00926B31">
            <w:pPr>
              <w:spacing w:line="276" w:lineRule="auto"/>
              <w:jc w:val="center"/>
            </w:pPr>
            <w:r w:rsidRPr="006B0D66">
              <w:rPr>
                <w:bCs/>
              </w:rPr>
              <w:t>9.2</w:t>
            </w:r>
          </w:p>
        </w:tc>
        <w:tc>
          <w:tcPr>
            <w:tcW w:w="1335" w:type="dxa"/>
          </w:tcPr>
          <w:p w14:paraId="1DF6EA9F" w14:textId="77777777" w:rsidR="00AB584C" w:rsidRPr="006B0D66" w:rsidRDefault="00AB584C" w:rsidP="00926B31">
            <w:pPr>
              <w:spacing w:line="276" w:lineRule="auto"/>
              <w:jc w:val="center"/>
            </w:pPr>
            <w:r w:rsidRPr="006B0D66">
              <w:rPr>
                <w:bCs/>
              </w:rPr>
              <w:t>15.6</w:t>
            </w:r>
          </w:p>
        </w:tc>
        <w:tc>
          <w:tcPr>
            <w:tcW w:w="1310" w:type="dxa"/>
          </w:tcPr>
          <w:p w14:paraId="2493A6FC" w14:textId="77777777" w:rsidR="00AB584C" w:rsidRPr="006B0D66" w:rsidRDefault="00AB584C" w:rsidP="00926B31">
            <w:pPr>
              <w:spacing w:line="276" w:lineRule="auto"/>
              <w:jc w:val="center"/>
            </w:pPr>
            <w:r w:rsidRPr="006B0D66">
              <w:rPr>
                <w:bCs/>
              </w:rPr>
              <w:t>10.2</w:t>
            </w:r>
          </w:p>
        </w:tc>
        <w:tc>
          <w:tcPr>
            <w:tcW w:w="1352" w:type="dxa"/>
          </w:tcPr>
          <w:p w14:paraId="4F79E77D" w14:textId="77777777" w:rsidR="00AB584C" w:rsidRPr="006B0D66" w:rsidRDefault="00AB584C" w:rsidP="00926B31">
            <w:pPr>
              <w:spacing w:line="276" w:lineRule="auto"/>
              <w:jc w:val="center"/>
            </w:pPr>
            <w:r w:rsidRPr="006B0D66">
              <w:rPr>
                <w:bCs/>
              </w:rPr>
              <w:t>186.9</w:t>
            </w:r>
          </w:p>
        </w:tc>
        <w:tc>
          <w:tcPr>
            <w:tcW w:w="1310" w:type="dxa"/>
          </w:tcPr>
          <w:p w14:paraId="12B28D5D" w14:textId="77777777" w:rsidR="00AB584C" w:rsidRPr="006B0D66" w:rsidRDefault="00AB584C" w:rsidP="00926B31">
            <w:pPr>
              <w:spacing w:line="276" w:lineRule="auto"/>
              <w:jc w:val="center"/>
            </w:pPr>
            <w:r w:rsidRPr="006B0D66">
              <w:rPr>
                <w:bCs/>
              </w:rPr>
              <w:t>9.7</w:t>
            </w:r>
          </w:p>
        </w:tc>
      </w:tr>
      <w:tr w:rsidR="00AB584C" w:rsidRPr="006B0D66" w14:paraId="4A44834B" w14:textId="77777777" w:rsidTr="0071533C">
        <w:tc>
          <w:tcPr>
            <w:tcW w:w="1374" w:type="dxa"/>
          </w:tcPr>
          <w:p w14:paraId="1E8CE1FE" w14:textId="77777777" w:rsidR="00AB584C" w:rsidRPr="006B0D66" w:rsidRDefault="00AB584C" w:rsidP="00926B31">
            <w:pPr>
              <w:spacing w:line="276" w:lineRule="auto"/>
            </w:pPr>
            <w:r w:rsidRPr="006B0D66">
              <w:rPr>
                <w:bCs/>
              </w:rPr>
              <w:t>IC</w:t>
            </w:r>
            <w:r w:rsidRPr="006B0D66">
              <w:rPr>
                <w:bCs/>
                <w:vertAlign w:val="subscript"/>
              </w:rPr>
              <w:t>80</w:t>
            </w:r>
            <w:r w:rsidRPr="006B0D66">
              <w:rPr>
                <w:bCs/>
              </w:rPr>
              <w:t>,</w:t>
            </w:r>
            <w:r w:rsidRPr="006B0D66">
              <w:rPr>
                <w:bCs/>
                <w:vertAlign w:val="subscript"/>
              </w:rPr>
              <w:t xml:space="preserve"> </w:t>
            </w:r>
            <w:r w:rsidRPr="006B0D66">
              <w:rPr>
                <w:bCs/>
              </w:rPr>
              <w:t>ng/mL</w:t>
            </w:r>
          </w:p>
        </w:tc>
        <w:tc>
          <w:tcPr>
            <w:tcW w:w="1402" w:type="dxa"/>
          </w:tcPr>
          <w:p w14:paraId="1DC69056" w14:textId="77777777" w:rsidR="00AB584C" w:rsidRPr="006B0D66" w:rsidRDefault="00AB584C" w:rsidP="00926B31">
            <w:pPr>
              <w:spacing w:line="276" w:lineRule="auto"/>
              <w:jc w:val="center"/>
            </w:pPr>
            <w:r w:rsidRPr="006B0D66">
              <w:rPr>
                <w:bCs/>
              </w:rPr>
              <w:t>36.7</w:t>
            </w:r>
          </w:p>
        </w:tc>
        <w:tc>
          <w:tcPr>
            <w:tcW w:w="1335" w:type="dxa"/>
          </w:tcPr>
          <w:p w14:paraId="659BFC85" w14:textId="77777777" w:rsidR="00AB584C" w:rsidRPr="006B0D66" w:rsidRDefault="00AB584C" w:rsidP="00926B31">
            <w:pPr>
              <w:spacing w:line="276" w:lineRule="auto"/>
              <w:jc w:val="center"/>
            </w:pPr>
            <w:r w:rsidRPr="006B0D66">
              <w:rPr>
                <w:bCs/>
              </w:rPr>
              <w:t>62.6</w:t>
            </w:r>
          </w:p>
        </w:tc>
        <w:tc>
          <w:tcPr>
            <w:tcW w:w="1310" w:type="dxa"/>
          </w:tcPr>
          <w:p w14:paraId="2C336CE2" w14:textId="77777777" w:rsidR="00AB584C" w:rsidRPr="006B0D66" w:rsidRDefault="00AB584C" w:rsidP="00926B31">
            <w:pPr>
              <w:spacing w:line="276" w:lineRule="auto"/>
              <w:jc w:val="center"/>
            </w:pPr>
            <w:r w:rsidRPr="006B0D66">
              <w:rPr>
                <w:bCs/>
              </w:rPr>
              <w:t>40.8</w:t>
            </w:r>
          </w:p>
        </w:tc>
        <w:tc>
          <w:tcPr>
            <w:tcW w:w="1352" w:type="dxa"/>
          </w:tcPr>
          <w:p w14:paraId="4BE4E986" w14:textId="77777777" w:rsidR="00AB584C" w:rsidRPr="006B0D66" w:rsidRDefault="00AB584C" w:rsidP="00926B31">
            <w:pPr>
              <w:spacing w:line="276" w:lineRule="auto"/>
              <w:jc w:val="center"/>
            </w:pPr>
            <w:r w:rsidRPr="006B0D66">
              <w:rPr>
                <w:bCs/>
              </w:rPr>
              <w:t>747.8</w:t>
            </w:r>
          </w:p>
        </w:tc>
        <w:tc>
          <w:tcPr>
            <w:tcW w:w="1310" w:type="dxa"/>
          </w:tcPr>
          <w:p w14:paraId="27DFA833" w14:textId="77777777" w:rsidR="00AB584C" w:rsidRPr="006B0D66" w:rsidRDefault="00AB584C" w:rsidP="00926B31">
            <w:pPr>
              <w:spacing w:line="276" w:lineRule="auto"/>
              <w:jc w:val="center"/>
            </w:pPr>
            <w:r w:rsidRPr="006B0D66">
              <w:rPr>
                <w:bCs/>
              </w:rPr>
              <w:t>38.8</w:t>
            </w:r>
          </w:p>
        </w:tc>
      </w:tr>
      <w:tr w:rsidR="00AB584C" w:rsidRPr="006B0D66" w14:paraId="2B10570D" w14:textId="77777777" w:rsidTr="0071533C">
        <w:tc>
          <w:tcPr>
            <w:tcW w:w="1374" w:type="dxa"/>
          </w:tcPr>
          <w:p w14:paraId="416DBB1F" w14:textId="77777777" w:rsidR="00AB584C" w:rsidRPr="006B0D66" w:rsidRDefault="00AB584C" w:rsidP="00926B31">
            <w:pPr>
              <w:spacing w:line="276" w:lineRule="auto"/>
            </w:pPr>
            <w:r w:rsidRPr="006B0D66">
              <w:rPr>
                <w:bCs/>
              </w:rPr>
              <w:t>I</w:t>
            </w:r>
            <w:r w:rsidRPr="006B0D66">
              <w:rPr>
                <w:bCs/>
                <w:vertAlign w:val="subscript"/>
              </w:rPr>
              <w:t>max</w:t>
            </w:r>
            <w:r w:rsidRPr="006B0D66">
              <w:rPr>
                <w:bCs/>
              </w:rPr>
              <w:t>, %</w:t>
            </w:r>
          </w:p>
        </w:tc>
        <w:tc>
          <w:tcPr>
            <w:tcW w:w="1402" w:type="dxa"/>
          </w:tcPr>
          <w:p w14:paraId="29B07D2A" w14:textId="77777777" w:rsidR="00AB584C" w:rsidRPr="006B0D66" w:rsidRDefault="00AB584C" w:rsidP="00926B31">
            <w:pPr>
              <w:spacing w:line="276" w:lineRule="auto"/>
              <w:jc w:val="center"/>
            </w:pPr>
            <w:r w:rsidRPr="006B0D66">
              <w:rPr>
                <w:bCs/>
              </w:rPr>
              <w:t>110.6</w:t>
            </w:r>
          </w:p>
        </w:tc>
        <w:tc>
          <w:tcPr>
            <w:tcW w:w="1335" w:type="dxa"/>
          </w:tcPr>
          <w:p w14:paraId="72BE731F" w14:textId="77777777" w:rsidR="00AB584C" w:rsidRPr="006B0D66" w:rsidRDefault="00AB584C" w:rsidP="00926B31">
            <w:pPr>
              <w:spacing w:line="276" w:lineRule="auto"/>
              <w:jc w:val="center"/>
            </w:pPr>
            <w:r w:rsidRPr="006B0D66">
              <w:rPr>
                <w:bCs/>
              </w:rPr>
              <w:t>96.5</w:t>
            </w:r>
          </w:p>
        </w:tc>
        <w:tc>
          <w:tcPr>
            <w:tcW w:w="1310" w:type="dxa"/>
          </w:tcPr>
          <w:p w14:paraId="0F535551" w14:textId="77777777" w:rsidR="00AB584C" w:rsidRPr="006B0D66" w:rsidRDefault="00AB584C" w:rsidP="00926B31">
            <w:pPr>
              <w:spacing w:line="276" w:lineRule="auto"/>
              <w:jc w:val="center"/>
            </w:pPr>
            <w:r w:rsidRPr="006B0D66">
              <w:rPr>
                <w:bCs/>
              </w:rPr>
              <w:t>74.3</w:t>
            </w:r>
          </w:p>
        </w:tc>
        <w:tc>
          <w:tcPr>
            <w:tcW w:w="1352" w:type="dxa"/>
          </w:tcPr>
          <w:p w14:paraId="0AFCAB04" w14:textId="77777777" w:rsidR="00AB584C" w:rsidRPr="006B0D66" w:rsidRDefault="00AB584C" w:rsidP="00926B31">
            <w:pPr>
              <w:spacing w:line="276" w:lineRule="auto"/>
              <w:jc w:val="center"/>
            </w:pPr>
            <w:r w:rsidRPr="006B0D66">
              <w:rPr>
                <w:bCs/>
              </w:rPr>
              <w:t>116.4</w:t>
            </w:r>
          </w:p>
        </w:tc>
        <w:tc>
          <w:tcPr>
            <w:tcW w:w="1310" w:type="dxa"/>
          </w:tcPr>
          <w:p w14:paraId="1A3980D6" w14:textId="77777777" w:rsidR="00AB584C" w:rsidRPr="006B0D66" w:rsidRDefault="00AB584C" w:rsidP="00926B31">
            <w:pPr>
              <w:spacing w:line="276" w:lineRule="auto"/>
              <w:jc w:val="center"/>
            </w:pPr>
            <w:r w:rsidRPr="006B0D66">
              <w:rPr>
                <w:bCs/>
              </w:rPr>
              <w:t>57.1</w:t>
            </w:r>
          </w:p>
        </w:tc>
      </w:tr>
    </w:tbl>
    <w:p w14:paraId="2CE8683D" w14:textId="77777777" w:rsidR="00AB584C" w:rsidRPr="004A199F" w:rsidRDefault="00AB584C" w:rsidP="00726027">
      <w:pPr>
        <w:spacing w:before="60" w:line="360" w:lineRule="auto"/>
        <w:rPr>
          <w:sz w:val="20"/>
          <w:szCs w:val="20"/>
        </w:rPr>
      </w:pPr>
      <w:r w:rsidRPr="006B0D66">
        <w:rPr>
          <w:b/>
          <w:sz w:val="20"/>
          <w:szCs w:val="20"/>
        </w:rPr>
        <w:t xml:space="preserve">Abbreviations: </w:t>
      </w:r>
      <w:r w:rsidRPr="006B0D66">
        <w:rPr>
          <w:rFonts w:cs="Arial"/>
          <w:bCs/>
          <w:sz w:val="20"/>
          <w:szCs w:val="20"/>
        </w:rPr>
        <w:t>IC</w:t>
      </w:r>
      <w:r w:rsidRPr="006B0D66">
        <w:rPr>
          <w:rFonts w:cs="Arial"/>
          <w:bCs/>
          <w:sz w:val="20"/>
          <w:szCs w:val="20"/>
          <w:vertAlign w:val="subscript"/>
        </w:rPr>
        <w:t>50</w:t>
      </w:r>
      <w:r w:rsidRPr="006B0D66">
        <w:rPr>
          <w:rFonts w:cs="Arial"/>
          <w:bCs/>
          <w:sz w:val="20"/>
          <w:szCs w:val="20"/>
        </w:rPr>
        <w:t>,</w:t>
      </w:r>
      <w:r w:rsidRPr="006B0D66">
        <w:rPr>
          <w:sz w:val="20"/>
          <w:szCs w:val="20"/>
        </w:rPr>
        <w:t xml:space="preserve"> </w:t>
      </w:r>
      <w:r w:rsidRPr="006B0D66">
        <w:rPr>
          <w:rFonts w:cs="Arial"/>
          <w:bCs/>
          <w:sz w:val="20"/>
          <w:szCs w:val="20"/>
        </w:rPr>
        <w:t>plasma concentration at half maximal inhibition; IC</w:t>
      </w:r>
      <w:r w:rsidRPr="006B0D66">
        <w:rPr>
          <w:rFonts w:cs="Arial"/>
          <w:bCs/>
          <w:sz w:val="20"/>
          <w:szCs w:val="20"/>
          <w:vertAlign w:val="subscript"/>
        </w:rPr>
        <w:t>80</w:t>
      </w:r>
      <w:r w:rsidRPr="006B0D66">
        <w:rPr>
          <w:rFonts w:cs="Arial"/>
          <w:bCs/>
          <w:sz w:val="20"/>
          <w:szCs w:val="20"/>
        </w:rPr>
        <w:t>,</w:t>
      </w:r>
      <w:r w:rsidRPr="006B0D66">
        <w:rPr>
          <w:sz w:val="20"/>
          <w:szCs w:val="20"/>
        </w:rPr>
        <w:t xml:space="preserve"> </w:t>
      </w:r>
      <w:r w:rsidRPr="006B0D66">
        <w:rPr>
          <w:rFonts w:cs="Arial"/>
          <w:bCs/>
          <w:sz w:val="20"/>
          <w:szCs w:val="20"/>
        </w:rPr>
        <w:t>plasma concentration at 80% of maximal inhibition; IL, interleukin; I</w:t>
      </w:r>
      <w:r w:rsidRPr="006B0D66">
        <w:rPr>
          <w:rFonts w:cs="Arial"/>
          <w:bCs/>
          <w:sz w:val="20"/>
          <w:szCs w:val="20"/>
          <w:vertAlign w:val="subscript"/>
        </w:rPr>
        <w:t>max</w:t>
      </w:r>
      <w:r w:rsidRPr="006B0D66">
        <w:rPr>
          <w:rFonts w:cs="Arial"/>
          <w:bCs/>
          <w:sz w:val="20"/>
          <w:szCs w:val="20"/>
        </w:rPr>
        <w:t xml:space="preserve">, maximum percent inhibition; p-HSP27, </w:t>
      </w:r>
      <w:r w:rsidRPr="006B0D66">
        <w:rPr>
          <w:sz w:val="20"/>
          <w:szCs w:val="20"/>
        </w:rPr>
        <w:t>phosphorylated heat shock protein 27; TNF, tumor necrosis factor.</w:t>
      </w:r>
      <w:bookmarkEnd w:id="0"/>
      <w:bookmarkEnd w:id="1"/>
      <w:bookmarkEnd w:id="3"/>
    </w:p>
    <w:p w14:paraId="6AF3AFD1" w14:textId="77777777" w:rsidR="00AB584C" w:rsidRDefault="00AB584C" w:rsidP="00036C29">
      <w:pPr>
        <w:spacing w:before="120" w:line="360" w:lineRule="auto"/>
      </w:pPr>
    </w:p>
    <w:p w14:paraId="21ACE5F4" w14:textId="77777777" w:rsidR="00404D7A" w:rsidRDefault="00404D7A"/>
    <w:sectPr w:rsidR="00404D7A" w:rsidSect="00725E6D">
      <w:headerReference w:type="default" r:id="rId6"/>
      <w:pgSz w:w="12240" w:h="15840" w:code="1"/>
      <w:pgMar w:top="1440" w:right="2707"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6254" w14:textId="77777777" w:rsidR="00681759" w:rsidRDefault="006B0D66" w:rsidP="00FA5819">
    <w:pPr>
      <w:pStyle w:val="Header"/>
      <w:spacing w:line="240" w:lineRule="auto"/>
      <w:jc w:val="right"/>
      <w:rPr>
        <w:rStyle w:val="PageNumber"/>
        <w:color w:val="404040"/>
        <w:sz w:val="22"/>
        <w:szCs w:val="22"/>
      </w:rPr>
    </w:pPr>
    <w:r w:rsidRPr="006B04AA">
      <w:rPr>
        <w:color w:val="404040"/>
        <w:sz w:val="22"/>
        <w:szCs w:val="22"/>
      </w:rPr>
      <w:t xml:space="preserve">Page </w:t>
    </w:r>
    <w:r w:rsidRPr="006B04AA">
      <w:rPr>
        <w:rStyle w:val="PageNumber"/>
        <w:color w:val="404040"/>
        <w:sz w:val="22"/>
        <w:szCs w:val="22"/>
      </w:rPr>
      <w:fldChar w:fldCharType="begin"/>
    </w:r>
    <w:r w:rsidRPr="006B04AA">
      <w:rPr>
        <w:rStyle w:val="PageNumber"/>
        <w:color w:val="404040"/>
        <w:sz w:val="22"/>
        <w:szCs w:val="22"/>
      </w:rPr>
      <w:instrText xml:space="preserve"> PAGE </w:instrText>
    </w:r>
    <w:r w:rsidRPr="006B04AA">
      <w:rPr>
        <w:rStyle w:val="PageNumber"/>
        <w:color w:val="404040"/>
        <w:sz w:val="22"/>
        <w:szCs w:val="22"/>
      </w:rPr>
      <w:fldChar w:fldCharType="separate"/>
    </w:r>
    <w:r>
      <w:rPr>
        <w:rStyle w:val="PageNumber"/>
        <w:noProof/>
        <w:color w:val="404040"/>
        <w:sz w:val="22"/>
        <w:szCs w:val="22"/>
      </w:rPr>
      <w:t>8</w:t>
    </w:r>
    <w:r w:rsidRPr="006B04AA">
      <w:rPr>
        <w:rStyle w:val="PageNumber"/>
        <w:color w:val="404040"/>
        <w:sz w:val="22"/>
        <w:szCs w:val="22"/>
      </w:rPr>
      <w:fldChar w:fldCharType="end"/>
    </w:r>
  </w:p>
  <w:p w14:paraId="4306F72C" w14:textId="77777777" w:rsidR="00681759" w:rsidRPr="00FA5819" w:rsidRDefault="006B0D66" w:rsidP="00FA5819">
    <w:pPr>
      <w:pStyle w:val="Header"/>
      <w:spacing w:line="240" w:lineRule="auto"/>
      <w:jc w:val="right"/>
      <w:rPr>
        <w:b/>
        <w:color w:val="40404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A16DD"/>
    <w:multiLevelType w:val="hybridMultilevel"/>
    <w:tmpl w:val="8716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74332"/>
    <w:multiLevelType w:val="hybridMultilevel"/>
    <w:tmpl w:val="0B6EE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8525F"/>
    <w:multiLevelType w:val="hybridMultilevel"/>
    <w:tmpl w:val="B478D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82BF0"/>
    <w:multiLevelType w:val="hybridMultilevel"/>
    <w:tmpl w:val="84C28F44"/>
    <w:lvl w:ilvl="0" w:tplc="9B78BF4A">
      <w:start w:val="1"/>
      <w:numFmt w:val="bullet"/>
      <w:lvlText w:val=""/>
      <w:lvlJc w:val="left"/>
      <w:pPr>
        <w:tabs>
          <w:tab w:val="num" w:pos="720"/>
        </w:tabs>
        <w:ind w:left="720" w:hanging="360"/>
      </w:pPr>
      <w:rPr>
        <w:rFonts w:ascii="Symbol" w:hAnsi="Symbol" w:hint="default"/>
        <w:sz w:val="20"/>
      </w:rPr>
    </w:lvl>
    <w:lvl w:ilvl="1" w:tplc="F32ECF42" w:tentative="1">
      <w:start w:val="1"/>
      <w:numFmt w:val="bullet"/>
      <w:lvlText w:val="o"/>
      <w:lvlJc w:val="left"/>
      <w:pPr>
        <w:tabs>
          <w:tab w:val="num" w:pos="1440"/>
        </w:tabs>
        <w:ind w:left="1440" w:hanging="360"/>
      </w:pPr>
      <w:rPr>
        <w:rFonts w:ascii="Courier New" w:hAnsi="Courier New" w:hint="default"/>
        <w:sz w:val="20"/>
      </w:rPr>
    </w:lvl>
    <w:lvl w:ilvl="2" w:tplc="BF62AE38" w:tentative="1">
      <w:start w:val="1"/>
      <w:numFmt w:val="bullet"/>
      <w:lvlText w:val=""/>
      <w:lvlJc w:val="left"/>
      <w:pPr>
        <w:tabs>
          <w:tab w:val="num" w:pos="2160"/>
        </w:tabs>
        <w:ind w:left="2160" w:hanging="360"/>
      </w:pPr>
      <w:rPr>
        <w:rFonts w:ascii="Wingdings" w:hAnsi="Wingdings" w:hint="default"/>
        <w:sz w:val="20"/>
      </w:rPr>
    </w:lvl>
    <w:lvl w:ilvl="3" w:tplc="46B649AC" w:tentative="1">
      <w:start w:val="1"/>
      <w:numFmt w:val="bullet"/>
      <w:lvlText w:val=""/>
      <w:lvlJc w:val="left"/>
      <w:pPr>
        <w:tabs>
          <w:tab w:val="num" w:pos="2880"/>
        </w:tabs>
        <w:ind w:left="2880" w:hanging="360"/>
      </w:pPr>
      <w:rPr>
        <w:rFonts w:ascii="Wingdings" w:hAnsi="Wingdings" w:hint="default"/>
        <w:sz w:val="20"/>
      </w:rPr>
    </w:lvl>
    <w:lvl w:ilvl="4" w:tplc="9C504C8A" w:tentative="1">
      <w:start w:val="1"/>
      <w:numFmt w:val="bullet"/>
      <w:lvlText w:val=""/>
      <w:lvlJc w:val="left"/>
      <w:pPr>
        <w:tabs>
          <w:tab w:val="num" w:pos="3600"/>
        </w:tabs>
        <w:ind w:left="3600" w:hanging="360"/>
      </w:pPr>
      <w:rPr>
        <w:rFonts w:ascii="Wingdings" w:hAnsi="Wingdings" w:hint="default"/>
        <w:sz w:val="20"/>
      </w:rPr>
    </w:lvl>
    <w:lvl w:ilvl="5" w:tplc="E1D6935C" w:tentative="1">
      <w:start w:val="1"/>
      <w:numFmt w:val="bullet"/>
      <w:lvlText w:val=""/>
      <w:lvlJc w:val="left"/>
      <w:pPr>
        <w:tabs>
          <w:tab w:val="num" w:pos="4320"/>
        </w:tabs>
        <w:ind w:left="4320" w:hanging="360"/>
      </w:pPr>
      <w:rPr>
        <w:rFonts w:ascii="Wingdings" w:hAnsi="Wingdings" w:hint="default"/>
        <w:sz w:val="20"/>
      </w:rPr>
    </w:lvl>
    <w:lvl w:ilvl="6" w:tplc="B6DEFE5A" w:tentative="1">
      <w:start w:val="1"/>
      <w:numFmt w:val="bullet"/>
      <w:lvlText w:val=""/>
      <w:lvlJc w:val="left"/>
      <w:pPr>
        <w:tabs>
          <w:tab w:val="num" w:pos="5040"/>
        </w:tabs>
        <w:ind w:left="5040" w:hanging="360"/>
      </w:pPr>
      <w:rPr>
        <w:rFonts w:ascii="Wingdings" w:hAnsi="Wingdings" w:hint="default"/>
        <w:sz w:val="20"/>
      </w:rPr>
    </w:lvl>
    <w:lvl w:ilvl="7" w:tplc="54326744" w:tentative="1">
      <w:start w:val="1"/>
      <w:numFmt w:val="bullet"/>
      <w:lvlText w:val=""/>
      <w:lvlJc w:val="left"/>
      <w:pPr>
        <w:tabs>
          <w:tab w:val="num" w:pos="5760"/>
        </w:tabs>
        <w:ind w:left="5760" w:hanging="360"/>
      </w:pPr>
      <w:rPr>
        <w:rFonts w:ascii="Wingdings" w:hAnsi="Wingdings" w:hint="default"/>
        <w:sz w:val="20"/>
      </w:rPr>
    </w:lvl>
    <w:lvl w:ilvl="8" w:tplc="15D2888A"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21672"/>
    <w:multiLevelType w:val="hybridMultilevel"/>
    <w:tmpl w:val="9482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F6813"/>
    <w:multiLevelType w:val="hybridMultilevel"/>
    <w:tmpl w:val="2AFA2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40B7F"/>
    <w:multiLevelType w:val="hybridMultilevel"/>
    <w:tmpl w:val="6184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870C3"/>
    <w:multiLevelType w:val="hybridMultilevel"/>
    <w:tmpl w:val="D572231A"/>
    <w:lvl w:ilvl="0" w:tplc="D27686E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B0CE4"/>
    <w:multiLevelType w:val="hybridMultilevel"/>
    <w:tmpl w:val="529C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544B7"/>
    <w:multiLevelType w:val="hybridMultilevel"/>
    <w:tmpl w:val="5748CB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A4699"/>
    <w:multiLevelType w:val="hybridMultilevel"/>
    <w:tmpl w:val="459C0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275B47"/>
    <w:multiLevelType w:val="hybridMultilevel"/>
    <w:tmpl w:val="182480B8"/>
    <w:lvl w:ilvl="0" w:tplc="74123F46">
      <w:start w:val="1"/>
      <w:numFmt w:val="bullet"/>
      <w:lvlText w:val=""/>
      <w:lvlJc w:val="left"/>
      <w:pPr>
        <w:tabs>
          <w:tab w:val="num" w:pos="1464"/>
        </w:tabs>
        <w:ind w:left="1464"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A53328"/>
    <w:multiLevelType w:val="hybridMultilevel"/>
    <w:tmpl w:val="82626208"/>
    <w:lvl w:ilvl="0" w:tplc="BE52C4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07AC8"/>
    <w:multiLevelType w:val="hybridMultilevel"/>
    <w:tmpl w:val="549410DA"/>
    <w:lvl w:ilvl="0" w:tplc="D0947648">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8305532"/>
    <w:multiLevelType w:val="hybridMultilevel"/>
    <w:tmpl w:val="59FA44C6"/>
    <w:lvl w:ilvl="0" w:tplc="255A3AC4">
      <w:start w:val="1"/>
      <w:numFmt w:val="bullet"/>
      <w:lvlText w:val="—"/>
      <w:lvlJc w:val="left"/>
      <w:pPr>
        <w:tabs>
          <w:tab w:val="num" w:pos="1464"/>
        </w:tabs>
        <w:ind w:left="1464" w:hanging="360"/>
      </w:pPr>
      <w:rPr>
        <w:rFonts w:ascii="Courier New" w:hAnsi="Courier New" w:hint="default"/>
      </w:rPr>
    </w:lvl>
    <w:lvl w:ilvl="1" w:tplc="DC4E4EAA">
      <w:start w:val="1"/>
      <w:numFmt w:val="bullet"/>
      <w:lvlText w:val="o"/>
      <w:lvlJc w:val="left"/>
      <w:pPr>
        <w:tabs>
          <w:tab w:val="num" w:pos="1440"/>
        </w:tabs>
        <w:ind w:left="1440" w:hanging="360"/>
      </w:pPr>
      <w:rPr>
        <w:rFonts w:ascii="Courier New" w:hAnsi="Courier New" w:cs="Courier New" w:hint="default"/>
      </w:rPr>
    </w:lvl>
    <w:lvl w:ilvl="2" w:tplc="25C8B07E">
      <w:start w:val="1"/>
      <w:numFmt w:val="bullet"/>
      <w:lvlText w:val=""/>
      <w:lvlJc w:val="left"/>
      <w:pPr>
        <w:tabs>
          <w:tab w:val="num" w:pos="2160"/>
        </w:tabs>
        <w:ind w:left="2160" w:hanging="360"/>
      </w:pPr>
      <w:rPr>
        <w:rFonts w:ascii="Wingdings" w:hAnsi="Wingdings" w:hint="default"/>
      </w:rPr>
    </w:lvl>
    <w:lvl w:ilvl="3" w:tplc="6D18D198">
      <w:start w:val="1"/>
      <w:numFmt w:val="bullet"/>
      <w:lvlText w:val=""/>
      <w:lvlJc w:val="left"/>
      <w:pPr>
        <w:tabs>
          <w:tab w:val="num" w:pos="2880"/>
        </w:tabs>
        <w:ind w:left="2880" w:hanging="360"/>
      </w:pPr>
      <w:rPr>
        <w:rFonts w:ascii="Symbol" w:hAnsi="Symbol" w:hint="default"/>
      </w:rPr>
    </w:lvl>
    <w:lvl w:ilvl="4" w:tplc="5C7A1DC4">
      <w:start w:val="1"/>
      <w:numFmt w:val="bullet"/>
      <w:lvlText w:val="o"/>
      <w:lvlJc w:val="left"/>
      <w:pPr>
        <w:tabs>
          <w:tab w:val="num" w:pos="3600"/>
        </w:tabs>
        <w:ind w:left="3600" w:hanging="360"/>
      </w:pPr>
      <w:rPr>
        <w:rFonts w:ascii="Courier New" w:hAnsi="Courier New" w:cs="Courier New" w:hint="default"/>
      </w:rPr>
    </w:lvl>
    <w:lvl w:ilvl="5" w:tplc="2EBE9536">
      <w:start w:val="1"/>
      <w:numFmt w:val="bullet"/>
      <w:lvlText w:val=""/>
      <w:lvlJc w:val="left"/>
      <w:pPr>
        <w:tabs>
          <w:tab w:val="num" w:pos="4320"/>
        </w:tabs>
        <w:ind w:left="4320" w:hanging="360"/>
      </w:pPr>
      <w:rPr>
        <w:rFonts w:ascii="Wingdings" w:hAnsi="Wingdings" w:hint="default"/>
      </w:rPr>
    </w:lvl>
    <w:lvl w:ilvl="6" w:tplc="AB16F7AC">
      <w:start w:val="1"/>
      <w:numFmt w:val="bullet"/>
      <w:lvlText w:val=""/>
      <w:lvlJc w:val="left"/>
      <w:pPr>
        <w:tabs>
          <w:tab w:val="num" w:pos="5040"/>
        </w:tabs>
        <w:ind w:left="5040" w:hanging="360"/>
      </w:pPr>
      <w:rPr>
        <w:rFonts w:ascii="Symbol" w:hAnsi="Symbol" w:hint="default"/>
      </w:rPr>
    </w:lvl>
    <w:lvl w:ilvl="7" w:tplc="22F0C7F0">
      <w:start w:val="1"/>
      <w:numFmt w:val="bullet"/>
      <w:lvlText w:val="o"/>
      <w:lvlJc w:val="left"/>
      <w:pPr>
        <w:tabs>
          <w:tab w:val="num" w:pos="5760"/>
        </w:tabs>
        <w:ind w:left="5760" w:hanging="360"/>
      </w:pPr>
      <w:rPr>
        <w:rFonts w:ascii="Courier New" w:hAnsi="Courier New" w:cs="Courier New" w:hint="default"/>
      </w:rPr>
    </w:lvl>
    <w:lvl w:ilvl="8" w:tplc="EBE8B1A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993614"/>
    <w:multiLevelType w:val="hybridMultilevel"/>
    <w:tmpl w:val="C1CEA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13FDA"/>
    <w:multiLevelType w:val="hybridMultilevel"/>
    <w:tmpl w:val="A3C8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B466A"/>
    <w:multiLevelType w:val="hybridMultilevel"/>
    <w:tmpl w:val="DD9C3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E56F1"/>
    <w:multiLevelType w:val="hybridMultilevel"/>
    <w:tmpl w:val="59FA44C6"/>
    <w:lvl w:ilvl="0" w:tplc="79402E94">
      <w:start w:val="1"/>
      <w:numFmt w:val="bullet"/>
      <w:lvlText w:val="—"/>
      <w:lvlJc w:val="left"/>
      <w:pPr>
        <w:tabs>
          <w:tab w:val="num" w:pos="1464"/>
        </w:tabs>
        <w:ind w:left="1464"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A8266D"/>
    <w:multiLevelType w:val="hybridMultilevel"/>
    <w:tmpl w:val="D756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4E6A0E"/>
    <w:multiLevelType w:val="hybridMultilevel"/>
    <w:tmpl w:val="E842CA84"/>
    <w:lvl w:ilvl="0" w:tplc="D094764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9717EC"/>
    <w:multiLevelType w:val="hybridMultilevel"/>
    <w:tmpl w:val="B7BE6AE2"/>
    <w:lvl w:ilvl="0" w:tplc="D094764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317085"/>
    <w:multiLevelType w:val="hybridMultilevel"/>
    <w:tmpl w:val="C172C3DE"/>
    <w:lvl w:ilvl="0" w:tplc="C40A661A">
      <w:start w:val="1"/>
      <w:numFmt w:val="bullet"/>
      <w:lvlText w:val=""/>
      <w:lvlJc w:val="left"/>
      <w:pPr>
        <w:tabs>
          <w:tab w:val="num" w:pos="720"/>
        </w:tabs>
        <w:ind w:left="720" w:hanging="360"/>
      </w:pPr>
      <w:rPr>
        <w:rFonts w:ascii="Symbol" w:hAnsi="Symbol" w:hint="default"/>
        <w:sz w:val="20"/>
      </w:rPr>
    </w:lvl>
    <w:lvl w:ilvl="1" w:tplc="8FA63540">
      <w:start w:val="1"/>
      <w:numFmt w:val="bullet"/>
      <w:lvlText w:val=""/>
      <w:lvlJc w:val="left"/>
      <w:pPr>
        <w:tabs>
          <w:tab w:val="num" w:pos="1440"/>
        </w:tabs>
        <w:ind w:left="1440" w:hanging="360"/>
      </w:pPr>
      <w:rPr>
        <w:rFonts w:ascii="Symbol" w:hAnsi="Symbol" w:hint="default"/>
        <w:sz w:val="20"/>
      </w:rPr>
    </w:lvl>
    <w:lvl w:ilvl="2" w:tplc="6242DF62">
      <w:start w:val="1"/>
      <w:numFmt w:val="bullet"/>
      <w:lvlText w:val=""/>
      <w:lvlJc w:val="left"/>
      <w:pPr>
        <w:tabs>
          <w:tab w:val="num" w:pos="2160"/>
        </w:tabs>
        <w:ind w:left="2160" w:hanging="360"/>
      </w:pPr>
      <w:rPr>
        <w:rFonts w:ascii="Symbol" w:hAnsi="Symbol" w:hint="default"/>
        <w:sz w:val="20"/>
      </w:rPr>
    </w:lvl>
    <w:lvl w:ilvl="3" w:tplc="6B08B0A4">
      <w:start w:val="1"/>
      <w:numFmt w:val="bullet"/>
      <w:lvlText w:val=""/>
      <w:lvlJc w:val="left"/>
      <w:pPr>
        <w:tabs>
          <w:tab w:val="num" w:pos="2880"/>
        </w:tabs>
        <w:ind w:left="2880" w:hanging="360"/>
      </w:pPr>
      <w:rPr>
        <w:rFonts w:ascii="Symbol" w:hAnsi="Symbol" w:hint="default"/>
        <w:sz w:val="20"/>
      </w:rPr>
    </w:lvl>
    <w:lvl w:ilvl="4" w:tplc="16286E42">
      <w:start w:val="1"/>
      <w:numFmt w:val="bullet"/>
      <w:lvlText w:val=""/>
      <w:lvlJc w:val="left"/>
      <w:pPr>
        <w:tabs>
          <w:tab w:val="num" w:pos="3600"/>
        </w:tabs>
        <w:ind w:left="3600" w:hanging="360"/>
      </w:pPr>
      <w:rPr>
        <w:rFonts w:ascii="Symbol" w:hAnsi="Symbol" w:hint="default"/>
        <w:sz w:val="20"/>
      </w:rPr>
    </w:lvl>
    <w:lvl w:ilvl="5" w:tplc="4CAE1B44">
      <w:start w:val="1"/>
      <w:numFmt w:val="bullet"/>
      <w:lvlText w:val=""/>
      <w:lvlJc w:val="left"/>
      <w:pPr>
        <w:tabs>
          <w:tab w:val="num" w:pos="4320"/>
        </w:tabs>
        <w:ind w:left="4320" w:hanging="360"/>
      </w:pPr>
      <w:rPr>
        <w:rFonts w:ascii="Symbol" w:hAnsi="Symbol" w:hint="default"/>
        <w:sz w:val="20"/>
      </w:rPr>
    </w:lvl>
    <w:lvl w:ilvl="6" w:tplc="6DB05F86">
      <w:start w:val="1"/>
      <w:numFmt w:val="bullet"/>
      <w:lvlText w:val=""/>
      <w:lvlJc w:val="left"/>
      <w:pPr>
        <w:tabs>
          <w:tab w:val="num" w:pos="5040"/>
        </w:tabs>
        <w:ind w:left="5040" w:hanging="360"/>
      </w:pPr>
      <w:rPr>
        <w:rFonts w:ascii="Symbol" w:hAnsi="Symbol" w:hint="default"/>
        <w:sz w:val="20"/>
      </w:rPr>
    </w:lvl>
    <w:lvl w:ilvl="7" w:tplc="225EEDD4">
      <w:start w:val="1"/>
      <w:numFmt w:val="bullet"/>
      <w:lvlText w:val=""/>
      <w:lvlJc w:val="left"/>
      <w:pPr>
        <w:tabs>
          <w:tab w:val="num" w:pos="5760"/>
        </w:tabs>
        <w:ind w:left="5760" w:hanging="360"/>
      </w:pPr>
      <w:rPr>
        <w:rFonts w:ascii="Symbol" w:hAnsi="Symbol" w:hint="default"/>
        <w:sz w:val="20"/>
      </w:rPr>
    </w:lvl>
    <w:lvl w:ilvl="8" w:tplc="62DAB690">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4"/>
  </w:num>
  <w:num w:numId="3">
    <w:abstractNumId w:val="11"/>
  </w:num>
  <w:num w:numId="4">
    <w:abstractNumId w:val="13"/>
  </w:num>
  <w:num w:numId="5">
    <w:abstractNumId w:val="20"/>
  </w:num>
  <w:num w:numId="6">
    <w:abstractNumId w:val="21"/>
  </w:num>
  <w:num w:numId="7">
    <w:abstractNumId w:val="3"/>
  </w:num>
  <w:num w:numId="8">
    <w:abstractNumId w:val="22"/>
  </w:num>
  <w:num w:numId="9">
    <w:abstractNumId w:val="1"/>
  </w:num>
  <w:num w:numId="10">
    <w:abstractNumId w:val="2"/>
  </w:num>
  <w:num w:numId="11">
    <w:abstractNumId w:val="15"/>
  </w:num>
  <w:num w:numId="12">
    <w:abstractNumId w:val="6"/>
  </w:num>
  <w:num w:numId="13">
    <w:abstractNumId w:val="10"/>
  </w:num>
  <w:num w:numId="14">
    <w:abstractNumId w:val="5"/>
  </w:num>
  <w:num w:numId="15">
    <w:abstractNumId w:val="9"/>
  </w:num>
  <w:num w:numId="16">
    <w:abstractNumId w:val="19"/>
  </w:num>
  <w:num w:numId="17">
    <w:abstractNumId w:val="17"/>
  </w:num>
  <w:num w:numId="18">
    <w:abstractNumId w:val="8"/>
  </w:num>
  <w:num w:numId="19">
    <w:abstractNumId w:val="7"/>
  </w:num>
  <w:num w:numId="20">
    <w:abstractNumId w:val="4"/>
  </w:num>
  <w:num w:numId="21">
    <w:abstractNumId w:val="0"/>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AB584C"/>
    <w:rsid w:val="002C7EC5"/>
    <w:rsid w:val="003A7A4B"/>
    <w:rsid w:val="00404D7A"/>
    <w:rsid w:val="006B0D66"/>
    <w:rsid w:val="006D65B9"/>
    <w:rsid w:val="008978EB"/>
    <w:rsid w:val="00A95D90"/>
    <w:rsid w:val="00AB5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6319"/>
  <w15:chartTrackingRefBased/>
  <w15:docId w15:val="{8A66BE39-D5B9-4A90-AB77-2FF178A7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84C"/>
    <w:pPr>
      <w:tabs>
        <w:tab w:val="left" w:pos="0"/>
      </w:tabs>
      <w:spacing w:after="0" w:line="480" w:lineRule="auto"/>
      <w:outlineLvl w:val="0"/>
    </w:pPr>
    <w:rPr>
      <w:rFonts w:ascii="Arial" w:eastAsia="Times New Roman" w:hAnsi="Arial" w:cs="Times New Roman"/>
      <w:sz w:val="24"/>
      <w:szCs w:val="24"/>
    </w:rPr>
  </w:style>
  <w:style w:type="paragraph" w:styleId="Heading1">
    <w:name w:val="heading 1"/>
    <w:basedOn w:val="Normal"/>
    <w:next w:val="Normal"/>
    <w:link w:val="Heading1Char"/>
    <w:qFormat/>
    <w:rsid w:val="00AB584C"/>
    <w:rPr>
      <w:rFonts w:cs="Arial"/>
      <w:b/>
      <w:bCs/>
      <w:caps/>
      <w:kern w:val="32"/>
    </w:rPr>
  </w:style>
  <w:style w:type="paragraph" w:styleId="Heading2">
    <w:name w:val="heading 2"/>
    <w:basedOn w:val="Normal"/>
    <w:next w:val="Normal"/>
    <w:link w:val="Heading2Char"/>
    <w:qFormat/>
    <w:rsid w:val="00AB584C"/>
    <w:pPr>
      <w:outlineLvl w:val="1"/>
    </w:pPr>
    <w:rPr>
      <w:rFonts w:cs="Arial"/>
      <w:b/>
      <w:bCs/>
      <w:iCs/>
    </w:rPr>
  </w:style>
  <w:style w:type="paragraph" w:styleId="Heading3">
    <w:name w:val="heading 3"/>
    <w:basedOn w:val="Normal"/>
    <w:next w:val="Normal"/>
    <w:link w:val="Heading3Char"/>
    <w:qFormat/>
    <w:rsid w:val="00AB584C"/>
    <w:pPr>
      <w:outlineLvl w:val="2"/>
    </w:pPr>
    <w:rPr>
      <w:rFonts w:cs="Arial"/>
      <w:bCs/>
      <w:i/>
    </w:rPr>
  </w:style>
  <w:style w:type="paragraph" w:styleId="Heading4">
    <w:name w:val="heading 4"/>
    <w:basedOn w:val="Normal"/>
    <w:next w:val="Normal"/>
    <w:link w:val="Heading4Char"/>
    <w:semiHidden/>
    <w:unhideWhenUsed/>
    <w:qFormat/>
    <w:rsid w:val="00AB584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rsid w:val="00AB58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B584C"/>
  </w:style>
  <w:style w:type="character" w:customStyle="1" w:styleId="Heading1Char">
    <w:name w:val="Heading 1 Char"/>
    <w:basedOn w:val="DefaultParagraphFont"/>
    <w:link w:val="Heading1"/>
    <w:rsid w:val="00AB584C"/>
    <w:rPr>
      <w:rFonts w:ascii="Arial" w:eastAsia="Times New Roman" w:hAnsi="Arial" w:cs="Arial"/>
      <w:b/>
      <w:bCs/>
      <w:caps/>
      <w:kern w:val="32"/>
      <w:sz w:val="24"/>
      <w:szCs w:val="24"/>
    </w:rPr>
  </w:style>
  <w:style w:type="character" w:customStyle="1" w:styleId="Heading2Char">
    <w:name w:val="Heading 2 Char"/>
    <w:basedOn w:val="DefaultParagraphFont"/>
    <w:link w:val="Heading2"/>
    <w:rsid w:val="00AB584C"/>
    <w:rPr>
      <w:rFonts w:ascii="Arial" w:eastAsia="Times New Roman" w:hAnsi="Arial" w:cs="Arial"/>
      <w:b/>
      <w:bCs/>
      <w:iCs/>
      <w:sz w:val="24"/>
      <w:szCs w:val="24"/>
    </w:rPr>
  </w:style>
  <w:style w:type="character" w:customStyle="1" w:styleId="Heading3Char">
    <w:name w:val="Heading 3 Char"/>
    <w:basedOn w:val="DefaultParagraphFont"/>
    <w:link w:val="Heading3"/>
    <w:rsid w:val="00AB584C"/>
    <w:rPr>
      <w:rFonts w:ascii="Arial" w:eastAsia="Times New Roman" w:hAnsi="Arial" w:cs="Arial"/>
      <w:bCs/>
      <w:i/>
      <w:sz w:val="24"/>
      <w:szCs w:val="24"/>
    </w:rPr>
  </w:style>
  <w:style w:type="character" w:customStyle="1" w:styleId="Heading4Char">
    <w:name w:val="Heading 4 Char"/>
    <w:basedOn w:val="DefaultParagraphFont"/>
    <w:link w:val="Heading4"/>
    <w:semiHidden/>
    <w:rsid w:val="00AB584C"/>
    <w:rPr>
      <w:rFonts w:asciiTheme="majorHAnsi" w:eastAsiaTheme="majorEastAsia" w:hAnsiTheme="majorHAnsi" w:cstheme="majorBidi"/>
      <w:i/>
      <w:iCs/>
      <w:color w:val="365F91" w:themeColor="accent1" w:themeShade="BF"/>
      <w:sz w:val="24"/>
      <w:szCs w:val="24"/>
    </w:rPr>
  </w:style>
  <w:style w:type="character" w:styleId="Hyperlink">
    <w:name w:val="Hyperlink"/>
    <w:rsid w:val="00AB584C"/>
    <w:rPr>
      <w:rFonts w:ascii="Arial" w:hAnsi="Arial"/>
      <w:color w:val="0000FF"/>
      <w:sz w:val="24"/>
      <w:u w:val="single"/>
    </w:rPr>
  </w:style>
  <w:style w:type="paragraph" w:styleId="FootnoteText">
    <w:name w:val="footnote text"/>
    <w:basedOn w:val="Normal"/>
    <w:link w:val="FootnoteTextChar"/>
    <w:semiHidden/>
    <w:rsid w:val="00AB584C"/>
    <w:pPr>
      <w:tabs>
        <w:tab w:val="clear" w:pos="0"/>
      </w:tabs>
      <w:spacing w:line="480" w:lineRule="atLeast"/>
      <w:outlineLvl w:val="9"/>
    </w:pPr>
    <w:rPr>
      <w:b/>
      <w:vanish/>
      <w:szCs w:val="20"/>
    </w:rPr>
  </w:style>
  <w:style w:type="character" w:customStyle="1" w:styleId="FootnoteTextChar">
    <w:name w:val="Footnote Text Char"/>
    <w:basedOn w:val="DefaultParagraphFont"/>
    <w:link w:val="FootnoteText"/>
    <w:semiHidden/>
    <w:rsid w:val="00AB584C"/>
    <w:rPr>
      <w:rFonts w:ascii="Arial" w:eastAsia="Times New Roman" w:hAnsi="Arial" w:cs="Times New Roman"/>
      <w:b/>
      <w:vanish/>
      <w:sz w:val="24"/>
      <w:szCs w:val="20"/>
    </w:rPr>
  </w:style>
  <w:style w:type="paragraph" w:styleId="Header">
    <w:name w:val="header"/>
    <w:basedOn w:val="Normal"/>
    <w:link w:val="HeaderChar"/>
    <w:rsid w:val="00AB584C"/>
    <w:pPr>
      <w:tabs>
        <w:tab w:val="clear" w:pos="0"/>
        <w:tab w:val="center" w:pos="4320"/>
        <w:tab w:val="right" w:pos="8640"/>
      </w:tabs>
    </w:pPr>
  </w:style>
  <w:style w:type="character" w:customStyle="1" w:styleId="HeaderChar">
    <w:name w:val="Header Char"/>
    <w:basedOn w:val="DefaultParagraphFont"/>
    <w:link w:val="Header"/>
    <w:rsid w:val="00AB584C"/>
    <w:rPr>
      <w:rFonts w:ascii="Arial" w:eastAsia="Times New Roman" w:hAnsi="Arial" w:cs="Times New Roman"/>
      <w:sz w:val="24"/>
      <w:szCs w:val="24"/>
    </w:rPr>
  </w:style>
  <w:style w:type="paragraph" w:styleId="Footer">
    <w:name w:val="footer"/>
    <w:basedOn w:val="Normal"/>
    <w:link w:val="FooterChar"/>
    <w:rsid w:val="00AB584C"/>
    <w:pPr>
      <w:tabs>
        <w:tab w:val="clear" w:pos="0"/>
        <w:tab w:val="center" w:pos="4320"/>
        <w:tab w:val="right" w:pos="8640"/>
      </w:tabs>
    </w:pPr>
  </w:style>
  <w:style w:type="character" w:customStyle="1" w:styleId="FooterChar">
    <w:name w:val="Footer Char"/>
    <w:basedOn w:val="DefaultParagraphFont"/>
    <w:link w:val="Footer"/>
    <w:rsid w:val="00AB584C"/>
    <w:rPr>
      <w:rFonts w:ascii="Arial" w:eastAsia="Times New Roman" w:hAnsi="Arial" w:cs="Times New Roman"/>
      <w:sz w:val="24"/>
      <w:szCs w:val="24"/>
    </w:rPr>
  </w:style>
  <w:style w:type="character" w:styleId="PageNumber">
    <w:name w:val="page number"/>
    <w:rsid w:val="00AB584C"/>
    <w:rPr>
      <w:rFonts w:ascii="Arial" w:hAnsi="Arial"/>
      <w:sz w:val="20"/>
    </w:rPr>
  </w:style>
  <w:style w:type="paragraph" w:styleId="BalloonText">
    <w:name w:val="Balloon Text"/>
    <w:basedOn w:val="Normal"/>
    <w:link w:val="BalloonTextChar"/>
    <w:rsid w:val="00AB584C"/>
    <w:pPr>
      <w:spacing w:line="240" w:lineRule="auto"/>
    </w:pPr>
    <w:rPr>
      <w:rFonts w:ascii="Tahoma" w:hAnsi="Tahoma" w:cs="Tahoma"/>
      <w:sz w:val="16"/>
      <w:szCs w:val="16"/>
    </w:rPr>
  </w:style>
  <w:style w:type="character" w:customStyle="1" w:styleId="BalloonTextChar">
    <w:name w:val="Balloon Text Char"/>
    <w:link w:val="BalloonText"/>
    <w:rsid w:val="00AB584C"/>
    <w:rPr>
      <w:rFonts w:ascii="Tahoma" w:eastAsia="Times New Roman" w:hAnsi="Tahoma" w:cs="Tahoma"/>
      <w:sz w:val="16"/>
      <w:szCs w:val="16"/>
    </w:rPr>
  </w:style>
  <w:style w:type="character" w:styleId="CommentReference">
    <w:name w:val="annotation reference"/>
    <w:basedOn w:val="DefaultParagraphFont"/>
    <w:rsid w:val="00AB584C"/>
    <w:rPr>
      <w:sz w:val="16"/>
      <w:szCs w:val="16"/>
    </w:rPr>
  </w:style>
  <w:style w:type="paragraph" w:styleId="CommentText">
    <w:name w:val="annotation text"/>
    <w:basedOn w:val="Normal"/>
    <w:link w:val="CommentTextChar"/>
    <w:rsid w:val="00AB584C"/>
    <w:pPr>
      <w:spacing w:line="240" w:lineRule="auto"/>
    </w:pPr>
    <w:rPr>
      <w:sz w:val="20"/>
      <w:szCs w:val="20"/>
    </w:rPr>
  </w:style>
  <w:style w:type="character" w:customStyle="1" w:styleId="CommentTextChar">
    <w:name w:val="Comment Text Char"/>
    <w:basedOn w:val="DefaultParagraphFont"/>
    <w:link w:val="CommentText"/>
    <w:rsid w:val="00AB584C"/>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AB584C"/>
    <w:rPr>
      <w:b/>
      <w:bCs/>
    </w:rPr>
  </w:style>
  <w:style w:type="character" w:customStyle="1" w:styleId="CommentSubjectChar">
    <w:name w:val="Comment Subject Char"/>
    <w:basedOn w:val="CommentTextChar"/>
    <w:link w:val="CommentSubject"/>
    <w:rsid w:val="00AB584C"/>
    <w:rPr>
      <w:rFonts w:ascii="Arial" w:eastAsia="Times New Roman" w:hAnsi="Arial" w:cs="Times New Roman"/>
      <w:b/>
      <w:bCs/>
      <w:sz w:val="20"/>
      <w:szCs w:val="20"/>
    </w:rPr>
  </w:style>
  <w:style w:type="paragraph" w:customStyle="1" w:styleId="Default">
    <w:name w:val="Default"/>
    <w:rsid w:val="00AB584C"/>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rsid w:val="00AB58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B584C"/>
    <w:rPr>
      <w:color w:val="800080" w:themeColor="followedHyperlink"/>
      <w:u w:val="single"/>
    </w:rPr>
  </w:style>
  <w:style w:type="paragraph" w:styleId="NormalWeb">
    <w:name w:val="Normal (Web)"/>
    <w:basedOn w:val="Normal"/>
    <w:uiPriority w:val="99"/>
    <w:unhideWhenUsed/>
    <w:rsid w:val="00AB584C"/>
    <w:rPr>
      <w:rFonts w:ascii="Times New Roman" w:hAnsi="Times New Roman"/>
    </w:rPr>
  </w:style>
  <w:style w:type="paragraph" w:styleId="Revision">
    <w:name w:val="Revision"/>
    <w:hidden/>
    <w:uiPriority w:val="99"/>
    <w:semiHidden/>
    <w:rsid w:val="00AB584C"/>
    <w:pPr>
      <w:spacing w:after="0" w:line="240" w:lineRule="auto"/>
    </w:pPr>
    <w:rPr>
      <w:rFonts w:ascii="Arial" w:eastAsia="Times New Roman" w:hAnsi="Arial" w:cs="Times New Roman"/>
      <w:sz w:val="24"/>
      <w:szCs w:val="24"/>
    </w:rPr>
  </w:style>
  <w:style w:type="paragraph" w:customStyle="1" w:styleId="EndNoteBibliographyTitle">
    <w:name w:val="EndNote Bibliography Title"/>
    <w:basedOn w:val="Normal"/>
    <w:link w:val="EndNoteBibliographyTitleChar"/>
    <w:rsid w:val="00AB584C"/>
    <w:pPr>
      <w:jc w:val="center"/>
    </w:pPr>
    <w:rPr>
      <w:rFonts w:cs="Arial"/>
      <w:noProof/>
    </w:rPr>
  </w:style>
  <w:style w:type="character" w:customStyle="1" w:styleId="EndNoteBibliographyTitleChar">
    <w:name w:val="EndNote Bibliography Title Char"/>
    <w:basedOn w:val="DefaultParagraphFont"/>
    <w:link w:val="EndNoteBibliographyTitle"/>
    <w:rsid w:val="00AB584C"/>
    <w:rPr>
      <w:rFonts w:ascii="Arial" w:eastAsia="Times New Roman" w:hAnsi="Arial" w:cs="Arial"/>
      <w:noProof/>
      <w:sz w:val="24"/>
      <w:szCs w:val="24"/>
    </w:rPr>
  </w:style>
  <w:style w:type="paragraph" w:customStyle="1" w:styleId="EndNoteBibliography">
    <w:name w:val="EndNote Bibliography"/>
    <w:basedOn w:val="Normal"/>
    <w:link w:val="EndNoteBibliographyChar"/>
    <w:rsid w:val="00AB584C"/>
    <w:pPr>
      <w:spacing w:line="240" w:lineRule="auto"/>
    </w:pPr>
    <w:rPr>
      <w:rFonts w:cs="Arial"/>
      <w:noProof/>
    </w:rPr>
  </w:style>
  <w:style w:type="character" w:customStyle="1" w:styleId="EndNoteBibliographyChar">
    <w:name w:val="EndNote Bibliography Char"/>
    <w:basedOn w:val="DefaultParagraphFont"/>
    <w:link w:val="EndNoteBibliography"/>
    <w:rsid w:val="00AB584C"/>
    <w:rPr>
      <w:rFonts w:ascii="Arial" w:eastAsia="Times New Roman" w:hAnsi="Arial" w:cs="Arial"/>
      <w:noProof/>
      <w:sz w:val="24"/>
      <w:szCs w:val="24"/>
    </w:rPr>
  </w:style>
  <w:style w:type="character" w:styleId="UnresolvedMention">
    <w:name w:val="Unresolved Mention"/>
    <w:basedOn w:val="DefaultParagraphFont"/>
    <w:uiPriority w:val="99"/>
    <w:unhideWhenUsed/>
    <w:rsid w:val="00AB584C"/>
    <w:rPr>
      <w:color w:val="605E5C"/>
      <w:shd w:val="clear" w:color="auto" w:fill="E1DFDD"/>
    </w:rPr>
  </w:style>
  <w:style w:type="character" w:styleId="Strong">
    <w:name w:val="Strong"/>
    <w:basedOn w:val="DefaultParagraphFont"/>
    <w:uiPriority w:val="22"/>
    <w:qFormat/>
    <w:rsid w:val="00AB584C"/>
    <w:rPr>
      <w:b/>
      <w:bCs/>
    </w:rPr>
  </w:style>
  <w:style w:type="character" w:styleId="Mention">
    <w:name w:val="Mention"/>
    <w:basedOn w:val="DefaultParagraphFont"/>
    <w:uiPriority w:val="99"/>
    <w:unhideWhenUsed/>
    <w:rsid w:val="00AB584C"/>
    <w:rPr>
      <w:color w:val="2B579A"/>
      <w:shd w:val="clear" w:color="auto" w:fill="E1DFDD"/>
    </w:rPr>
  </w:style>
  <w:style w:type="character" w:customStyle="1" w:styleId="highlight">
    <w:name w:val="highlight"/>
    <w:basedOn w:val="DefaultParagraphFont"/>
    <w:rsid w:val="00AB584C"/>
  </w:style>
  <w:style w:type="character" w:customStyle="1" w:styleId="hi">
    <w:name w:val="hi"/>
    <w:basedOn w:val="DefaultParagraphFont"/>
    <w:rsid w:val="00AB584C"/>
  </w:style>
  <w:style w:type="character" w:styleId="LineNumber">
    <w:name w:val="line number"/>
    <w:basedOn w:val="DefaultParagraphFont"/>
    <w:semiHidden/>
    <w:unhideWhenUsed/>
    <w:rsid w:val="00AB5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2120</Words>
  <Characters>12084</Characters>
  <Application>Microsoft Office Word</Application>
  <DocSecurity>0</DocSecurity>
  <Lines>100</Lines>
  <Paragraphs>28</Paragraphs>
  <ScaleCrop>false</ScaleCrop>
  <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Cadmus</dc:creator>
  <cp:keywords/>
  <dc:description/>
  <cp:lastModifiedBy>Carol Cadmus</cp:lastModifiedBy>
  <cp:revision>4</cp:revision>
  <dcterms:created xsi:type="dcterms:W3CDTF">2021-05-06T15:10:00Z</dcterms:created>
  <dcterms:modified xsi:type="dcterms:W3CDTF">2021-05-06T15:28:00Z</dcterms:modified>
</cp:coreProperties>
</file>