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B4B10" w14:textId="77777777" w:rsidR="00667AB2" w:rsidRPr="00667AB2" w:rsidRDefault="00667AB2" w:rsidP="00667AB2">
      <w:pPr>
        <w:rPr>
          <w:rFonts w:ascii="Arial" w:hAnsi="Arial" w:cs="Arial"/>
          <w:sz w:val="20"/>
        </w:rPr>
      </w:pPr>
      <w:r w:rsidRPr="00667AB2">
        <w:rPr>
          <w:rFonts w:ascii="Arial" w:hAnsi="Arial" w:cs="Arial"/>
          <w:sz w:val="20"/>
        </w:rPr>
        <w:t xml:space="preserve">ORIGINAL RESEARCH   </w:t>
      </w:r>
    </w:p>
    <w:p w14:paraId="21C2A902" w14:textId="3B3FDA83" w:rsidR="00667AB2" w:rsidRPr="00C0037C" w:rsidRDefault="00667AB2" w:rsidP="00BB7134">
      <w:pPr>
        <w:rPr>
          <w:rFonts w:ascii="Arial" w:hAnsi="Arial" w:cs="Arial"/>
          <w:sz w:val="20"/>
        </w:rPr>
      </w:pPr>
      <w:r w:rsidRPr="00667AB2">
        <w:rPr>
          <w:rFonts w:ascii="Arial" w:hAnsi="Arial" w:cs="Arial"/>
          <w:sz w:val="20"/>
        </w:rPr>
        <w:t>Ming-Hsueh Tsai et al</w:t>
      </w:r>
    </w:p>
    <w:p w14:paraId="393EA000" w14:textId="307C0B1A" w:rsidR="00667AB2" w:rsidRPr="00667AB2" w:rsidRDefault="00667AB2" w:rsidP="00972E1D">
      <w:pPr>
        <w:rPr>
          <w:rFonts w:ascii="Arial" w:hAnsi="Arial" w:cs="Arial"/>
          <w:sz w:val="40"/>
        </w:rPr>
      </w:pPr>
      <w:r w:rsidRPr="00667AB2">
        <w:rPr>
          <w:rFonts w:ascii="Arial" w:hAnsi="Arial" w:cs="Arial"/>
          <w:sz w:val="40"/>
        </w:rPr>
        <w:t>Cardiovascular risk associated with methotrexate versus retinoids in patients with psoriasis: a nationwide Taiwanese cohort study</w:t>
      </w:r>
    </w:p>
    <w:p w14:paraId="328CFCFD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 xml:space="preserve">Ming-Hsueh Tsai </w:t>
      </w:r>
      <w:r w:rsidRPr="00667AB2">
        <w:rPr>
          <w:rFonts w:ascii="Arial" w:hAnsi="Arial" w:cs="Arial"/>
          <w:sz w:val="20"/>
          <w:szCs w:val="20"/>
          <w:vertAlign w:val="superscript"/>
        </w:rPr>
        <w:t>1</w:t>
      </w:r>
    </w:p>
    <w:p w14:paraId="65D23958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 xml:space="preserve">Tom C. Chan </w:t>
      </w:r>
      <w:r w:rsidRPr="00667AB2">
        <w:rPr>
          <w:rFonts w:ascii="Arial" w:hAnsi="Arial" w:cs="Arial"/>
          <w:sz w:val="20"/>
          <w:szCs w:val="20"/>
          <w:vertAlign w:val="superscript"/>
        </w:rPr>
        <w:t>2</w:t>
      </w:r>
    </w:p>
    <w:p w14:paraId="4CEED117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  <w:vertAlign w:val="superscript"/>
        </w:rPr>
      </w:pPr>
      <w:r w:rsidRPr="00667AB2">
        <w:rPr>
          <w:rFonts w:ascii="Arial" w:hAnsi="Arial" w:cs="Arial"/>
          <w:sz w:val="20"/>
          <w:szCs w:val="20"/>
        </w:rPr>
        <w:t>Meng-Sui Lee</w:t>
      </w:r>
      <w:r w:rsidRPr="00667AB2">
        <w:rPr>
          <w:rFonts w:ascii="Arial" w:hAnsi="Arial" w:cs="Arial"/>
          <w:sz w:val="20"/>
          <w:szCs w:val="20"/>
          <w:vertAlign w:val="superscript"/>
        </w:rPr>
        <w:t xml:space="preserve"> 3,4 *</w:t>
      </w:r>
    </w:p>
    <w:p w14:paraId="00D83D52" w14:textId="50D253E4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 xml:space="preserve">Mei-Shu Lai </w:t>
      </w:r>
      <w:r w:rsidR="005241FF">
        <w:rPr>
          <w:rFonts w:ascii="Arial" w:hAnsi="Arial" w:cs="Arial"/>
          <w:sz w:val="20"/>
          <w:szCs w:val="20"/>
          <w:vertAlign w:val="superscript"/>
        </w:rPr>
        <w:t>5</w:t>
      </w:r>
    </w:p>
    <w:p w14:paraId="02B51DBA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  <w:vertAlign w:val="superscript"/>
        </w:rPr>
        <w:t>1</w:t>
      </w:r>
      <w:r w:rsidRPr="00667AB2">
        <w:rPr>
          <w:rFonts w:ascii="Arial" w:hAnsi="Arial" w:cs="Arial"/>
          <w:sz w:val="20"/>
          <w:szCs w:val="20"/>
        </w:rPr>
        <w:t xml:space="preserve"> Department of Internal medicine, Taipei City Hospital, Taipei, Taiwan; </w:t>
      </w:r>
      <w:r w:rsidRPr="00667AB2">
        <w:rPr>
          <w:rFonts w:ascii="Arial" w:hAnsi="Arial" w:cs="Arial"/>
          <w:sz w:val="20"/>
          <w:szCs w:val="20"/>
          <w:vertAlign w:val="superscript"/>
        </w:rPr>
        <w:t>2</w:t>
      </w:r>
      <w:r w:rsidRPr="00667AB2">
        <w:rPr>
          <w:rFonts w:ascii="Arial" w:hAnsi="Arial" w:cs="Arial"/>
          <w:sz w:val="20"/>
          <w:szCs w:val="20"/>
        </w:rPr>
        <w:t xml:space="preserve"> Department of Dermatology, National Taiwan University Hospital and College of Medicine, Taipei, Taiwan; </w:t>
      </w:r>
      <w:r w:rsidRPr="00667AB2">
        <w:rPr>
          <w:rFonts w:ascii="Arial" w:hAnsi="Arial" w:cs="Arial"/>
          <w:sz w:val="20"/>
          <w:szCs w:val="20"/>
          <w:vertAlign w:val="superscript"/>
        </w:rPr>
        <w:t>3</w:t>
      </w:r>
      <w:r w:rsidRPr="00667AB2">
        <w:rPr>
          <w:rFonts w:ascii="Arial" w:hAnsi="Arial" w:cs="Arial"/>
          <w:sz w:val="20"/>
          <w:szCs w:val="20"/>
        </w:rPr>
        <w:t xml:space="preserve"> Department of Dermatology, Taipei City Hospital, Taipei, Taiwan; </w:t>
      </w:r>
      <w:r w:rsidRPr="00667AB2">
        <w:rPr>
          <w:rFonts w:ascii="Arial" w:hAnsi="Arial" w:cs="Arial"/>
          <w:sz w:val="20"/>
          <w:szCs w:val="20"/>
          <w:vertAlign w:val="superscript"/>
        </w:rPr>
        <w:t>4</w:t>
      </w:r>
      <w:r w:rsidRPr="00667AB2">
        <w:rPr>
          <w:rFonts w:ascii="Arial" w:hAnsi="Arial" w:cs="Arial"/>
          <w:sz w:val="20"/>
          <w:szCs w:val="20"/>
        </w:rPr>
        <w:t xml:space="preserve"> Faculty of Medicine, National Yang-Ming University, Taipei, Taiwan; </w:t>
      </w:r>
      <w:r w:rsidRPr="00667AB2">
        <w:rPr>
          <w:rFonts w:ascii="Arial" w:hAnsi="Arial" w:cs="Arial"/>
          <w:sz w:val="20"/>
          <w:szCs w:val="20"/>
          <w:vertAlign w:val="superscript"/>
        </w:rPr>
        <w:t>5</w:t>
      </w:r>
      <w:r w:rsidRPr="00667AB2">
        <w:rPr>
          <w:rFonts w:ascii="Arial" w:hAnsi="Arial" w:cs="Arial"/>
          <w:sz w:val="20"/>
          <w:szCs w:val="20"/>
        </w:rPr>
        <w:t xml:space="preserve"> Institute of Epidemiology and Preventive Medicine, College of Public Health, National Taiwan University, Taipei, Taiwan</w:t>
      </w:r>
    </w:p>
    <w:p w14:paraId="79421F1E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</w:p>
    <w:p w14:paraId="78B0B03A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 xml:space="preserve">Correspondence: Meng-Sui Lee </w:t>
      </w:r>
    </w:p>
    <w:p w14:paraId="2D6588FF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>No. 33, Sec. 2, Zhonghua Road, Taipei 100, Taiwan (R.O.C.)</w:t>
      </w:r>
      <w:r w:rsidRPr="00667AB2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2B457614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  <w:lang w:val="fr-FR"/>
        </w:rPr>
        <w:t xml:space="preserve">Tel </w:t>
      </w:r>
      <w:r w:rsidRPr="00667AB2">
        <w:rPr>
          <w:rFonts w:ascii="Arial" w:hAnsi="Arial" w:cs="Arial"/>
          <w:sz w:val="20"/>
          <w:szCs w:val="20"/>
        </w:rPr>
        <w:t>+886 223 889 595#2225</w:t>
      </w:r>
    </w:p>
    <w:p w14:paraId="22CFB622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  <w:lang w:val="fr-FR"/>
        </w:rPr>
        <w:t xml:space="preserve">Fax </w:t>
      </w:r>
      <w:r w:rsidRPr="00667AB2">
        <w:rPr>
          <w:rFonts w:ascii="Arial" w:hAnsi="Arial" w:cs="Arial"/>
          <w:sz w:val="20"/>
          <w:szCs w:val="20"/>
        </w:rPr>
        <w:t>+886 223 889 595#2225</w:t>
      </w:r>
    </w:p>
    <w:p w14:paraId="158AFA2A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  <w:lang w:val="fr-FR"/>
        </w:rPr>
      </w:pPr>
      <w:r w:rsidRPr="00667AB2">
        <w:rPr>
          <w:rFonts w:ascii="Arial" w:hAnsi="Arial" w:cs="Arial"/>
          <w:sz w:val="20"/>
          <w:szCs w:val="20"/>
          <w:lang w:val="fr-FR"/>
        </w:rPr>
        <w:t xml:space="preserve">Email leemengsui@hotmail.com </w:t>
      </w:r>
    </w:p>
    <w:p w14:paraId="0FABDF7F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>Correspondence: Mei-Shu Lai</w:t>
      </w:r>
    </w:p>
    <w:p w14:paraId="4FA9D47E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>5Fl. No. 17, Hsu Chow Road,Taipei 100 ,Taiwan (R.O.C.)</w:t>
      </w:r>
    </w:p>
    <w:p w14:paraId="4149B8F2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>Tel: 886-2-33668018</w:t>
      </w:r>
    </w:p>
    <w:p w14:paraId="4448E738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>Fax: 886-2-23920456</w:t>
      </w:r>
    </w:p>
    <w:p w14:paraId="3BDB17E0" w14:textId="77777777" w:rsidR="00667AB2" w:rsidRPr="00667AB2" w:rsidRDefault="00667AB2" w:rsidP="005241FF">
      <w:pPr>
        <w:spacing w:line="276" w:lineRule="auto"/>
        <w:rPr>
          <w:rFonts w:ascii="Arial" w:hAnsi="Arial" w:cs="Arial"/>
          <w:sz w:val="20"/>
          <w:szCs w:val="20"/>
        </w:rPr>
      </w:pPr>
      <w:r w:rsidRPr="00667AB2">
        <w:rPr>
          <w:rFonts w:ascii="Arial" w:hAnsi="Arial" w:cs="Arial"/>
          <w:sz w:val="20"/>
          <w:szCs w:val="20"/>
        </w:rPr>
        <w:t>Email: mslai@ntu.edu.tw</w:t>
      </w:r>
    </w:p>
    <w:p w14:paraId="00C48267" w14:textId="0B3F4CC9" w:rsidR="00667AB2" w:rsidRDefault="00667AB2" w:rsidP="005241FF">
      <w:pPr>
        <w:pStyle w:val="a3"/>
        <w:spacing w:line="276" w:lineRule="auto"/>
        <w:rPr>
          <w:rFonts w:ascii="Arial" w:hAnsi="Arial" w:cs="Arial"/>
        </w:rPr>
      </w:pPr>
    </w:p>
    <w:p w14:paraId="2C416989" w14:textId="77777777" w:rsidR="001D7EBA" w:rsidRDefault="001D7EBA" w:rsidP="00E80E0E"/>
    <w:p w14:paraId="647A68DC" w14:textId="77777777" w:rsidR="001D7EBA" w:rsidRDefault="001D7EBA" w:rsidP="00E80E0E"/>
    <w:p w14:paraId="4715B3B0" w14:textId="77777777" w:rsidR="001D7EBA" w:rsidRDefault="001D7EBA" w:rsidP="00E80E0E"/>
    <w:p w14:paraId="269B32C4" w14:textId="77777777" w:rsidR="001D7EBA" w:rsidRDefault="001D7EBA" w:rsidP="00E80E0E"/>
    <w:p w14:paraId="5E2151A8" w14:textId="2FD45B6F" w:rsidR="00563AD4" w:rsidRPr="00667AB2" w:rsidRDefault="00563AD4" w:rsidP="00563AD4">
      <w:pPr>
        <w:pStyle w:val="a3"/>
        <w:rPr>
          <w:rFonts w:ascii="Arial" w:hAnsi="Arial" w:cs="Arial"/>
          <w:sz w:val="40"/>
          <w:szCs w:val="24"/>
          <w:lang w:val="en-GB"/>
        </w:rPr>
      </w:pPr>
      <w:r w:rsidRPr="00667AB2">
        <w:rPr>
          <w:rFonts w:ascii="Arial" w:hAnsi="Arial" w:cs="Arial"/>
          <w:sz w:val="40"/>
          <w:szCs w:val="24"/>
          <w:lang w:val="en-GB"/>
        </w:rPr>
        <w:lastRenderedPageBreak/>
        <w:t xml:space="preserve">Supplementary </w:t>
      </w:r>
      <w:r w:rsidR="007201A4" w:rsidRPr="00667AB2">
        <w:rPr>
          <w:rFonts w:ascii="Arial" w:hAnsi="Arial" w:cs="Arial"/>
          <w:sz w:val="40"/>
          <w:szCs w:val="24"/>
          <w:lang w:val="en-GB"/>
        </w:rPr>
        <w:t>Data</w:t>
      </w:r>
    </w:p>
    <w:sdt>
      <w:sdtPr>
        <w:rPr>
          <w:rFonts w:ascii="Arial" w:eastAsiaTheme="minorEastAsia" w:hAnsi="Arial" w:cs="Arial"/>
          <w:color w:val="auto"/>
          <w:sz w:val="22"/>
          <w:szCs w:val="24"/>
          <w:lang w:val="zh-TW"/>
        </w:rPr>
        <w:id w:val="-497195695"/>
        <w:docPartObj>
          <w:docPartGallery w:val="Table of Contents"/>
          <w:docPartUnique/>
        </w:docPartObj>
      </w:sdtPr>
      <w:sdtEndPr>
        <w:rPr>
          <w:rFonts w:ascii="微軟正黑體" w:eastAsia="微軟正黑體" w:hAnsi="微軟正黑體" w:cs="Times New Roman"/>
          <w:bCs/>
          <w:sz w:val="24"/>
        </w:rPr>
      </w:sdtEndPr>
      <w:sdtContent>
        <w:p w14:paraId="6FBC84C5" w14:textId="753161F5" w:rsidR="00442494" w:rsidRPr="00667AB2" w:rsidRDefault="00E31D44">
          <w:pPr>
            <w:pStyle w:val="a9"/>
            <w:rPr>
              <w:rFonts w:ascii="Arial" w:eastAsia="微軟正黑體" w:hAnsi="Arial" w:cs="Arial"/>
              <w:color w:val="auto"/>
              <w:sz w:val="24"/>
            </w:rPr>
          </w:pPr>
          <w:r w:rsidRPr="00667AB2">
            <w:rPr>
              <w:rFonts w:ascii="Arial" w:eastAsia="微軟正黑體" w:hAnsi="Arial" w:cs="Arial"/>
              <w:color w:val="auto"/>
              <w:sz w:val="24"/>
              <w:lang w:val="zh-TW"/>
            </w:rPr>
            <w:t xml:space="preserve">Index: </w:t>
          </w:r>
        </w:p>
        <w:p w14:paraId="638D5261" w14:textId="4EDF43B6" w:rsidR="001D0BF9" w:rsidRDefault="00442494">
          <w:pPr>
            <w:pStyle w:val="11"/>
            <w:tabs>
              <w:tab w:val="right" w:leader="dot" w:pos="8302"/>
            </w:tabs>
            <w:rPr>
              <w:rFonts w:cstheme="minorBidi"/>
              <w:noProof/>
              <w:kern w:val="2"/>
              <w:szCs w:val="22"/>
            </w:rPr>
          </w:pPr>
          <w:r w:rsidRPr="00667AB2">
            <w:rPr>
              <w:rFonts w:ascii="Arial" w:eastAsia="微軟正黑體" w:hAnsi="Arial" w:cs="Arial"/>
              <w:bCs/>
              <w:sz w:val="20"/>
              <w:lang w:val="zh-TW"/>
            </w:rPr>
            <w:fldChar w:fldCharType="begin"/>
          </w:r>
          <w:r w:rsidRPr="00667AB2">
            <w:rPr>
              <w:rFonts w:ascii="Arial" w:eastAsia="微軟正黑體" w:hAnsi="Arial" w:cs="Arial"/>
              <w:bCs/>
              <w:sz w:val="20"/>
              <w:lang w:val="zh-TW"/>
            </w:rPr>
            <w:instrText xml:space="preserve"> TOC \o "1-3" \h \z \u </w:instrText>
          </w:r>
          <w:r w:rsidRPr="00667AB2">
            <w:rPr>
              <w:rFonts w:ascii="Arial" w:eastAsia="微軟正黑體" w:hAnsi="Arial" w:cs="Arial"/>
              <w:bCs/>
              <w:sz w:val="20"/>
              <w:lang w:val="zh-TW"/>
            </w:rPr>
            <w:fldChar w:fldCharType="separate"/>
          </w:r>
          <w:hyperlink w:anchor="_Toc76333494" w:history="1">
            <w:r w:rsidR="001D0BF9" w:rsidRPr="003E5820">
              <w:rPr>
                <w:rStyle w:val="aa"/>
                <w:rFonts w:ascii="Arial" w:hAnsi="Arial" w:cs="Arial"/>
                <w:noProof/>
                <w:lang w:val="en-GB"/>
              </w:rPr>
              <w:t>Table S1. ICD-9-CM and Anatomical Therapeutic Chemical codes that were used in this study</w:t>
            </w:r>
            <w:r w:rsidR="001D0BF9">
              <w:rPr>
                <w:noProof/>
                <w:webHidden/>
              </w:rPr>
              <w:tab/>
            </w:r>
            <w:r w:rsidR="001D0BF9">
              <w:rPr>
                <w:noProof/>
                <w:webHidden/>
              </w:rPr>
              <w:fldChar w:fldCharType="begin"/>
            </w:r>
            <w:r w:rsidR="001D0BF9">
              <w:rPr>
                <w:noProof/>
                <w:webHidden/>
              </w:rPr>
              <w:instrText xml:space="preserve"> PAGEREF _Toc76333494 \h </w:instrText>
            </w:r>
            <w:r w:rsidR="001D0BF9">
              <w:rPr>
                <w:noProof/>
                <w:webHidden/>
              </w:rPr>
            </w:r>
            <w:r w:rsidR="001D0BF9">
              <w:rPr>
                <w:noProof/>
                <w:webHidden/>
              </w:rPr>
              <w:fldChar w:fldCharType="separate"/>
            </w:r>
            <w:r w:rsidR="001D0BF9">
              <w:rPr>
                <w:noProof/>
                <w:webHidden/>
              </w:rPr>
              <w:t>3</w:t>
            </w:r>
            <w:r w:rsidR="001D0BF9">
              <w:rPr>
                <w:noProof/>
                <w:webHidden/>
              </w:rPr>
              <w:fldChar w:fldCharType="end"/>
            </w:r>
          </w:hyperlink>
        </w:p>
        <w:p w14:paraId="3F9E3180" w14:textId="0B3B3C8B" w:rsidR="001D0BF9" w:rsidRDefault="001D0BF9">
          <w:pPr>
            <w:pStyle w:val="11"/>
            <w:tabs>
              <w:tab w:val="right" w:leader="dot" w:pos="8302"/>
            </w:tabs>
            <w:rPr>
              <w:rFonts w:cstheme="minorBidi"/>
              <w:noProof/>
              <w:kern w:val="2"/>
              <w:szCs w:val="22"/>
            </w:rPr>
          </w:pPr>
          <w:hyperlink w:anchor="_Toc76333495" w:history="1">
            <w:r w:rsidRPr="003E5820">
              <w:rPr>
                <w:rStyle w:val="aa"/>
                <w:rFonts w:ascii="Arial" w:hAnsi="Arial" w:cs="Arial"/>
                <w:noProof/>
                <w:lang w:val="en-GB"/>
              </w:rPr>
              <w:t>Appendix 1: Propensity score (PS) models with inverse probability treatment weighting (IPTW)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_Toc76333495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DDC24F" w14:textId="16CC869E" w:rsidR="001D0BF9" w:rsidRDefault="001D0BF9">
          <w:pPr>
            <w:pStyle w:val="11"/>
            <w:tabs>
              <w:tab w:val="right" w:leader="dot" w:pos="8302"/>
            </w:tabs>
            <w:rPr>
              <w:rFonts w:cstheme="minorBidi"/>
              <w:noProof/>
              <w:kern w:val="2"/>
              <w:szCs w:val="22"/>
            </w:rPr>
          </w:pPr>
          <w:hyperlink w:anchor="_Toc76333496" w:history="1">
            <w:r w:rsidRPr="003E5820">
              <w:rPr>
                <w:rStyle w:val="aa"/>
                <w:rFonts w:ascii="Arial" w:hAnsi="Arial" w:cs="Arial"/>
                <w:noProof/>
                <w:lang w:val="en-GB"/>
              </w:rPr>
              <w:t>Appendix 2: Sensitivity analysis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_Toc76333496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41D21" w14:textId="1C9EBDB0" w:rsidR="001D0BF9" w:rsidRDefault="001D0BF9">
          <w:pPr>
            <w:pStyle w:val="21"/>
            <w:tabs>
              <w:tab w:val="right" w:leader="dot" w:pos="8302"/>
            </w:tabs>
            <w:rPr>
              <w:rFonts w:cstheme="minorBidi"/>
              <w:noProof/>
              <w:kern w:val="2"/>
              <w:szCs w:val="22"/>
            </w:rPr>
          </w:pPr>
          <w:hyperlink w:anchor="_Toc76333497" w:history="1">
            <w:r w:rsidRPr="003E5820">
              <w:rPr>
                <w:rStyle w:val="aa"/>
                <w:rFonts w:ascii="Arial" w:hAnsi="Arial" w:cs="Arial"/>
                <w:noProof/>
              </w:rPr>
              <w:t>Sensitivity analysis stratified on propensity score quintile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_Toc76333497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E38F5" w14:textId="15CE9727" w:rsidR="001D0BF9" w:rsidRDefault="001D0BF9">
          <w:pPr>
            <w:pStyle w:val="21"/>
            <w:tabs>
              <w:tab w:val="right" w:leader="dot" w:pos="8302"/>
            </w:tabs>
            <w:rPr>
              <w:rFonts w:cstheme="minorBidi"/>
              <w:noProof/>
              <w:kern w:val="2"/>
              <w:szCs w:val="22"/>
            </w:rPr>
          </w:pPr>
          <w:hyperlink w:anchor="_Toc76333498" w:history="1">
            <w:r w:rsidRPr="003E5820">
              <w:rPr>
                <w:rStyle w:val="aa"/>
                <w:rFonts w:ascii="Arial" w:hAnsi="Arial" w:cs="Arial"/>
                <w:noProof/>
                <w:lang w:val="en-GB"/>
              </w:rPr>
              <w:t>Sensitivity analysis for unmeasured confounding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_Toc76333498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E5D4C" w14:textId="0DD29AE7" w:rsidR="00442494" w:rsidRPr="00191AF6" w:rsidRDefault="00442494">
          <w:pPr>
            <w:rPr>
              <w:rFonts w:ascii="微軟正黑體" w:eastAsia="微軟正黑體" w:hAnsi="微軟正黑體"/>
            </w:rPr>
          </w:pPr>
          <w:r w:rsidRPr="00667AB2">
            <w:rPr>
              <w:rFonts w:ascii="Arial" w:eastAsia="微軟正黑體" w:hAnsi="Arial" w:cs="Arial"/>
              <w:bCs/>
              <w:sz w:val="20"/>
              <w:lang w:val="zh-TW"/>
            </w:rPr>
            <w:fldChar w:fldCharType="end"/>
          </w:r>
        </w:p>
      </w:sdtContent>
    </w:sdt>
    <w:p w14:paraId="6B5B4DFC" w14:textId="77777777" w:rsidR="00563AD4" w:rsidRPr="00E31D44" w:rsidRDefault="00563AD4" w:rsidP="00563AD4"/>
    <w:p w14:paraId="28CBAFB7" w14:textId="77777777" w:rsidR="00563AD4" w:rsidRDefault="00563AD4" w:rsidP="004A2A9B">
      <w:pPr>
        <w:pStyle w:val="a3"/>
        <w:rPr>
          <w:rFonts w:ascii="Arial" w:hAnsi="Arial" w:cs="Arial"/>
          <w:b/>
          <w:sz w:val="24"/>
          <w:szCs w:val="24"/>
          <w:lang w:val="en-GB"/>
        </w:rPr>
      </w:pPr>
    </w:p>
    <w:p w14:paraId="2920BA00" w14:textId="77777777" w:rsidR="009465EC" w:rsidRDefault="009465EC" w:rsidP="009465EC">
      <w:pPr>
        <w:rPr>
          <w:lang w:val="en-GB"/>
        </w:rPr>
      </w:pPr>
    </w:p>
    <w:p w14:paraId="678C6684" w14:textId="77777777" w:rsidR="009465EC" w:rsidRDefault="009465EC" w:rsidP="009465EC">
      <w:pPr>
        <w:rPr>
          <w:lang w:val="en-GB"/>
        </w:rPr>
      </w:pPr>
    </w:p>
    <w:p w14:paraId="1045D1F6" w14:textId="77777777" w:rsidR="009465EC" w:rsidRDefault="009465EC" w:rsidP="009465EC">
      <w:pPr>
        <w:rPr>
          <w:lang w:val="en-GB"/>
        </w:rPr>
      </w:pPr>
    </w:p>
    <w:p w14:paraId="61949572" w14:textId="77777777" w:rsidR="009465EC" w:rsidRDefault="009465EC" w:rsidP="009465EC">
      <w:pPr>
        <w:rPr>
          <w:lang w:val="en-GB"/>
        </w:rPr>
      </w:pPr>
    </w:p>
    <w:p w14:paraId="1C361068" w14:textId="77777777" w:rsidR="009465EC" w:rsidRDefault="009465EC" w:rsidP="009465EC">
      <w:pPr>
        <w:rPr>
          <w:lang w:val="en-GB"/>
        </w:rPr>
      </w:pPr>
    </w:p>
    <w:p w14:paraId="61201F06" w14:textId="3EE7494C" w:rsidR="009465EC" w:rsidRDefault="009465EC" w:rsidP="009465EC">
      <w:pPr>
        <w:rPr>
          <w:lang w:val="en-GB"/>
        </w:rPr>
      </w:pPr>
    </w:p>
    <w:p w14:paraId="49F3CA3E" w14:textId="28A27A00" w:rsidR="00467E04" w:rsidRDefault="00467E04" w:rsidP="009465EC">
      <w:pPr>
        <w:rPr>
          <w:lang w:val="en-GB"/>
        </w:rPr>
      </w:pPr>
    </w:p>
    <w:p w14:paraId="7C2F24CB" w14:textId="77777777" w:rsidR="00467E04" w:rsidRDefault="00467E04" w:rsidP="009465EC">
      <w:pPr>
        <w:rPr>
          <w:lang w:val="en-GB"/>
        </w:rPr>
      </w:pPr>
    </w:p>
    <w:p w14:paraId="285320B1" w14:textId="77777777" w:rsidR="009465EC" w:rsidRDefault="009465EC" w:rsidP="009465EC">
      <w:pPr>
        <w:rPr>
          <w:lang w:val="en-GB"/>
        </w:rPr>
      </w:pPr>
    </w:p>
    <w:p w14:paraId="1819F547" w14:textId="77777777" w:rsidR="009465EC" w:rsidRDefault="009465EC" w:rsidP="009465EC">
      <w:pPr>
        <w:rPr>
          <w:lang w:val="en-GB"/>
        </w:rPr>
      </w:pPr>
    </w:p>
    <w:p w14:paraId="36E36981" w14:textId="77777777" w:rsidR="009465EC" w:rsidRDefault="009465EC" w:rsidP="009465EC">
      <w:pPr>
        <w:rPr>
          <w:lang w:val="en-GB"/>
        </w:rPr>
      </w:pPr>
    </w:p>
    <w:p w14:paraId="4D5342FE" w14:textId="77777777" w:rsidR="009465EC" w:rsidRDefault="009465EC" w:rsidP="009465EC">
      <w:pPr>
        <w:rPr>
          <w:lang w:val="en-GB"/>
        </w:rPr>
      </w:pPr>
    </w:p>
    <w:p w14:paraId="0E3DEEE8" w14:textId="77777777" w:rsidR="009465EC" w:rsidRDefault="009465EC" w:rsidP="009465EC">
      <w:pPr>
        <w:rPr>
          <w:lang w:val="en-GB"/>
        </w:rPr>
      </w:pPr>
    </w:p>
    <w:p w14:paraId="7902EB95" w14:textId="77777777" w:rsidR="009465EC" w:rsidRDefault="009465EC" w:rsidP="009465EC">
      <w:pPr>
        <w:rPr>
          <w:lang w:val="en-GB"/>
        </w:rPr>
      </w:pPr>
    </w:p>
    <w:p w14:paraId="0014A0E7" w14:textId="77777777" w:rsidR="009465EC" w:rsidRDefault="009465EC" w:rsidP="009465EC">
      <w:pPr>
        <w:rPr>
          <w:lang w:val="en-GB"/>
        </w:rPr>
      </w:pPr>
    </w:p>
    <w:p w14:paraId="326D7571" w14:textId="77777777" w:rsidR="009465EC" w:rsidRDefault="009465EC" w:rsidP="009465EC">
      <w:pPr>
        <w:rPr>
          <w:lang w:val="en-GB"/>
        </w:rPr>
      </w:pPr>
    </w:p>
    <w:p w14:paraId="2C3F3A62" w14:textId="77777777" w:rsidR="009465EC" w:rsidRDefault="009465EC" w:rsidP="009465EC">
      <w:pPr>
        <w:rPr>
          <w:lang w:val="en-GB"/>
        </w:rPr>
      </w:pPr>
    </w:p>
    <w:p w14:paraId="10AF89E9" w14:textId="77777777" w:rsidR="009465EC" w:rsidRDefault="009465EC" w:rsidP="009465EC">
      <w:pPr>
        <w:rPr>
          <w:lang w:val="en-GB"/>
        </w:rPr>
      </w:pPr>
    </w:p>
    <w:p w14:paraId="70707040" w14:textId="77777777" w:rsidR="009465EC" w:rsidRDefault="009465EC" w:rsidP="009465EC">
      <w:pPr>
        <w:rPr>
          <w:lang w:val="en-GB"/>
        </w:rPr>
      </w:pPr>
    </w:p>
    <w:p w14:paraId="2AE34041" w14:textId="77777777" w:rsidR="00C0037C" w:rsidRDefault="00C0037C" w:rsidP="009465EC">
      <w:pPr>
        <w:rPr>
          <w:lang w:val="en-GB"/>
        </w:rPr>
      </w:pPr>
    </w:p>
    <w:p w14:paraId="7758834B" w14:textId="77777777" w:rsidR="00972E1D" w:rsidRDefault="00972E1D" w:rsidP="009465EC">
      <w:pPr>
        <w:rPr>
          <w:lang w:val="en-GB"/>
        </w:rPr>
      </w:pPr>
    </w:p>
    <w:p w14:paraId="7628744A" w14:textId="77777777" w:rsidR="00972E1D" w:rsidRDefault="00972E1D" w:rsidP="009465EC">
      <w:pPr>
        <w:rPr>
          <w:lang w:val="en-GB"/>
        </w:rPr>
      </w:pPr>
    </w:p>
    <w:p w14:paraId="248F35EC" w14:textId="77777777" w:rsidR="009465EC" w:rsidRDefault="009465EC" w:rsidP="009465EC">
      <w:pPr>
        <w:rPr>
          <w:lang w:val="en-GB"/>
        </w:rPr>
      </w:pPr>
    </w:p>
    <w:p w14:paraId="38096EE1" w14:textId="3EE19765" w:rsidR="00467E04" w:rsidRPr="004F781A" w:rsidRDefault="00467E04" w:rsidP="00467E04">
      <w:pPr>
        <w:pStyle w:val="a3"/>
        <w:outlineLvl w:val="0"/>
        <w:rPr>
          <w:rFonts w:ascii="Arial" w:hAnsi="Arial" w:cs="Arial"/>
          <w:sz w:val="24"/>
          <w:szCs w:val="24"/>
          <w:lang w:val="en-GB"/>
        </w:rPr>
      </w:pPr>
      <w:bookmarkStart w:id="0" w:name="_Toc53866447"/>
      <w:bookmarkStart w:id="1" w:name="_Toc76333494"/>
      <w:r w:rsidRPr="004F781A">
        <w:rPr>
          <w:rFonts w:ascii="Arial" w:hAnsi="Arial" w:cs="Arial"/>
          <w:sz w:val="24"/>
          <w:szCs w:val="24"/>
          <w:lang w:val="en-GB"/>
        </w:rPr>
        <w:lastRenderedPageBreak/>
        <w:t>Table S</w:t>
      </w:r>
      <w:r w:rsidRPr="004F781A">
        <w:rPr>
          <w:rFonts w:ascii="Arial" w:hAnsi="Arial" w:cs="Arial"/>
          <w:sz w:val="24"/>
          <w:szCs w:val="24"/>
          <w:lang w:val="en-GB"/>
        </w:rPr>
        <w:fldChar w:fldCharType="begin"/>
      </w:r>
      <w:r w:rsidRPr="004F781A">
        <w:rPr>
          <w:rFonts w:ascii="Arial" w:hAnsi="Arial" w:cs="Arial"/>
          <w:sz w:val="24"/>
          <w:szCs w:val="24"/>
          <w:lang w:val="en-GB"/>
        </w:rPr>
        <w:instrText xml:space="preserve"> SEQ Supplementary_Table \* ARABIC </w:instrText>
      </w:r>
      <w:r w:rsidRPr="004F781A">
        <w:rPr>
          <w:rFonts w:ascii="Arial" w:hAnsi="Arial" w:cs="Arial"/>
          <w:sz w:val="24"/>
          <w:szCs w:val="24"/>
          <w:lang w:val="en-GB"/>
        </w:rPr>
        <w:fldChar w:fldCharType="separate"/>
      </w:r>
      <w:r w:rsidRPr="004F781A">
        <w:rPr>
          <w:rFonts w:ascii="Arial" w:hAnsi="Arial" w:cs="Arial"/>
          <w:noProof/>
          <w:sz w:val="24"/>
          <w:szCs w:val="24"/>
          <w:lang w:val="en-GB"/>
        </w:rPr>
        <w:t>1</w:t>
      </w:r>
      <w:r w:rsidRPr="004F781A">
        <w:rPr>
          <w:rFonts w:ascii="Arial" w:hAnsi="Arial" w:cs="Arial"/>
          <w:sz w:val="24"/>
          <w:szCs w:val="24"/>
          <w:lang w:val="en-GB"/>
        </w:rPr>
        <w:fldChar w:fldCharType="end"/>
      </w:r>
      <w:r w:rsidRPr="004F781A">
        <w:rPr>
          <w:rFonts w:ascii="Arial" w:hAnsi="Arial" w:cs="Arial"/>
          <w:sz w:val="24"/>
          <w:szCs w:val="24"/>
          <w:lang w:val="en-GB"/>
        </w:rPr>
        <w:t>. ICD-9-CM and Anatomical Therapeutic Chemical codes that were used in this study</w:t>
      </w:r>
      <w:bookmarkEnd w:id="1"/>
    </w:p>
    <w:tbl>
      <w:tblPr>
        <w:tblStyle w:val="TableNormal1"/>
        <w:tblpPr w:leftFromText="180" w:rightFromText="180" w:vertAnchor="text" w:horzAnchor="margin" w:tblpY="34"/>
        <w:tblW w:w="93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392"/>
      </w:tblGrid>
      <w:tr w:rsidR="00CB0887" w:rsidRPr="004F781A" w14:paraId="4D962AA8" w14:textId="77777777" w:rsidTr="00085191">
        <w:trPr>
          <w:trHeight w:val="558"/>
        </w:trPr>
        <w:tc>
          <w:tcPr>
            <w:tcW w:w="3964" w:type="dxa"/>
          </w:tcPr>
          <w:p w14:paraId="6F39A0FE" w14:textId="251F4DBA" w:rsidR="00CB0887" w:rsidRPr="004F781A" w:rsidRDefault="00966EA5" w:rsidP="00966EA5">
            <w:pPr>
              <w:pStyle w:val="TableParagraph"/>
              <w:spacing w:before="67"/>
              <w:ind w:left="103"/>
              <w:rPr>
                <w:rFonts w:ascii="Arial" w:hAnsi="Arial" w:cs="Arial"/>
                <w:b/>
                <w:sz w:val="24"/>
                <w:szCs w:val="24"/>
                <w:lang w:val="en-GB" w:eastAsia="zh-TW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 w:eastAsia="zh-TW"/>
              </w:rPr>
              <w:t>H</w:t>
            </w:r>
            <w:r w:rsidRPr="00966EA5">
              <w:rPr>
                <w:rFonts w:ascii="Arial" w:hAnsi="Arial" w:cs="Arial"/>
                <w:b/>
                <w:sz w:val="24"/>
                <w:szCs w:val="24"/>
                <w:lang w:val="en-GB" w:eastAsia="zh-TW"/>
              </w:rPr>
              <w:t xml:space="preserve">ospitalisation for </w:t>
            </w:r>
            <w:r w:rsidR="00CB0887" w:rsidRPr="004F781A">
              <w:rPr>
                <w:rFonts w:ascii="Arial" w:hAnsi="Arial" w:cs="Arial"/>
                <w:b/>
                <w:sz w:val="24"/>
                <w:szCs w:val="24"/>
                <w:lang w:val="en-GB" w:eastAsia="zh-TW"/>
              </w:rPr>
              <w:t>Cardiovascular morbidities</w:t>
            </w:r>
            <w:r>
              <w:t xml:space="preserve"> </w:t>
            </w:r>
          </w:p>
        </w:tc>
        <w:tc>
          <w:tcPr>
            <w:tcW w:w="5392" w:type="dxa"/>
          </w:tcPr>
          <w:p w14:paraId="10E21D99" w14:textId="29E21CDF" w:rsidR="00CB0887" w:rsidRPr="004F781A" w:rsidRDefault="00CB0887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b/>
                <w:spacing w:val="12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b/>
                <w:spacing w:val="12"/>
                <w:sz w:val="24"/>
                <w:szCs w:val="24"/>
                <w:lang w:val="en-GB"/>
              </w:rPr>
              <w:t>ICD-9-CM codes</w:t>
            </w:r>
            <w:r w:rsidR="00966EA5">
              <w:rPr>
                <w:rFonts w:ascii="Arial" w:hAnsi="Arial" w:cs="Arial"/>
                <w:b/>
                <w:spacing w:val="12"/>
                <w:sz w:val="24"/>
                <w:szCs w:val="24"/>
                <w:lang w:val="en-GB"/>
              </w:rPr>
              <w:t xml:space="preserve"> </w:t>
            </w:r>
            <w:r w:rsidR="00966EA5">
              <w:t>(</w:t>
            </w:r>
            <w:r w:rsidR="00966EA5" w:rsidRPr="00966EA5">
              <w:rPr>
                <w:rFonts w:ascii="Arial" w:hAnsi="Arial" w:cs="Arial"/>
                <w:sz w:val="24"/>
                <w:szCs w:val="24"/>
                <w:lang w:val="en-GB" w:eastAsia="zh-TW"/>
              </w:rPr>
              <w:t>identified from the inpatient claims data</w:t>
            </w:r>
            <w:r w:rsidR="00966EA5">
              <w:rPr>
                <w:rFonts w:ascii="Arial" w:hAnsi="Arial" w:cs="Arial"/>
                <w:sz w:val="24"/>
                <w:szCs w:val="24"/>
                <w:lang w:val="en-GB" w:eastAsia="zh-TW"/>
              </w:rPr>
              <w:t>)</w:t>
            </w:r>
            <w:r w:rsidR="00966EA5" w:rsidRPr="00966EA5">
              <w:rPr>
                <w:rFonts w:ascii="Arial" w:hAnsi="Arial" w:cs="Arial"/>
                <w:sz w:val="24"/>
                <w:szCs w:val="24"/>
                <w:lang w:val="en-GB" w:eastAsia="zh-TW"/>
              </w:rPr>
              <w:t xml:space="preserve"> </w:t>
            </w:r>
            <w:r w:rsidR="00966EA5" w:rsidRPr="00966EA5">
              <w:rPr>
                <w:rFonts w:ascii="Arial" w:hAnsi="Arial" w:cs="Arial"/>
              </w:rPr>
              <w:t xml:space="preserve"> </w:t>
            </w:r>
          </w:p>
        </w:tc>
      </w:tr>
      <w:tr w:rsidR="00CB0887" w:rsidRPr="004F781A" w14:paraId="23B74784" w14:textId="77777777" w:rsidTr="00085191">
        <w:trPr>
          <w:trHeight w:val="558"/>
        </w:trPr>
        <w:tc>
          <w:tcPr>
            <w:tcW w:w="3964" w:type="dxa"/>
          </w:tcPr>
          <w:p w14:paraId="14EF5217" w14:textId="25961971" w:rsidR="00CB0887" w:rsidRPr="004F781A" w:rsidRDefault="00966EA5" w:rsidP="00966EA5">
            <w:pPr>
              <w:pStyle w:val="TableParagraph"/>
              <w:spacing w:before="67"/>
              <w:ind w:left="103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Is</w:t>
            </w:r>
            <w:r w:rsidR="00CB0887" w:rsidRPr="004F781A">
              <w:rPr>
                <w:rFonts w:ascii="Arial" w:hAnsi="Arial" w:cs="Arial"/>
                <w:sz w:val="24"/>
                <w:szCs w:val="24"/>
                <w:lang w:val="en-GB"/>
              </w:rPr>
              <w:t xml:space="preserve">chaemic heart disease </w:t>
            </w:r>
          </w:p>
        </w:tc>
        <w:tc>
          <w:tcPr>
            <w:tcW w:w="5392" w:type="dxa"/>
          </w:tcPr>
          <w:p w14:paraId="3C2CF4C7" w14:textId="7624927B" w:rsidR="00CB0887" w:rsidRPr="004F781A" w:rsidRDefault="00CB0887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spacing w:val="12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410, 411, 413</w:t>
            </w:r>
          </w:p>
        </w:tc>
      </w:tr>
      <w:tr w:rsidR="00CB0887" w:rsidRPr="004F781A" w14:paraId="681A54F2" w14:textId="77777777" w:rsidTr="00085191">
        <w:trPr>
          <w:trHeight w:val="558"/>
        </w:trPr>
        <w:tc>
          <w:tcPr>
            <w:tcW w:w="3964" w:type="dxa"/>
          </w:tcPr>
          <w:p w14:paraId="493F68E5" w14:textId="5A726BD6" w:rsidR="00CB0887" w:rsidRPr="004F781A" w:rsidRDefault="00966EA5" w:rsidP="00CB0887">
            <w:pPr>
              <w:pStyle w:val="TableParagraph"/>
              <w:spacing w:before="67"/>
              <w:ind w:left="103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I</w:t>
            </w:r>
            <w:r w:rsidR="00CB0887" w:rsidRPr="004F781A">
              <w:rPr>
                <w:rFonts w:ascii="Arial" w:hAnsi="Arial" w:cs="Arial"/>
                <w:sz w:val="24"/>
                <w:szCs w:val="24"/>
                <w:lang w:val="en-GB"/>
              </w:rPr>
              <w:t xml:space="preserve">schaemic stroke </w:t>
            </w:r>
          </w:p>
        </w:tc>
        <w:tc>
          <w:tcPr>
            <w:tcW w:w="5392" w:type="dxa"/>
          </w:tcPr>
          <w:p w14:paraId="20A80025" w14:textId="72D8A842" w:rsidR="00CB0887" w:rsidRPr="004F781A" w:rsidRDefault="00CB0887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spacing w:val="12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433 or 434</w:t>
            </w:r>
          </w:p>
        </w:tc>
      </w:tr>
      <w:tr w:rsidR="00467E04" w:rsidRPr="004F781A" w14:paraId="051D4D65" w14:textId="77777777" w:rsidTr="00085191">
        <w:trPr>
          <w:trHeight w:val="558"/>
        </w:trPr>
        <w:tc>
          <w:tcPr>
            <w:tcW w:w="3964" w:type="dxa"/>
          </w:tcPr>
          <w:p w14:paraId="5CEF86AD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b/>
                <w:sz w:val="24"/>
                <w:szCs w:val="24"/>
                <w:lang w:val="en-GB"/>
              </w:rPr>
              <w:t>Comorbidities</w:t>
            </w:r>
          </w:p>
        </w:tc>
        <w:tc>
          <w:tcPr>
            <w:tcW w:w="5392" w:type="dxa"/>
          </w:tcPr>
          <w:p w14:paraId="6C0E8BFD" w14:textId="17311E42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b/>
                <w:spacing w:val="12"/>
                <w:sz w:val="24"/>
                <w:szCs w:val="24"/>
                <w:lang w:val="en-GB"/>
              </w:rPr>
              <w:t>ICD-9-CM</w:t>
            </w:r>
            <w:r w:rsidRPr="004F781A">
              <w:rPr>
                <w:rFonts w:ascii="Arial" w:hAnsi="Arial" w:cs="Arial"/>
                <w:b/>
                <w:spacing w:val="37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b/>
                <w:spacing w:val="11"/>
                <w:sz w:val="24"/>
                <w:szCs w:val="24"/>
                <w:lang w:val="en-GB"/>
              </w:rPr>
              <w:t>codes</w:t>
            </w:r>
            <w:r w:rsidR="00E80E0E" w:rsidRPr="00E80E0E">
              <w:rPr>
                <w:rFonts w:ascii="Arial" w:hAnsi="Arial" w:cs="Arial"/>
                <w:spacing w:val="11"/>
                <w:sz w:val="24"/>
                <w:szCs w:val="24"/>
                <w:lang w:val="en-GB"/>
              </w:rPr>
              <w:t xml:space="preserve">(identified from the inpatient </w:t>
            </w:r>
            <w:r w:rsidR="00E80E0E">
              <w:rPr>
                <w:rFonts w:ascii="Arial" w:hAnsi="Arial" w:cs="Arial" w:hint="eastAsia"/>
                <w:spacing w:val="11"/>
                <w:sz w:val="24"/>
                <w:szCs w:val="24"/>
                <w:lang w:val="en-GB" w:eastAsia="zh-TW"/>
              </w:rPr>
              <w:t>a</w:t>
            </w:r>
            <w:r w:rsidR="00E80E0E">
              <w:rPr>
                <w:rFonts w:ascii="Arial" w:hAnsi="Arial" w:cs="Arial"/>
                <w:spacing w:val="11"/>
                <w:sz w:val="24"/>
                <w:szCs w:val="24"/>
                <w:lang w:val="en-GB" w:eastAsia="zh-TW"/>
              </w:rPr>
              <w:t xml:space="preserve">nd outpatient </w:t>
            </w:r>
            <w:r w:rsidR="00E80E0E" w:rsidRPr="00E80E0E">
              <w:rPr>
                <w:rFonts w:ascii="Arial" w:hAnsi="Arial" w:cs="Arial"/>
                <w:spacing w:val="11"/>
                <w:sz w:val="24"/>
                <w:szCs w:val="24"/>
                <w:lang w:val="en-GB"/>
              </w:rPr>
              <w:t xml:space="preserve">claims data) </w:t>
            </w:r>
            <w:r w:rsidR="00E80E0E" w:rsidRPr="00E80E0E">
              <w:rPr>
                <w:rFonts w:ascii="Arial" w:hAnsi="Arial" w:cs="Arial"/>
                <w:b/>
                <w:spacing w:val="11"/>
                <w:sz w:val="24"/>
                <w:szCs w:val="24"/>
                <w:lang w:val="en-GB"/>
              </w:rPr>
              <w:t xml:space="preserve"> </w:t>
            </w:r>
          </w:p>
        </w:tc>
      </w:tr>
      <w:tr w:rsidR="00467E04" w:rsidRPr="004F781A" w14:paraId="12C07009" w14:textId="77777777" w:rsidTr="00085191">
        <w:trPr>
          <w:trHeight w:val="558"/>
        </w:trPr>
        <w:tc>
          <w:tcPr>
            <w:tcW w:w="3964" w:type="dxa"/>
          </w:tcPr>
          <w:p w14:paraId="502EBF22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hAnsi="Arial" w:cs="Arial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 w:eastAsia="zh-TW"/>
              </w:rPr>
              <w:t>Hypertension</w:t>
            </w:r>
          </w:p>
        </w:tc>
        <w:tc>
          <w:tcPr>
            <w:tcW w:w="5392" w:type="dxa"/>
          </w:tcPr>
          <w:p w14:paraId="2C6751F8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hAnsi="Arial" w:cs="Arial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 w:eastAsia="zh-TW"/>
              </w:rPr>
              <w:t>401-405</w:t>
            </w:r>
          </w:p>
        </w:tc>
      </w:tr>
      <w:tr w:rsidR="00467E04" w:rsidRPr="004F781A" w14:paraId="2D9365E9" w14:textId="77777777" w:rsidTr="00085191">
        <w:trPr>
          <w:trHeight w:val="558"/>
        </w:trPr>
        <w:tc>
          <w:tcPr>
            <w:tcW w:w="3964" w:type="dxa"/>
          </w:tcPr>
          <w:p w14:paraId="7B96D40B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Diabetes</w:t>
            </w:r>
          </w:p>
        </w:tc>
        <w:tc>
          <w:tcPr>
            <w:tcW w:w="5392" w:type="dxa"/>
          </w:tcPr>
          <w:p w14:paraId="6451B4D6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250</w:t>
            </w:r>
          </w:p>
        </w:tc>
      </w:tr>
      <w:tr w:rsidR="00467E04" w:rsidRPr="004F781A" w14:paraId="3ADE8DEF" w14:textId="77777777" w:rsidTr="00085191">
        <w:trPr>
          <w:trHeight w:val="558"/>
        </w:trPr>
        <w:tc>
          <w:tcPr>
            <w:tcW w:w="3964" w:type="dxa"/>
          </w:tcPr>
          <w:p w14:paraId="0AB97244" w14:textId="77777777" w:rsidR="00467E04" w:rsidRPr="004F781A" w:rsidRDefault="00467E04" w:rsidP="00834A19">
            <w:pPr>
              <w:pStyle w:val="TableParagraph"/>
              <w:spacing w:before="65" w:line="376" w:lineRule="auto"/>
              <w:ind w:left="103" w:right="700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Dyslipidemia</w:t>
            </w:r>
          </w:p>
        </w:tc>
        <w:tc>
          <w:tcPr>
            <w:tcW w:w="5392" w:type="dxa"/>
          </w:tcPr>
          <w:p w14:paraId="07614D49" w14:textId="77777777" w:rsidR="00467E04" w:rsidRPr="004F781A" w:rsidRDefault="00467E04" w:rsidP="00834A19">
            <w:pPr>
              <w:pStyle w:val="TableParagraph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272</w:t>
            </w:r>
          </w:p>
        </w:tc>
      </w:tr>
      <w:tr w:rsidR="00467E04" w:rsidRPr="004F781A" w14:paraId="2A6F8BD4" w14:textId="77777777" w:rsidTr="00085191">
        <w:trPr>
          <w:trHeight w:val="558"/>
        </w:trPr>
        <w:tc>
          <w:tcPr>
            <w:tcW w:w="3964" w:type="dxa"/>
          </w:tcPr>
          <w:p w14:paraId="06F7EE4F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Renal</w:t>
            </w:r>
            <w:r w:rsidRPr="004F781A">
              <w:rPr>
                <w:rFonts w:ascii="Arial" w:hAnsi="Arial" w:cs="Arial"/>
                <w:spacing w:val="-13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disease</w:t>
            </w:r>
          </w:p>
        </w:tc>
        <w:tc>
          <w:tcPr>
            <w:tcW w:w="5392" w:type="dxa"/>
          </w:tcPr>
          <w:p w14:paraId="707DF010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403.01, 403.11, 403.91, 404.02, 404.03,</w:t>
            </w:r>
            <w:r w:rsidRPr="004F781A">
              <w:rPr>
                <w:rFonts w:ascii="Arial" w:hAnsi="Arial" w:cs="Arial"/>
                <w:spacing w:val="-21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404.12, 404.13, 404.92, 404.93, 580-589, V45.1,</w:t>
            </w:r>
            <w:r w:rsidRPr="004F781A">
              <w:rPr>
                <w:rFonts w:ascii="Arial" w:hAnsi="Arial" w:cs="Arial"/>
                <w:spacing w:val="-14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V56.0, V56.8</w:t>
            </w:r>
          </w:p>
        </w:tc>
      </w:tr>
      <w:tr w:rsidR="00467E04" w:rsidRPr="004F781A" w14:paraId="5A9617FE" w14:textId="77777777" w:rsidTr="00085191">
        <w:trPr>
          <w:trHeight w:val="558"/>
        </w:trPr>
        <w:tc>
          <w:tcPr>
            <w:tcW w:w="3964" w:type="dxa"/>
          </w:tcPr>
          <w:p w14:paraId="1453FACB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Liver</w:t>
            </w:r>
            <w:r w:rsidRPr="004F781A">
              <w:rPr>
                <w:rFonts w:ascii="Arial" w:hAnsi="Arial" w:cs="Arial"/>
                <w:spacing w:val="-13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disease</w:t>
            </w:r>
          </w:p>
        </w:tc>
        <w:tc>
          <w:tcPr>
            <w:tcW w:w="5392" w:type="dxa"/>
          </w:tcPr>
          <w:p w14:paraId="74C8E8C1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070.2x, 070.3x, V02.61, 070.41, 070.44,</w:t>
            </w:r>
            <w:r w:rsidRPr="004F781A">
              <w:rPr>
                <w:rFonts w:ascii="Arial" w:hAnsi="Arial" w:cs="Arial"/>
                <w:spacing w:val="-17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070.51, 070.54, V02.62, 570-573</w:t>
            </w:r>
          </w:p>
        </w:tc>
      </w:tr>
      <w:tr w:rsidR="00467E04" w:rsidRPr="004F781A" w14:paraId="6E56866D" w14:textId="77777777" w:rsidTr="00085191">
        <w:trPr>
          <w:trHeight w:val="558"/>
        </w:trPr>
        <w:tc>
          <w:tcPr>
            <w:tcW w:w="3964" w:type="dxa"/>
          </w:tcPr>
          <w:p w14:paraId="4B234A0F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Chronic lung</w:t>
            </w:r>
            <w:r w:rsidRPr="004F781A">
              <w:rPr>
                <w:rFonts w:ascii="Arial" w:hAnsi="Arial" w:cs="Arial"/>
                <w:spacing w:val="-11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disease</w:t>
            </w:r>
          </w:p>
        </w:tc>
        <w:tc>
          <w:tcPr>
            <w:tcW w:w="5392" w:type="dxa"/>
          </w:tcPr>
          <w:p w14:paraId="23DCF2AC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490-496,</w:t>
            </w:r>
            <w:r w:rsidRPr="004F781A">
              <w:rPr>
                <w:rFonts w:ascii="Arial" w:hAnsi="Arial" w:cs="Arial"/>
                <w:spacing w:val="-3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500-508</w:t>
            </w:r>
          </w:p>
        </w:tc>
      </w:tr>
      <w:tr w:rsidR="00467E04" w:rsidRPr="004F781A" w14:paraId="54DD3C6B" w14:textId="77777777" w:rsidTr="00085191">
        <w:trPr>
          <w:trHeight w:val="558"/>
        </w:trPr>
        <w:tc>
          <w:tcPr>
            <w:tcW w:w="3964" w:type="dxa"/>
          </w:tcPr>
          <w:p w14:paraId="086FEA8E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b/>
                <w:spacing w:val="13"/>
                <w:sz w:val="24"/>
                <w:szCs w:val="24"/>
                <w:lang w:val="en-GB"/>
              </w:rPr>
              <w:t>Medications</w:t>
            </w:r>
          </w:p>
        </w:tc>
        <w:tc>
          <w:tcPr>
            <w:tcW w:w="5392" w:type="dxa"/>
          </w:tcPr>
          <w:p w14:paraId="4885ECE1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b/>
                <w:spacing w:val="9"/>
                <w:sz w:val="24"/>
                <w:szCs w:val="24"/>
                <w:lang w:val="en-GB"/>
              </w:rPr>
              <w:t>ATC</w:t>
            </w:r>
            <w:r w:rsidRPr="004F781A">
              <w:rPr>
                <w:rFonts w:ascii="Arial" w:hAnsi="Arial" w:cs="Arial"/>
                <w:b/>
                <w:spacing w:val="30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b/>
                <w:spacing w:val="11"/>
                <w:sz w:val="24"/>
                <w:szCs w:val="24"/>
                <w:lang w:val="en-GB"/>
              </w:rPr>
              <w:t>codes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467E04" w:rsidRPr="004F781A" w14:paraId="50D3A10E" w14:textId="77777777" w:rsidTr="00085191">
        <w:trPr>
          <w:trHeight w:val="558"/>
        </w:trPr>
        <w:tc>
          <w:tcPr>
            <w:tcW w:w="3964" w:type="dxa"/>
          </w:tcPr>
          <w:p w14:paraId="4663B60E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spacing w:val="13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pacing w:val="13"/>
                <w:sz w:val="24"/>
                <w:szCs w:val="24"/>
                <w:lang w:val="en-GB" w:eastAsia="zh-TW"/>
              </w:rPr>
              <w:t xml:space="preserve">Methotrexate </w:t>
            </w:r>
          </w:p>
        </w:tc>
        <w:tc>
          <w:tcPr>
            <w:tcW w:w="5392" w:type="dxa"/>
          </w:tcPr>
          <w:p w14:paraId="7A4C011D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spacing w:val="9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pacing w:val="9"/>
                <w:sz w:val="24"/>
                <w:szCs w:val="24"/>
                <w:lang w:val="en-GB"/>
              </w:rPr>
              <w:t>L01BA01, L04AX03</w:t>
            </w:r>
          </w:p>
        </w:tc>
      </w:tr>
      <w:tr w:rsidR="00467E04" w:rsidRPr="004F781A" w14:paraId="57126238" w14:textId="77777777" w:rsidTr="00085191">
        <w:trPr>
          <w:trHeight w:val="558"/>
        </w:trPr>
        <w:tc>
          <w:tcPr>
            <w:tcW w:w="3964" w:type="dxa"/>
          </w:tcPr>
          <w:p w14:paraId="61D68919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spacing w:val="13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pacing w:val="13"/>
                <w:sz w:val="24"/>
                <w:szCs w:val="24"/>
                <w:lang w:val="en-GB" w:eastAsia="zh-TW"/>
              </w:rPr>
              <w:t>Retinoid</w:t>
            </w:r>
          </w:p>
        </w:tc>
        <w:tc>
          <w:tcPr>
            <w:tcW w:w="5392" w:type="dxa"/>
          </w:tcPr>
          <w:p w14:paraId="7E567D50" w14:textId="77777777" w:rsidR="00467E04" w:rsidRPr="004F781A" w:rsidRDefault="00467E04" w:rsidP="00834A19">
            <w:pPr>
              <w:pStyle w:val="TableParagraph"/>
              <w:spacing w:before="67"/>
              <w:ind w:left="103"/>
              <w:rPr>
                <w:rFonts w:ascii="Arial" w:hAnsi="Arial" w:cs="Arial"/>
                <w:spacing w:val="9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pacing w:val="9"/>
                <w:sz w:val="24"/>
                <w:szCs w:val="24"/>
                <w:lang w:val="en-GB" w:eastAsia="zh-TW"/>
              </w:rPr>
              <w:t>D05BB</w:t>
            </w:r>
          </w:p>
        </w:tc>
      </w:tr>
      <w:tr w:rsidR="00467E04" w:rsidRPr="004F781A" w14:paraId="1FA7D9DF" w14:textId="77777777" w:rsidTr="00085191">
        <w:trPr>
          <w:trHeight w:val="558"/>
        </w:trPr>
        <w:tc>
          <w:tcPr>
            <w:tcW w:w="3964" w:type="dxa"/>
          </w:tcPr>
          <w:p w14:paraId="774ED76E" w14:textId="77777777" w:rsidR="00467E04" w:rsidRPr="004F781A" w:rsidRDefault="00467E04" w:rsidP="00834A19">
            <w:pPr>
              <w:pStyle w:val="TableParagraph"/>
              <w:spacing w:before="63" w:line="376" w:lineRule="auto"/>
              <w:ind w:left="103" w:right="678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w w:val="95"/>
                <w:sz w:val="24"/>
                <w:szCs w:val="24"/>
                <w:lang w:val="en-GB"/>
              </w:rPr>
              <w:t xml:space="preserve">Angiotensin-converting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enzyme</w:t>
            </w:r>
            <w:r w:rsidRPr="004F781A">
              <w:rPr>
                <w:rFonts w:ascii="Arial" w:hAnsi="Arial" w:cs="Arial"/>
                <w:spacing w:val="-9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inhibitors/angiotensin receptor</w:t>
            </w:r>
            <w:r w:rsidRPr="004F781A">
              <w:rPr>
                <w:rFonts w:ascii="Arial" w:hAnsi="Arial" w:cs="Arial"/>
                <w:spacing w:val="-13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blockers</w:t>
            </w:r>
          </w:p>
        </w:tc>
        <w:tc>
          <w:tcPr>
            <w:tcW w:w="5392" w:type="dxa"/>
          </w:tcPr>
          <w:p w14:paraId="26AB960B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C09</w:t>
            </w:r>
          </w:p>
        </w:tc>
      </w:tr>
      <w:tr w:rsidR="00467E04" w:rsidRPr="004F781A" w14:paraId="430FFF74" w14:textId="77777777" w:rsidTr="00085191">
        <w:trPr>
          <w:trHeight w:val="558"/>
        </w:trPr>
        <w:tc>
          <w:tcPr>
            <w:tcW w:w="3964" w:type="dxa"/>
          </w:tcPr>
          <w:p w14:paraId="055E0A7F" w14:textId="77777777" w:rsidR="00467E04" w:rsidRPr="004F781A" w:rsidRDefault="00467E04" w:rsidP="00834A19">
            <w:pPr>
              <w:pStyle w:val="TableParagraph"/>
              <w:spacing w:before="65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Antihypertensive agents</w:t>
            </w:r>
          </w:p>
        </w:tc>
        <w:tc>
          <w:tcPr>
            <w:tcW w:w="5392" w:type="dxa"/>
          </w:tcPr>
          <w:p w14:paraId="03C54C62" w14:textId="77777777" w:rsidR="00467E04" w:rsidRPr="004F781A" w:rsidRDefault="00467E04" w:rsidP="00834A19">
            <w:pPr>
              <w:pStyle w:val="TableParagraph"/>
              <w:spacing w:before="65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C02</w:t>
            </w:r>
          </w:p>
        </w:tc>
      </w:tr>
      <w:tr w:rsidR="00467E04" w:rsidRPr="004F781A" w14:paraId="62BE6801" w14:textId="77777777" w:rsidTr="00085191">
        <w:trPr>
          <w:trHeight w:val="558"/>
        </w:trPr>
        <w:tc>
          <w:tcPr>
            <w:tcW w:w="3964" w:type="dxa"/>
          </w:tcPr>
          <w:p w14:paraId="57C7D34A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Beta-blockers</w:t>
            </w:r>
          </w:p>
        </w:tc>
        <w:tc>
          <w:tcPr>
            <w:tcW w:w="5392" w:type="dxa"/>
          </w:tcPr>
          <w:p w14:paraId="2801A908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C07</w:t>
            </w:r>
          </w:p>
        </w:tc>
      </w:tr>
      <w:tr w:rsidR="00467E04" w:rsidRPr="004F781A" w14:paraId="146EF1F9" w14:textId="77777777" w:rsidTr="00085191">
        <w:trPr>
          <w:trHeight w:val="558"/>
        </w:trPr>
        <w:tc>
          <w:tcPr>
            <w:tcW w:w="3964" w:type="dxa"/>
          </w:tcPr>
          <w:p w14:paraId="3DA8CEDF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Calcium channel</w:t>
            </w:r>
            <w:r w:rsidRPr="004F781A">
              <w:rPr>
                <w:rFonts w:ascii="Arial" w:hAnsi="Arial" w:cs="Arial"/>
                <w:spacing w:val="-11"/>
                <w:sz w:val="24"/>
                <w:szCs w:val="24"/>
                <w:lang w:val="en-GB"/>
              </w:rPr>
              <w:t xml:space="preserve"> </w:t>
            </w: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blockers</w:t>
            </w:r>
          </w:p>
        </w:tc>
        <w:tc>
          <w:tcPr>
            <w:tcW w:w="5392" w:type="dxa"/>
          </w:tcPr>
          <w:p w14:paraId="1015190E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C08</w:t>
            </w:r>
          </w:p>
        </w:tc>
      </w:tr>
      <w:tr w:rsidR="00467E04" w:rsidRPr="004F781A" w14:paraId="5888BFD1" w14:textId="77777777" w:rsidTr="00085191">
        <w:trPr>
          <w:trHeight w:val="558"/>
        </w:trPr>
        <w:tc>
          <w:tcPr>
            <w:tcW w:w="3964" w:type="dxa"/>
          </w:tcPr>
          <w:p w14:paraId="7F45A6A9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Diuretics</w:t>
            </w:r>
          </w:p>
        </w:tc>
        <w:tc>
          <w:tcPr>
            <w:tcW w:w="5392" w:type="dxa"/>
          </w:tcPr>
          <w:p w14:paraId="2E178CFE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C03</w:t>
            </w:r>
          </w:p>
        </w:tc>
      </w:tr>
      <w:tr w:rsidR="00467E04" w:rsidRPr="004F781A" w14:paraId="7C7C7121" w14:textId="77777777" w:rsidTr="00085191">
        <w:trPr>
          <w:trHeight w:val="558"/>
        </w:trPr>
        <w:tc>
          <w:tcPr>
            <w:tcW w:w="3964" w:type="dxa"/>
          </w:tcPr>
          <w:p w14:paraId="1133A313" w14:textId="77777777" w:rsidR="00467E04" w:rsidRPr="004F781A" w:rsidRDefault="00467E04" w:rsidP="00834A19">
            <w:pPr>
              <w:pStyle w:val="TableParagraph"/>
              <w:spacing w:before="65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Glucose-lowering drugs</w:t>
            </w:r>
          </w:p>
        </w:tc>
        <w:tc>
          <w:tcPr>
            <w:tcW w:w="5392" w:type="dxa"/>
          </w:tcPr>
          <w:p w14:paraId="0503C3D5" w14:textId="77777777" w:rsidR="00467E04" w:rsidRPr="004F781A" w:rsidRDefault="00467E04" w:rsidP="00834A19">
            <w:pPr>
              <w:pStyle w:val="TableParagraph"/>
              <w:spacing w:before="65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A10</w:t>
            </w:r>
          </w:p>
        </w:tc>
      </w:tr>
      <w:tr w:rsidR="00467E04" w:rsidRPr="004F781A" w14:paraId="186AC3FA" w14:textId="77777777" w:rsidTr="00085191">
        <w:trPr>
          <w:trHeight w:val="558"/>
        </w:trPr>
        <w:tc>
          <w:tcPr>
            <w:tcW w:w="3964" w:type="dxa"/>
          </w:tcPr>
          <w:p w14:paraId="4D0D0C61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Cholesterol-lowering drugs</w:t>
            </w:r>
          </w:p>
        </w:tc>
        <w:tc>
          <w:tcPr>
            <w:tcW w:w="5392" w:type="dxa"/>
          </w:tcPr>
          <w:p w14:paraId="08A0B5CA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C10A</w:t>
            </w:r>
          </w:p>
        </w:tc>
      </w:tr>
      <w:tr w:rsidR="00467E04" w:rsidRPr="004F781A" w14:paraId="6F090845" w14:textId="77777777" w:rsidTr="00085191">
        <w:trPr>
          <w:trHeight w:val="558"/>
        </w:trPr>
        <w:tc>
          <w:tcPr>
            <w:tcW w:w="3964" w:type="dxa"/>
          </w:tcPr>
          <w:p w14:paraId="52ED0D22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pacing w:val="-3"/>
                <w:sz w:val="24"/>
                <w:szCs w:val="24"/>
                <w:lang w:val="en-GB"/>
              </w:rPr>
              <w:t>Vitamin K antagonists</w:t>
            </w:r>
          </w:p>
        </w:tc>
        <w:tc>
          <w:tcPr>
            <w:tcW w:w="5392" w:type="dxa"/>
          </w:tcPr>
          <w:p w14:paraId="6B1DBDD8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B01AA</w:t>
            </w:r>
          </w:p>
        </w:tc>
      </w:tr>
      <w:tr w:rsidR="00467E04" w:rsidRPr="004F781A" w14:paraId="7AC88D57" w14:textId="77777777" w:rsidTr="00085191">
        <w:trPr>
          <w:trHeight w:val="558"/>
        </w:trPr>
        <w:tc>
          <w:tcPr>
            <w:tcW w:w="3964" w:type="dxa"/>
          </w:tcPr>
          <w:p w14:paraId="488F2232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Platelet inhibitors</w:t>
            </w:r>
          </w:p>
        </w:tc>
        <w:tc>
          <w:tcPr>
            <w:tcW w:w="5392" w:type="dxa"/>
          </w:tcPr>
          <w:p w14:paraId="361FBDFE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B01AC</w:t>
            </w:r>
          </w:p>
        </w:tc>
      </w:tr>
      <w:tr w:rsidR="00467E04" w:rsidRPr="004F781A" w14:paraId="0DFC8381" w14:textId="77777777" w:rsidTr="00085191">
        <w:trPr>
          <w:trHeight w:val="558"/>
        </w:trPr>
        <w:tc>
          <w:tcPr>
            <w:tcW w:w="3964" w:type="dxa"/>
          </w:tcPr>
          <w:p w14:paraId="7AE33B29" w14:textId="77777777" w:rsidR="00467E04" w:rsidRPr="004F781A" w:rsidRDefault="00467E04" w:rsidP="00834A19">
            <w:pPr>
              <w:pStyle w:val="TableParagraph"/>
              <w:spacing w:before="65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Nonsteroidal anti-inflammatory drugs</w:t>
            </w:r>
          </w:p>
        </w:tc>
        <w:tc>
          <w:tcPr>
            <w:tcW w:w="5392" w:type="dxa"/>
          </w:tcPr>
          <w:p w14:paraId="7A619E22" w14:textId="77777777" w:rsidR="00467E04" w:rsidRPr="004F781A" w:rsidRDefault="00467E04" w:rsidP="00834A19">
            <w:pPr>
              <w:pStyle w:val="TableParagraph"/>
              <w:spacing w:before="65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M01A</w:t>
            </w:r>
            <w:r w:rsidRPr="004F781A">
              <w:rPr>
                <w:rFonts w:ascii="Arial" w:hAnsi="Arial" w:cs="Arial"/>
                <w:spacing w:val="-18"/>
                <w:sz w:val="24"/>
                <w:szCs w:val="24"/>
                <w:lang w:val="en-GB"/>
              </w:rPr>
              <w:t xml:space="preserve"> </w:t>
            </w:r>
          </w:p>
        </w:tc>
      </w:tr>
      <w:tr w:rsidR="00467E04" w:rsidRPr="004F781A" w14:paraId="1DF7BBA6" w14:textId="77777777" w:rsidTr="00085191">
        <w:trPr>
          <w:trHeight w:val="558"/>
        </w:trPr>
        <w:tc>
          <w:tcPr>
            <w:tcW w:w="3964" w:type="dxa"/>
          </w:tcPr>
          <w:p w14:paraId="2B4D96CC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corticosteroids</w:t>
            </w:r>
          </w:p>
        </w:tc>
        <w:tc>
          <w:tcPr>
            <w:tcW w:w="5392" w:type="dxa"/>
          </w:tcPr>
          <w:p w14:paraId="5A9EED05" w14:textId="77777777" w:rsidR="00467E04" w:rsidRPr="004F781A" w:rsidRDefault="00467E04" w:rsidP="00834A19">
            <w:pPr>
              <w:pStyle w:val="TableParagraph"/>
              <w:spacing w:before="63" w:line="376" w:lineRule="auto"/>
              <w:ind w:left="102" w:right="336"/>
              <w:rPr>
                <w:rFonts w:ascii="Arial" w:hAnsi="Arial" w:cs="Arial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 w:eastAsia="zh-TW"/>
              </w:rPr>
              <w:t>H02A</w:t>
            </w:r>
          </w:p>
        </w:tc>
      </w:tr>
      <w:tr w:rsidR="00467E04" w:rsidRPr="004F781A" w14:paraId="1BD49137" w14:textId="77777777" w:rsidTr="00085191">
        <w:trPr>
          <w:trHeight w:val="558"/>
        </w:trPr>
        <w:tc>
          <w:tcPr>
            <w:tcW w:w="3964" w:type="dxa"/>
          </w:tcPr>
          <w:p w14:paraId="43E6992F" w14:textId="77777777" w:rsidR="00467E04" w:rsidRPr="004F781A" w:rsidRDefault="00467E04" w:rsidP="00834A19">
            <w:pPr>
              <w:pStyle w:val="TableParagraph"/>
              <w:spacing w:before="63"/>
              <w:ind w:left="103"/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/>
              </w:rPr>
              <w:t>Antidepressants</w:t>
            </w:r>
          </w:p>
        </w:tc>
        <w:tc>
          <w:tcPr>
            <w:tcW w:w="5392" w:type="dxa"/>
          </w:tcPr>
          <w:p w14:paraId="008F7DAA" w14:textId="77777777" w:rsidR="00467E04" w:rsidRPr="004F781A" w:rsidRDefault="00467E04" w:rsidP="00834A19">
            <w:pPr>
              <w:pStyle w:val="TableParagraph"/>
              <w:spacing w:before="63" w:line="376" w:lineRule="auto"/>
              <w:ind w:left="102" w:right="336"/>
              <w:rPr>
                <w:rFonts w:ascii="Arial" w:hAnsi="Arial" w:cs="Arial"/>
                <w:sz w:val="24"/>
                <w:szCs w:val="24"/>
                <w:lang w:val="en-GB" w:eastAsia="zh-TW"/>
              </w:rPr>
            </w:pPr>
            <w:r w:rsidRPr="004F781A">
              <w:rPr>
                <w:rFonts w:ascii="Arial" w:hAnsi="Arial" w:cs="Arial"/>
                <w:sz w:val="24"/>
                <w:szCs w:val="24"/>
                <w:lang w:val="en-GB" w:eastAsia="zh-TW"/>
              </w:rPr>
              <w:t>N06A</w:t>
            </w:r>
          </w:p>
        </w:tc>
      </w:tr>
    </w:tbl>
    <w:p w14:paraId="44D3B622" w14:textId="77777777" w:rsidR="00467E04" w:rsidRPr="004F781A" w:rsidRDefault="00467E04" w:rsidP="00467E04">
      <w:pPr>
        <w:pStyle w:val="a3"/>
        <w:rPr>
          <w:rFonts w:ascii="Arial" w:hAnsi="Arial" w:cs="Arial"/>
          <w:sz w:val="24"/>
          <w:szCs w:val="24"/>
          <w:lang w:val="en-GB"/>
        </w:rPr>
      </w:pPr>
      <w:r w:rsidRPr="004F781A">
        <w:rPr>
          <w:rFonts w:ascii="Arial" w:hAnsi="Arial" w:cs="Arial"/>
          <w:sz w:val="24"/>
          <w:szCs w:val="24"/>
          <w:lang w:val="en-GB"/>
        </w:rPr>
        <w:t>ICD-9-CM, International Classification of Diseases, Ninth Revision, Clinical Modification</w:t>
      </w:r>
      <w:r w:rsidRPr="004F781A">
        <w:rPr>
          <w:rFonts w:ascii="Arial" w:eastAsia="新細明體" w:hAnsi="Arial" w:cs="Arial"/>
          <w:sz w:val="24"/>
          <w:szCs w:val="24"/>
          <w:lang w:val="en-GB"/>
        </w:rPr>
        <w:t xml:space="preserve">; </w:t>
      </w:r>
      <w:r w:rsidRPr="004F781A">
        <w:rPr>
          <w:rFonts w:ascii="Arial" w:hAnsi="Arial" w:cs="Arial"/>
          <w:sz w:val="24"/>
          <w:szCs w:val="24"/>
          <w:lang w:val="en-GB"/>
        </w:rPr>
        <w:t>ATC, Anatomical Therapeutic Chemical.</w:t>
      </w:r>
    </w:p>
    <w:p w14:paraId="08FF22D0" w14:textId="4F491014" w:rsidR="00467E04" w:rsidRPr="004F781A" w:rsidRDefault="00467E04" w:rsidP="00467E04">
      <w:pPr>
        <w:rPr>
          <w:rFonts w:ascii="Arial" w:hAnsi="Arial" w:cs="Arial"/>
          <w:lang w:val="en-GB"/>
        </w:rPr>
      </w:pPr>
    </w:p>
    <w:p w14:paraId="40FAA8F4" w14:textId="6B3082BD" w:rsidR="000813F4" w:rsidRPr="004F781A" w:rsidRDefault="000813F4" w:rsidP="00467E04">
      <w:pPr>
        <w:rPr>
          <w:rFonts w:ascii="Arial" w:hAnsi="Arial" w:cs="Arial"/>
          <w:lang w:val="en-GB"/>
        </w:rPr>
      </w:pPr>
    </w:p>
    <w:p w14:paraId="3F146E4B" w14:textId="0DD800CD" w:rsidR="000813F4" w:rsidRPr="004F781A" w:rsidRDefault="000813F4" w:rsidP="00467E04">
      <w:pPr>
        <w:rPr>
          <w:rFonts w:ascii="Arial" w:hAnsi="Arial" w:cs="Arial"/>
          <w:lang w:val="en-GB"/>
        </w:rPr>
      </w:pPr>
    </w:p>
    <w:p w14:paraId="32A36BE0" w14:textId="426E3B14" w:rsidR="000813F4" w:rsidRPr="004F781A" w:rsidRDefault="000813F4" w:rsidP="00467E04">
      <w:pPr>
        <w:rPr>
          <w:rFonts w:ascii="Arial" w:hAnsi="Arial" w:cs="Arial"/>
          <w:lang w:val="en-GB"/>
        </w:rPr>
      </w:pPr>
    </w:p>
    <w:p w14:paraId="19DD4BC7" w14:textId="59B0DF24" w:rsidR="000813F4" w:rsidRPr="004F781A" w:rsidRDefault="000813F4" w:rsidP="00467E04">
      <w:pPr>
        <w:rPr>
          <w:rFonts w:ascii="Arial" w:hAnsi="Arial" w:cs="Arial"/>
          <w:lang w:val="en-GB"/>
        </w:rPr>
      </w:pPr>
    </w:p>
    <w:p w14:paraId="716D5DB6" w14:textId="0BB11611" w:rsidR="000813F4" w:rsidRPr="004F781A" w:rsidRDefault="000813F4" w:rsidP="00467E04">
      <w:pPr>
        <w:rPr>
          <w:rFonts w:ascii="Arial" w:hAnsi="Arial" w:cs="Arial"/>
          <w:lang w:val="en-GB"/>
        </w:rPr>
      </w:pPr>
    </w:p>
    <w:p w14:paraId="23A842E6" w14:textId="091B384A" w:rsidR="000813F4" w:rsidRDefault="000813F4" w:rsidP="00467E04">
      <w:pPr>
        <w:rPr>
          <w:rFonts w:ascii="Arial" w:hAnsi="Arial" w:cs="Arial"/>
          <w:lang w:val="en-GB"/>
        </w:rPr>
      </w:pPr>
    </w:p>
    <w:p w14:paraId="744B3457" w14:textId="0423D60F" w:rsidR="000813F4" w:rsidRDefault="000813F4" w:rsidP="00467E04">
      <w:pPr>
        <w:rPr>
          <w:rFonts w:ascii="Arial" w:hAnsi="Arial" w:cs="Arial"/>
          <w:lang w:val="en-GB"/>
        </w:rPr>
      </w:pPr>
    </w:p>
    <w:p w14:paraId="6DD7B904" w14:textId="07E1B7CE" w:rsidR="000813F4" w:rsidRDefault="000813F4" w:rsidP="00467E04">
      <w:pPr>
        <w:rPr>
          <w:rFonts w:ascii="Arial" w:hAnsi="Arial" w:cs="Arial"/>
          <w:lang w:val="en-GB"/>
        </w:rPr>
      </w:pPr>
    </w:p>
    <w:p w14:paraId="79551C4B" w14:textId="512B6DDE" w:rsidR="000813F4" w:rsidRDefault="000813F4" w:rsidP="00467E04">
      <w:pPr>
        <w:rPr>
          <w:rFonts w:ascii="Arial" w:hAnsi="Arial" w:cs="Arial"/>
          <w:lang w:val="en-GB"/>
        </w:rPr>
      </w:pPr>
    </w:p>
    <w:p w14:paraId="0A22CAF9" w14:textId="73D16674" w:rsidR="000813F4" w:rsidRDefault="000813F4" w:rsidP="00467E04">
      <w:pPr>
        <w:rPr>
          <w:rFonts w:ascii="Arial" w:hAnsi="Arial" w:cs="Arial"/>
          <w:lang w:val="en-GB"/>
        </w:rPr>
      </w:pPr>
    </w:p>
    <w:p w14:paraId="43547297" w14:textId="19BCEDD7" w:rsidR="000813F4" w:rsidRDefault="000813F4" w:rsidP="00467E04">
      <w:pPr>
        <w:rPr>
          <w:rFonts w:ascii="Arial" w:hAnsi="Arial" w:cs="Arial"/>
          <w:lang w:val="en-GB"/>
        </w:rPr>
      </w:pPr>
    </w:p>
    <w:p w14:paraId="7FFD028E" w14:textId="2857FD4B" w:rsidR="000813F4" w:rsidRDefault="000813F4" w:rsidP="00467E04">
      <w:pPr>
        <w:rPr>
          <w:rFonts w:ascii="Arial" w:hAnsi="Arial" w:cs="Arial"/>
          <w:lang w:val="en-GB"/>
        </w:rPr>
      </w:pPr>
    </w:p>
    <w:p w14:paraId="529CFBE3" w14:textId="6B7824E7" w:rsidR="000813F4" w:rsidRDefault="000813F4" w:rsidP="00467E04">
      <w:pPr>
        <w:rPr>
          <w:rFonts w:ascii="Arial" w:hAnsi="Arial" w:cs="Arial"/>
          <w:lang w:val="en-GB"/>
        </w:rPr>
      </w:pPr>
    </w:p>
    <w:p w14:paraId="7B2CB244" w14:textId="7CBFE0BF" w:rsidR="000813F4" w:rsidRDefault="000813F4" w:rsidP="00467E04">
      <w:pPr>
        <w:rPr>
          <w:rFonts w:ascii="Arial" w:hAnsi="Arial" w:cs="Arial"/>
          <w:lang w:val="en-GB"/>
        </w:rPr>
      </w:pPr>
    </w:p>
    <w:p w14:paraId="681DFDF0" w14:textId="61A3D872" w:rsidR="000813F4" w:rsidRDefault="000813F4" w:rsidP="00467E04">
      <w:pPr>
        <w:rPr>
          <w:rFonts w:ascii="Arial" w:hAnsi="Arial" w:cs="Arial"/>
          <w:lang w:val="en-GB"/>
        </w:rPr>
      </w:pPr>
    </w:p>
    <w:p w14:paraId="65B37BB5" w14:textId="319DB6FB" w:rsidR="000813F4" w:rsidRDefault="000813F4" w:rsidP="00467E04">
      <w:pPr>
        <w:rPr>
          <w:rFonts w:ascii="Arial" w:hAnsi="Arial" w:cs="Arial"/>
          <w:lang w:val="en-GB"/>
        </w:rPr>
      </w:pPr>
    </w:p>
    <w:p w14:paraId="0A818810" w14:textId="264D8F3A" w:rsidR="000813F4" w:rsidRDefault="000813F4" w:rsidP="00467E04">
      <w:pPr>
        <w:rPr>
          <w:rFonts w:ascii="Arial" w:hAnsi="Arial" w:cs="Arial"/>
          <w:lang w:val="en-GB"/>
        </w:rPr>
      </w:pPr>
    </w:p>
    <w:p w14:paraId="087C6D81" w14:textId="2881A1A4" w:rsidR="000813F4" w:rsidRDefault="000813F4" w:rsidP="00467E04">
      <w:pPr>
        <w:rPr>
          <w:rFonts w:ascii="Arial" w:hAnsi="Arial" w:cs="Arial"/>
          <w:lang w:val="en-GB"/>
        </w:rPr>
      </w:pPr>
    </w:p>
    <w:p w14:paraId="02A79B1D" w14:textId="72F66533" w:rsidR="000813F4" w:rsidRDefault="000813F4" w:rsidP="00467E04">
      <w:pPr>
        <w:rPr>
          <w:rFonts w:ascii="Arial" w:hAnsi="Arial" w:cs="Arial"/>
          <w:lang w:val="en-GB"/>
        </w:rPr>
      </w:pPr>
    </w:p>
    <w:p w14:paraId="7195422C" w14:textId="06189171" w:rsidR="000813F4" w:rsidRDefault="000813F4" w:rsidP="00467E04">
      <w:pPr>
        <w:rPr>
          <w:rFonts w:ascii="Arial" w:hAnsi="Arial" w:cs="Arial"/>
          <w:lang w:val="en-GB"/>
        </w:rPr>
      </w:pPr>
    </w:p>
    <w:p w14:paraId="77904E79" w14:textId="761F8186" w:rsidR="000813F4" w:rsidRDefault="000813F4" w:rsidP="00467E04">
      <w:pPr>
        <w:rPr>
          <w:rFonts w:ascii="Arial" w:hAnsi="Arial" w:cs="Arial"/>
          <w:lang w:val="en-GB"/>
        </w:rPr>
      </w:pPr>
    </w:p>
    <w:p w14:paraId="31B8DE67" w14:textId="1C38DE7A" w:rsidR="000813F4" w:rsidRDefault="000813F4" w:rsidP="00467E04">
      <w:pPr>
        <w:rPr>
          <w:rFonts w:ascii="Arial" w:hAnsi="Arial" w:cs="Arial"/>
          <w:lang w:val="en-GB"/>
        </w:rPr>
      </w:pPr>
    </w:p>
    <w:p w14:paraId="3D7E8612" w14:textId="060DC386" w:rsidR="005D6C64" w:rsidRPr="00BA3F12" w:rsidRDefault="005D6C64" w:rsidP="005D6C64">
      <w:pPr>
        <w:pStyle w:val="1"/>
        <w:rPr>
          <w:rFonts w:ascii="Arial" w:hAnsi="Arial" w:cs="Arial"/>
          <w:b w:val="0"/>
          <w:sz w:val="24"/>
          <w:lang w:val="en-GB"/>
        </w:rPr>
      </w:pPr>
      <w:bookmarkStart w:id="2" w:name="_Toc76333495"/>
      <w:r>
        <w:rPr>
          <w:rFonts w:ascii="Arial" w:hAnsi="Arial" w:cs="Arial"/>
          <w:sz w:val="24"/>
          <w:lang w:val="en-GB"/>
        </w:rPr>
        <w:lastRenderedPageBreak/>
        <w:t>Appendix</w:t>
      </w:r>
      <w:r w:rsidR="00E31D44">
        <w:rPr>
          <w:rFonts w:ascii="Arial" w:hAnsi="Arial" w:cs="Arial"/>
          <w:sz w:val="24"/>
          <w:lang w:val="en-GB"/>
        </w:rPr>
        <w:t xml:space="preserve"> 1</w:t>
      </w:r>
      <w:r w:rsidRPr="005D6C64">
        <w:rPr>
          <w:rFonts w:ascii="Arial" w:hAnsi="Arial" w:cs="Arial"/>
          <w:sz w:val="24"/>
          <w:lang w:val="en-GB"/>
        </w:rPr>
        <w:t xml:space="preserve">: </w:t>
      </w:r>
      <w:bookmarkStart w:id="3" w:name="_Toc53866448"/>
      <w:r w:rsidRPr="00BA3F12">
        <w:rPr>
          <w:rFonts w:ascii="Arial" w:hAnsi="Arial" w:cs="Arial"/>
          <w:b w:val="0"/>
          <w:sz w:val="24"/>
          <w:lang w:val="en-GB"/>
        </w:rPr>
        <w:t>Propensity score (PS) models with inverse probability treatment weighting</w:t>
      </w:r>
      <w:bookmarkEnd w:id="3"/>
      <w:r>
        <w:rPr>
          <w:rFonts w:ascii="Arial" w:hAnsi="Arial" w:cs="Arial" w:hint="eastAsia"/>
          <w:b w:val="0"/>
          <w:sz w:val="24"/>
          <w:lang w:val="en-GB"/>
        </w:rPr>
        <w:t xml:space="preserve"> </w:t>
      </w:r>
      <w:r>
        <w:rPr>
          <w:rFonts w:ascii="Arial" w:hAnsi="Arial" w:cs="Arial"/>
          <w:b w:val="0"/>
          <w:sz w:val="24"/>
          <w:lang w:val="en-GB"/>
        </w:rPr>
        <w:t>(IPTW)</w:t>
      </w:r>
      <w:bookmarkEnd w:id="2"/>
    </w:p>
    <w:bookmarkEnd w:id="0"/>
    <w:p w14:paraId="39EA34AF" w14:textId="77777777" w:rsidR="00CB6B05" w:rsidRPr="00BA3F12" w:rsidRDefault="00AB43C5" w:rsidP="00CB6B05">
      <w:pPr>
        <w:spacing w:line="480" w:lineRule="auto"/>
        <w:ind w:firstLineChars="100" w:firstLine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CB6B05" w:rsidRPr="00BA3F12">
        <w:rPr>
          <w:rFonts w:ascii="Arial" w:eastAsia="SimSun" w:hAnsi="Arial" w:cs="Arial"/>
          <w:lang w:val="en-GB" w:eastAsia="zh-CN"/>
        </w:rPr>
        <w:t xml:space="preserve">o balance </w:t>
      </w:r>
      <w:r>
        <w:rPr>
          <w:rFonts w:ascii="Arial" w:eastAsia="SimSun" w:hAnsi="Arial" w:cs="Arial"/>
          <w:lang w:val="en-GB" w:eastAsia="zh-CN"/>
        </w:rPr>
        <w:t xml:space="preserve">the </w:t>
      </w:r>
      <w:r w:rsidR="00CB6B05" w:rsidRPr="00BA3F12">
        <w:rPr>
          <w:rFonts w:ascii="Arial" w:eastAsia="SimSun" w:hAnsi="Arial" w:cs="Arial"/>
          <w:lang w:val="en-GB" w:eastAsia="zh-CN"/>
        </w:rPr>
        <w:t xml:space="preserve">treatment and comparison groups in terms of observed covariates and adjust </w:t>
      </w:r>
      <w:r>
        <w:rPr>
          <w:rFonts w:ascii="Arial" w:eastAsia="SimSun" w:hAnsi="Arial" w:cs="Arial"/>
          <w:lang w:val="en-GB" w:eastAsia="zh-CN"/>
        </w:rPr>
        <w:t xml:space="preserve">the </w:t>
      </w:r>
      <w:r w:rsidR="00CB6B05" w:rsidRPr="00BA3F12">
        <w:rPr>
          <w:rFonts w:ascii="Arial" w:eastAsia="SimSun" w:hAnsi="Arial" w:cs="Arial"/>
          <w:lang w:val="en-GB" w:eastAsia="zh-CN"/>
        </w:rPr>
        <w:t>measured factors associated with treatment receipt across time</w:t>
      </w:r>
      <w:r w:rsidR="00CB6B05" w:rsidRPr="00BA3F12">
        <w:rPr>
          <w:rFonts w:ascii="Arial" w:hAnsi="Arial" w:cs="Arial"/>
          <w:lang w:val="en-GB"/>
        </w:rPr>
        <w:t xml:space="preserve">, we created sub-cohorts with calendar-year matching and employed calendar-year-specific PS with </w:t>
      </w:r>
      <w:r w:rsidR="00BA3F12">
        <w:rPr>
          <w:rFonts w:ascii="Arial" w:hAnsi="Arial" w:cs="Arial"/>
          <w:lang w:val="en-GB"/>
        </w:rPr>
        <w:t>IPTW</w:t>
      </w:r>
      <w:r w:rsidR="00CB6B05" w:rsidRPr="00BA3F12">
        <w:rPr>
          <w:rFonts w:ascii="Arial" w:hAnsi="Arial" w:cs="Arial"/>
          <w:lang w:val="en-GB"/>
        </w:rPr>
        <w:t xml:space="preserve"> to create a pseudo-population</w:t>
      </w:r>
      <w:r w:rsidR="00CB6B05" w:rsidRPr="00BA3F12">
        <w:rPr>
          <w:rFonts w:ascii="Arial" w:hAnsi="Arial" w:cs="Arial"/>
          <w:bCs/>
          <w:lang w:val="en-GB"/>
        </w:rPr>
        <w:t xml:space="preserve">. The inverse probability-of-treatment weight </w:t>
      </w:r>
      <m:oMath>
        <m:f>
          <m:fPr>
            <m:ctrlPr>
              <w:rPr>
                <w:rFonts w:ascii="Cambria Math" w:hAnsi="Cambria Math" w:cs="Arial"/>
                <w:i/>
                <w:iCs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f</m:t>
            </m:r>
            <m:d>
              <m:dPr>
                <m:begChr m:val="["/>
                <m:endChr m:val=""/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</m:t>
                    </m:r>
                  </m:sub>
                </m:sSub>
                <m:r>
                  <m:rPr>
                    <m:nor/>
                  </m:rPr>
                  <w:rPr>
                    <w:rFonts w:ascii="Arial" w:hAnsi="Arial" w:cs="Arial"/>
                  </w:rPr>
                  <m:t>I</m:t>
                </m:r>
                <m:sSub>
                  <m:sSub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</w:rPr>
                      <m:t>i0</m:t>
                    </m:r>
                  </m:sub>
                </m:sSub>
                <m:r>
                  <w:rPr>
                    <w:rFonts w:ascii="Cambria Math" w:hAnsi="Cambria Math" w:cs="Arial"/>
                  </w:rPr>
                  <m:t>] </m:t>
                </m:r>
              </m:e>
            </m:d>
          </m:den>
        </m:f>
      </m:oMath>
      <w:r w:rsidR="00CB6B05" w:rsidRPr="00BA3F12">
        <w:rPr>
          <w:rFonts w:ascii="Arial" w:hAnsi="Arial" w:cs="Arial"/>
          <w:bCs/>
          <w:lang w:val="en-GB"/>
        </w:rPr>
        <w:t xml:space="preserve"> for participant </w:t>
      </w:r>
      <w:r w:rsidR="00CB6B05" w:rsidRPr="00BA3F12">
        <w:rPr>
          <w:rFonts w:ascii="Arial" w:hAnsi="Arial" w:cs="Arial"/>
          <w:bCs/>
          <w:i/>
          <w:lang w:val="en-GB"/>
        </w:rPr>
        <w:t>i</w:t>
      </w:r>
      <w:r w:rsidR="00CB6B05" w:rsidRPr="00BA3F12">
        <w:rPr>
          <w:rFonts w:ascii="Arial" w:hAnsi="Arial" w:cs="Arial"/>
          <w:bCs/>
          <w:lang w:val="en-GB"/>
        </w:rPr>
        <w:t xml:space="preserve"> </w:t>
      </w:r>
      <w:r>
        <w:rPr>
          <w:rFonts w:ascii="Arial" w:hAnsi="Arial" w:cs="Arial"/>
          <w:bCs/>
          <w:lang w:val="en-GB"/>
        </w:rPr>
        <w:t xml:space="preserve">is </w:t>
      </w:r>
      <w:r w:rsidRPr="00BA3F12">
        <w:rPr>
          <w:rFonts w:ascii="Arial" w:hAnsi="Arial" w:cs="Arial"/>
          <w:bCs/>
          <w:lang w:val="en-GB"/>
        </w:rPr>
        <w:t>adjust</w:t>
      </w:r>
      <w:r>
        <w:rPr>
          <w:rFonts w:ascii="Arial" w:hAnsi="Arial" w:cs="Arial"/>
          <w:bCs/>
          <w:lang w:val="en-GB"/>
        </w:rPr>
        <w:t>ed</w:t>
      </w:r>
      <w:r w:rsidRPr="00BA3F12">
        <w:rPr>
          <w:rFonts w:ascii="Arial" w:hAnsi="Arial" w:cs="Arial"/>
          <w:bCs/>
          <w:lang w:val="en-GB"/>
        </w:rPr>
        <w:t xml:space="preserve"> </w:t>
      </w:r>
      <w:r w:rsidR="00CB6B05" w:rsidRPr="00BA3F12">
        <w:rPr>
          <w:rFonts w:ascii="Arial" w:hAnsi="Arial" w:cs="Arial"/>
          <w:bCs/>
          <w:lang w:val="en-GB"/>
        </w:rPr>
        <w:t xml:space="preserve">for </w:t>
      </w:r>
      <w:r>
        <w:rPr>
          <w:rFonts w:ascii="Arial" w:hAnsi="Arial" w:cs="Arial"/>
          <w:bCs/>
          <w:lang w:val="en-GB"/>
        </w:rPr>
        <w:t xml:space="preserve">the </w:t>
      </w:r>
      <w:r w:rsidR="00CB6B05" w:rsidRPr="00BA3F12">
        <w:rPr>
          <w:rFonts w:ascii="Arial" w:hAnsi="Arial" w:cs="Arial"/>
          <w:bCs/>
          <w:lang w:val="en-GB"/>
        </w:rPr>
        <w:t xml:space="preserve">measured baseline confounding variables </w:t>
      </w:r>
      <m:oMath>
        <m:sSub>
          <m:sSubPr>
            <m:ctrlPr>
              <w:rPr>
                <w:rFonts w:ascii="Cambria Math" w:hAnsi="Cambria Math" w:cs="Arial"/>
                <w:i/>
                <w:iCs/>
              </w:rPr>
            </m:ctrlPr>
          </m:sSubPr>
          <m:e>
            <m:r>
              <w:rPr>
                <w:rFonts w:ascii="Cambria Math" w:hAnsi="Cambria Math" w:cs="Arial"/>
              </w:rPr>
              <m:t>V</m:t>
            </m:r>
          </m:e>
          <m:sub>
            <m:r>
              <w:rPr>
                <w:rFonts w:ascii="Cambria Math" w:hAnsi="Cambria Math" w:cs="Arial"/>
              </w:rPr>
              <m:t>i0</m:t>
            </m:r>
          </m:sub>
        </m:sSub>
      </m:oMath>
      <w:r w:rsidR="00CB6B05" w:rsidRPr="00BA3F12">
        <w:rPr>
          <w:rFonts w:ascii="Arial" w:hAnsi="Arial" w:cs="Arial"/>
          <w:bCs/>
          <w:lang w:val="en-GB"/>
        </w:rPr>
        <w:t xml:space="preserve">. To </w:t>
      </w:r>
      <w:r w:rsidR="009B69F5" w:rsidRPr="00BA3F12">
        <w:rPr>
          <w:rFonts w:ascii="Arial" w:hAnsi="Arial" w:cs="Arial"/>
          <w:bCs/>
          <w:lang w:val="en-GB"/>
        </w:rPr>
        <w:t>stabili</w:t>
      </w:r>
      <w:r w:rsidR="009B69F5">
        <w:rPr>
          <w:rFonts w:ascii="Arial" w:hAnsi="Arial" w:cs="Arial"/>
          <w:bCs/>
          <w:lang w:val="en-GB"/>
        </w:rPr>
        <w:t>s</w:t>
      </w:r>
      <w:r w:rsidR="009B69F5" w:rsidRPr="00BA3F12">
        <w:rPr>
          <w:rFonts w:ascii="Arial" w:hAnsi="Arial" w:cs="Arial"/>
          <w:bCs/>
          <w:lang w:val="en-GB"/>
        </w:rPr>
        <w:t xml:space="preserve">e </w:t>
      </w:r>
      <w:r w:rsidR="00CB6B05" w:rsidRPr="00BA3F12">
        <w:rPr>
          <w:rFonts w:ascii="Arial" w:hAnsi="Arial" w:cs="Arial"/>
          <w:bCs/>
          <w:lang w:val="en-GB"/>
        </w:rPr>
        <w:t>the inverse probability-of-treatment weights, we multiplied them by the probability of treatment without considering covariates (</w:t>
      </w:r>
      <m:oMath>
        <m:r>
          <w:rPr>
            <w:rFonts w:ascii="Cambria Math" w:hAnsi="Cambria Math" w:cs="Arial"/>
          </w:rPr>
          <m:t>f</m:t>
        </m:r>
        <m:d>
          <m:dPr>
            <m:begChr m:val="["/>
            <m:endChr m:val=""/>
            <m:ctrlPr>
              <w:rPr>
                <w:rFonts w:ascii="Cambria Math" w:hAnsi="Cambria Math" w:cs="Arial"/>
                <w:i/>
                <w:iCs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iCs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</w:rPr>
                  <m:t>i</m:t>
                </m:r>
              </m:sub>
            </m:sSub>
            <m:r>
              <w:rPr>
                <w:rFonts w:ascii="Cambria Math" w:hAnsi="Cambria Math" w:cs="Arial"/>
              </w:rPr>
              <m:t>] </m:t>
            </m:r>
          </m:e>
        </m:d>
      </m:oMath>
      <w:r w:rsidR="00CB6B05" w:rsidRPr="00BA3F12">
        <w:rPr>
          <w:rFonts w:ascii="Arial" w:hAnsi="Arial" w:cs="Arial"/>
          <w:bCs/>
          <w:lang w:val="en-GB"/>
        </w:rPr>
        <w:t>).</w:t>
      </w:r>
      <w:r w:rsidR="00CB6B05" w:rsidRPr="00BA3F12">
        <w:rPr>
          <w:rFonts w:ascii="Arial" w:hAnsi="Arial" w:cs="Arial"/>
          <w:bCs/>
          <w:lang w:val="en-GB"/>
        </w:rPr>
        <w:fldChar w:fldCharType="begin"/>
      </w:r>
      <w:r w:rsidR="00CB6B05" w:rsidRPr="00BA3F12">
        <w:rPr>
          <w:rFonts w:ascii="Arial" w:hAnsi="Arial" w:cs="Arial"/>
          <w:bCs/>
          <w:lang w:val="en-GB"/>
        </w:rPr>
        <w:instrText xml:space="preserve"> ADDIN EN.CITE &lt;EndNote&gt;&lt;Cite&gt;&lt;Author&gt;Hernan&lt;/Author&gt;&lt;Year&gt;2006&lt;/Year&gt;&lt;RecNum&gt;628&lt;/RecNum&gt;&lt;DisplayText&gt;&lt;style face="superscript"&gt;1&lt;/style&gt;&lt;/DisplayText&gt;&lt;record&gt;&lt;rec-number&gt;628&lt;/rec-number&gt;&lt;foreign-keys&gt;&lt;key app="EN" db-id="aw00tz5vladdz8erxe4v092krer5t5pzw9ze" timestamp="1450883429"&gt;628&lt;/key&gt;&lt;/foreign-keys&gt;&lt;ref-type name="Journal Article"&gt;17&lt;/ref-type&gt;&lt;contributors&gt;&lt;authors&gt;&lt;author&gt;Hernan, M. A.&lt;/author&gt;&lt;author&gt;Robins, J. M.&lt;/author&gt;&lt;/authors&gt;&lt;/contributors&gt;&lt;auth-address&gt;Department of Epidemiology, Harvard School of Public Health, Boston, MA 02115, USA. miguel_hernan@post.harvard.edu&lt;/auth-address&gt;&lt;titles&gt;&lt;title&gt;Estimating causal effects from epidemiological data&lt;/title&gt;&lt;secondary-title&gt;J Epidemiol Community Health&lt;/secondary-title&gt;&lt;/titles&gt;&lt;periodical&gt;&lt;full-title&gt;Journal of Epidemiology and Community Health&lt;/full-title&gt;&lt;abbr-1&gt;J. Epidemiol. Community Health&lt;/abbr-1&gt;&lt;abbr-2&gt;J Epidemiol Community Health&lt;/abbr-2&gt;&lt;abbr-3&gt;Journal of Epidemiology &amp;amp; Community Health&lt;/abbr-3&gt;&lt;/periodical&gt;&lt;pages&gt;578-86&lt;/pages&gt;&lt;volume&gt;60&lt;/volume&gt;&lt;number&gt;7&lt;/number&gt;&lt;keywords&gt;&lt;keyword&gt;*Causality&lt;/keyword&gt;&lt;keyword&gt;*Confounding Factors (Epidemiology)&lt;/keyword&gt;&lt;keyword&gt;*Data Interpretation, Statistical&lt;/keyword&gt;&lt;keyword&gt;*Effect Modifier, Epidemiologic&lt;/keyword&gt;&lt;keyword&gt;Epidemiologic Research Design&lt;/keyword&gt;&lt;keyword&gt;Epidemiologic Studies&lt;/keyword&gt;&lt;keyword&gt;Humans&lt;/keyword&gt;&lt;keyword&gt;Probability&lt;/keyword&gt;&lt;keyword&gt;Research Design&lt;/keyword&gt;&lt;/keywords&gt;&lt;dates&gt;&lt;year&gt;2006&lt;/year&gt;&lt;pub-dates&gt;&lt;date&gt;Jul&lt;/date&gt;&lt;/pub-dates&gt;&lt;/dates&gt;&lt;isbn&gt;0143-005X (Print)&amp;#xD;0143-005X (Linking)&lt;/isbn&gt;&lt;accession-num&gt;16790829&lt;/accession-num&gt;&lt;urls&gt;&lt;related-urls&gt;&lt;url&gt;http://www.ncbi.nlm.nih.gov/pubmed/16790829&lt;/url&gt;&lt;/related-urls&gt;&lt;/urls&gt;&lt;custom2&gt;PMC2652882&lt;/custom2&gt;&lt;electronic-resource-num&gt;10.1136/jech.2004.029496&lt;/electronic-resource-num&gt;&lt;/record&gt;&lt;/Cite&gt;&lt;/EndNote&gt;</w:instrText>
      </w:r>
      <w:r w:rsidR="00CB6B05" w:rsidRPr="00BA3F12">
        <w:rPr>
          <w:rFonts w:ascii="Arial" w:hAnsi="Arial" w:cs="Arial"/>
          <w:bCs/>
          <w:lang w:val="en-GB"/>
        </w:rPr>
        <w:fldChar w:fldCharType="separate"/>
      </w:r>
      <w:r w:rsidR="00CB6B05" w:rsidRPr="00BA3F12">
        <w:rPr>
          <w:rFonts w:ascii="Arial" w:hAnsi="Arial" w:cs="Arial"/>
          <w:bCs/>
          <w:noProof/>
          <w:vertAlign w:val="superscript"/>
          <w:lang w:val="en-GB"/>
        </w:rPr>
        <w:t>1</w:t>
      </w:r>
      <w:r w:rsidR="00CB6B05" w:rsidRPr="00BA3F12">
        <w:rPr>
          <w:rFonts w:ascii="Arial" w:hAnsi="Arial" w:cs="Arial"/>
          <w:bCs/>
          <w:lang w:val="en-GB"/>
        </w:rPr>
        <w:fldChar w:fldCharType="end"/>
      </w:r>
      <w:r w:rsidR="00CB6B05" w:rsidRPr="00BA3F12">
        <w:rPr>
          <w:rFonts w:ascii="Arial" w:hAnsi="Arial" w:cs="Arial"/>
          <w:bCs/>
          <w:lang w:val="en-GB"/>
        </w:rPr>
        <w:t xml:space="preserve"> Formally, the </w:t>
      </w:r>
      <w:r w:rsidRPr="00BA3F12">
        <w:rPr>
          <w:rFonts w:ascii="Arial" w:hAnsi="Arial" w:cs="Arial"/>
          <w:bCs/>
          <w:lang w:val="en-GB"/>
        </w:rPr>
        <w:t>stabili</w:t>
      </w:r>
      <w:r>
        <w:rPr>
          <w:rFonts w:ascii="Arial" w:hAnsi="Arial" w:cs="Arial"/>
          <w:bCs/>
          <w:lang w:val="en-GB"/>
        </w:rPr>
        <w:t>s</w:t>
      </w:r>
      <w:r w:rsidRPr="00BA3F12">
        <w:rPr>
          <w:rFonts w:ascii="Arial" w:hAnsi="Arial" w:cs="Arial"/>
          <w:bCs/>
          <w:lang w:val="en-GB"/>
        </w:rPr>
        <w:t xml:space="preserve">ed </w:t>
      </w:r>
      <w:r w:rsidR="00CB6B05" w:rsidRPr="00BA3F12">
        <w:rPr>
          <w:rFonts w:ascii="Arial" w:hAnsi="Arial" w:cs="Arial"/>
          <w:bCs/>
          <w:lang w:val="en-GB"/>
        </w:rPr>
        <w:t>weights are defined as</w:t>
      </w:r>
    </w:p>
    <w:p w14:paraId="68F3F6BD" w14:textId="77777777" w:rsidR="00CB6B05" w:rsidRPr="00BA3F12" w:rsidRDefault="00CB6B05" w:rsidP="00CB6B05">
      <w:pPr>
        <w:spacing w:line="480" w:lineRule="auto"/>
        <w:rPr>
          <w:rFonts w:ascii="Arial" w:hAnsi="Arial" w:cs="Arial"/>
          <w:bCs/>
          <w:lang w:val="en-GB"/>
        </w:rPr>
      </w:pPr>
      <w:r w:rsidRPr="00BA3F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E9775" wp14:editId="7DD53685">
                <wp:simplePos x="0" y="0"/>
                <wp:positionH relativeFrom="margin">
                  <wp:posOffset>0</wp:posOffset>
                </wp:positionH>
                <wp:positionV relativeFrom="paragraph">
                  <wp:posOffset>95885</wp:posOffset>
                </wp:positionV>
                <wp:extent cx="5166360" cy="768985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6360" cy="76898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B75A50" w14:textId="2BE9B369" w:rsidR="00B86F85" w:rsidRPr="00BB51DE" w:rsidRDefault="00D434DF" w:rsidP="00CB6B05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SW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i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sup>
                              </m:sSubSup>
                            </m:oMath>
                            <w:r w:rsidR="00B86F85" w:rsidRPr="00BB51DE">
                              <w:rPr>
                                <w:rFonts w:cs="Arial"/>
                              </w:rPr>
                              <w:t>=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f</m:t>
                                  </m:r>
                                  <m:d>
                                    <m:dPr>
                                      <m:begChr m:val="["/>
                                      <m:endChr m:val="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iCs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] </m:t>
                                      </m:r>
                                    </m:e>
                                  </m:d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f</m:t>
                                  </m:r>
                                  <m:d>
                                    <m:dPr>
                                      <m:begChr m:val="["/>
                                      <m:endChr m:val=""/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iCs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iCs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i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cs="Arial"/>
                                        </w:rPr>
                                        <m:t>I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  <w:iCs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i0</m:t>
                                          </m:r>
                                        </m:sub>
                                      </m:sSub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] </m:t>
                                      </m:r>
                                    </m:e>
                                  </m:d>
                                </m:den>
                              </m:f>
                            </m:oMath>
                            <w:r w:rsidR="00B86F85" w:rsidRPr="00BB51DE">
                              <w:rPr>
                                <w:rFonts w:cs="Arial"/>
                                <w:iCs/>
                              </w:rPr>
                              <w:t xml:space="preserve">                    </w:t>
                            </w:r>
                            <w:r w:rsidR="007B46D0">
                              <w:rPr>
                                <w:rFonts w:cs="Arial"/>
                                <w:iCs/>
                              </w:rPr>
                              <w:t xml:space="preserve">                             </w:t>
                            </w:r>
                          </w:p>
                          <w:p w14:paraId="4D107738" w14:textId="77777777" w:rsidR="00B86F85" w:rsidRPr="001E2F33" w:rsidRDefault="00B86F85" w:rsidP="00CB6B05">
                            <w:pPr>
                              <w:rPr>
                                <w:rFonts w:ascii="Times New Roman" w:hAnsi="Times New Roman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 xml:space="preserve">where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i0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cs="Arial"/>
                                <w:iCs/>
                              </w:rPr>
                              <w:t xml:space="preserve"> is the</w:t>
                            </w:r>
                            <w:r w:rsidRPr="00BB51DE">
                              <w:rPr>
                                <w:rFonts w:cs="Arial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iCs/>
                                <w:szCs w:val="20"/>
                              </w:rPr>
                              <w:t>b</w:t>
                            </w:r>
                            <w:r w:rsidRPr="00BB51DE">
                              <w:rPr>
                                <w:rFonts w:cs="Arial"/>
                                <w:iCs/>
                                <w:szCs w:val="20"/>
                              </w:rPr>
                              <w:t>aseline</w:t>
                            </w:r>
                            <w:r w:rsidRPr="00BB51DE">
                              <w:rPr>
                                <w:rFonts w:cs="Arial"/>
                                <w:szCs w:val="20"/>
                              </w:rPr>
                              <w:t xml:space="preserve"> covariate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and</w:t>
                            </w:r>
                            <w:r w:rsidRPr="00BB51DE">
                              <w:rPr>
                                <w:rFonts w:cs="Arial"/>
                                <w:szCs w:val="20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iCs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cs="Arial"/>
                                <w:szCs w:val="20"/>
                              </w:rPr>
                              <w:t xml:space="preserve"> is the</w:t>
                            </w:r>
                            <w:r w:rsidRPr="00BB51DE">
                              <w:rPr>
                                <w:rFonts w:cs="Arial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t</w:t>
                            </w:r>
                            <w:r w:rsidRPr="00BB51DE">
                              <w:rPr>
                                <w:rFonts w:cs="Arial"/>
                                <w:szCs w:val="20"/>
                              </w:rPr>
                              <w:t>reatment</w:t>
                            </w:r>
                            <w:r>
                              <w:rPr>
                                <w:rFonts w:cs="Arial"/>
                                <w:szCs w:val="20"/>
                              </w:rPr>
                              <w:t>.</w:t>
                            </w:r>
                            <w:r w:rsidRPr="00BB51DE">
                              <w:rPr>
                                <w:rFonts w:cs="Arial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E977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0;margin-top:7.55pt;width:406.8pt;height:60.5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" fillcolor="#fff2cc" stroked="f" strokeweight=".5pt">
                <v:path arrowok="t"/>
                <v:textbox>
                  <w:txbxContent>
                    <w:p w14:paraId="18B75A50" w14:textId="2BE9B369" w:rsidR="00B86F85" w:rsidRPr="00BB51DE" w:rsidRDefault="00D434DF" w:rsidP="00CB6B05">
                      <w:pPr>
                        <w:rPr>
                          <w:rFonts w:cs="Arial"/>
                          <w:iCs/>
                        </w:rPr>
                      </w:pPr>
                      <m:oMath>
                        <m:sSubSup>
                          <m:sSubSup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SW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sup>
                        </m:sSubSup>
                      </m:oMath>
                      <w:r w:rsidR="00B86F85" w:rsidRPr="00BB51DE">
                        <w:rPr>
                          <w:rFonts w:cs="Arial"/>
                        </w:rPr>
                        <w:t>=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f</m:t>
                            </m:r>
                            <m:d>
                              <m:dPr>
                                <m:begChr m:val="["/>
                                <m:endChr m:val=""/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</w:rPr>
                                  <m:t>] </m:t>
                                </m: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f</m:t>
                            </m:r>
                            <m:d>
                              <m:dPr>
                                <m:begChr m:val="["/>
                                <m:endChr m:val=""/>
                                <m:ctrlPr>
                                  <w:rPr>
                                    <w:rFonts w:ascii="Cambria Math" w:hAnsi="Cambria Math" w:cs="Arial"/>
                                    <w:i/>
                                    <w:iCs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m:rPr>
                                    <m:nor/>
                                  </m:rPr>
                                  <w:rPr>
                                    <w:rFonts w:cs="Arial"/>
                                  </w:rPr>
                                  <m:t>I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i0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Arial"/>
                                  </w:rPr>
                                  <m:t>] </m:t>
                                </m:r>
                              </m:e>
                            </m:d>
                          </m:den>
                        </m:f>
                      </m:oMath>
                      <w:r w:rsidR="00B86F85" w:rsidRPr="00BB51DE">
                        <w:rPr>
                          <w:rFonts w:cs="Arial"/>
                          <w:iCs/>
                        </w:rPr>
                        <w:t xml:space="preserve">                    </w:t>
                      </w:r>
                      <w:r w:rsidR="007B46D0">
                        <w:rPr>
                          <w:rFonts w:cs="Arial"/>
                          <w:iCs/>
                        </w:rPr>
                        <w:t xml:space="preserve">                             </w:t>
                      </w:r>
                    </w:p>
                    <w:p w14:paraId="4D107738" w14:textId="77777777" w:rsidR="00B86F85" w:rsidRPr="001E2F33" w:rsidRDefault="00B86F85" w:rsidP="00CB6B05">
                      <w:pPr>
                        <w:rPr>
                          <w:rFonts w:ascii="Times New Roman" w:hAnsi="Times New Roman"/>
                          <w:iCs/>
                        </w:rPr>
                      </w:pPr>
                      <w:r>
                        <w:rPr>
                          <w:rFonts w:cs="Arial"/>
                          <w:iCs/>
                        </w:rPr>
                        <w:t xml:space="preserve">where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i0</m:t>
                            </m:r>
                          </m:sub>
                        </m:sSub>
                      </m:oMath>
                      <w:r>
                        <w:rPr>
                          <w:rFonts w:cs="Arial"/>
                          <w:iCs/>
                        </w:rPr>
                        <w:t xml:space="preserve"> is the</w:t>
                      </w:r>
                      <w:r w:rsidRPr="00BB51DE">
                        <w:rPr>
                          <w:rFonts w:cs="Arial"/>
                          <w:iCs/>
                        </w:rPr>
                        <w:t xml:space="preserve"> </w:t>
                      </w:r>
                      <w:r>
                        <w:rPr>
                          <w:rFonts w:cs="Arial"/>
                          <w:iCs/>
                          <w:szCs w:val="20"/>
                        </w:rPr>
                        <w:t>b</w:t>
                      </w:r>
                      <w:r w:rsidRPr="00BB51DE">
                        <w:rPr>
                          <w:rFonts w:cs="Arial"/>
                          <w:iCs/>
                          <w:szCs w:val="20"/>
                        </w:rPr>
                        <w:t>aseline</w:t>
                      </w:r>
                      <w:r w:rsidRPr="00BB51DE">
                        <w:rPr>
                          <w:rFonts w:cs="Arial"/>
                          <w:szCs w:val="20"/>
                        </w:rPr>
                        <w:t xml:space="preserve"> covariate </w:t>
                      </w:r>
                      <w:r>
                        <w:rPr>
                          <w:rFonts w:cs="Arial"/>
                          <w:szCs w:val="20"/>
                        </w:rPr>
                        <w:t>and</w:t>
                      </w:r>
                      <w:r w:rsidRPr="00BB51DE">
                        <w:rPr>
                          <w:rFonts w:cs="Arial"/>
                          <w:szCs w:val="20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iCs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i</m:t>
                            </m:r>
                          </m:sub>
                        </m:sSub>
                      </m:oMath>
                      <w:r>
                        <w:rPr>
                          <w:rFonts w:cs="Arial"/>
                          <w:szCs w:val="20"/>
                        </w:rPr>
                        <w:t xml:space="preserve"> is the</w:t>
                      </w:r>
                      <w:r w:rsidRPr="00BB51DE">
                        <w:rPr>
                          <w:rFonts w:cs="Arial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szCs w:val="20"/>
                        </w:rPr>
                        <w:t>t</w:t>
                      </w:r>
                      <w:r w:rsidRPr="00BB51DE">
                        <w:rPr>
                          <w:rFonts w:cs="Arial"/>
                          <w:szCs w:val="20"/>
                        </w:rPr>
                        <w:t>reatment</w:t>
                      </w:r>
                      <w:r>
                        <w:rPr>
                          <w:rFonts w:cs="Arial"/>
                          <w:szCs w:val="20"/>
                        </w:rPr>
                        <w:t>.</w:t>
                      </w:r>
                      <w:r w:rsidRPr="00BB51DE">
                        <w:rPr>
                          <w:rFonts w:cs="Arial"/>
                          <w:szCs w:val="20"/>
                        </w:rPr>
                        <w:t xml:space="preserve">   </w:t>
                      </w:r>
                      <w:r>
                        <w:rPr>
                          <w:rFonts w:ascii="Times New Roman" w:hAnsi="Times New Roman"/>
                          <w:szCs w:val="20"/>
                        </w:rPr>
                        <w:t xml:space="preserve">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9057" w14:textId="77777777" w:rsidR="00CB6B05" w:rsidRPr="00BA3F12" w:rsidRDefault="00CB6B05" w:rsidP="00CB6B05">
      <w:pPr>
        <w:pStyle w:val="a3"/>
        <w:spacing w:line="480" w:lineRule="auto"/>
        <w:rPr>
          <w:rFonts w:ascii="Arial" w:hAnsi="Arial" w:cs="Arial"/>
          <w:sz w:val="24"/>
          <w:lang w:val="en-GB"/>
        </w:rPr>
      </w:pPr>
    </w:p>
    <w:p w14:paraId="24A75816" w14:textId="77777777" w:rsidR="00CB6B05" w:rsidRPr="00BA3F12" w:rsidRDefault="00CB6B05" w:rsidP="00CB6B05">
      <w:pPr>
        <w:spacing w:line="480" w:lineRule="auto"/>
        <w:rPr>
          <w:rFonts w:ascii="Arial" w:hAnsi="Arial" w:cs="Arial"/>
          <w:lang w:val="en-GB"/>
        </w:rPr>
      </w:pPr>
    </w:p>
    <w:p w14:paraId="42EB0ED8" w14:textId="77777777" w:rsidR="00CB6B05" w:rsidRDefault="00CB6B05" w:rsidP="00CB6B05">
      <w:pPr>
        <w:rPr>
          <w:rFonts w:ascii="Arial" w:hAnsi="Arial" w:cs="Arial"/>
          <w:lang w:val="en-GB"/>
        </w:rPr>
      </w:pPr>
    </w:p>
    <w:p w14:paraId="4EA55FEA" w14:textId="77777777" w:rsidR="00EA455E" w:rsidRDefault="00EA455E" w:rsidP="00CB6B05">
      <w:pPr>
        <w:rPr>
          <w:rFonts w:ascii="Arial" w:hAnsi="Arial" w:cs="Arial"/>
          <w:lang w:val="en-GB"/>
        </w:rPr>
      </w:pPr>
    </w:p>
    <w:p w14:paraId="395D7FFB" w14:textId="77777777" w:rsidR="00EA455E" w:rsidRDefault="00EA455E" w:rsidP="00CB6B05">
      <w:pPr>
        <w:rPr>
          <w:rFonts w:ascii="Arial" w:hAnsi="Arial" w:cs="Arial"/>
          <w:lang w:val="en-GB"/>
        </w:rPr>
      </w:pPr>
    </w:p>
    <w:p w14:paraId="53039035" w14:textId="77777777" w:rsidR="00EA455E" w:rsidRDefault="00EA455E" w:rsidP="00CB6B05">
      <w:pPr>
        <w:rPr>
          <w:rFonts w:ascii="Arial" w:hAnsi="Arial" w:cs="Arial"/>
          <w:lang w:val="en-GB"/>
        </w:rPr>
      </w:pPr>
    </w:p>
    <w:p w14:paraId="4AC01ACB" w14:textId="77777777" w:rsidR="00EA455E" w:rsidRPr="00BA3F12" w:rsidRDefault="00EA455E" w:rsidP="00CB6B05">
      <w:pPr>
        <w:rPr>
          <w:rFonts w:ascii="Arial" w:hAnsi="Arial" w:cs="Arial"/>
          <w:lang w:val="en-GB"/>
        </w:rPr>
      </w:pPr>
    </w:p>
    <w:p w14:paraId="46D0B9E8" w14:textId="77777777" w:rsidR="009465EC" w:rsidRPr="00BA3F12" w:rsidRDefault="009465EC" w:rsidP="009465EC">
      <w:pPr>
        <w:rPr>
          <w:rFonts w:ascii="Arial" w:hAnsi="Arial" w:cs="Arial"/>
          <w:lang w:val="en-GB"/>
        </w:rPr>
      </w:pPr>
    </w:p>
    <w:p w14:paraId="06BE5364" w14:textId="77777777" w:rsidR="00EE2FF3" w:rsidRDefault="005D6C64" w:rsidP="005D6C64">
      <w:pPr>
        <w:pStyle w:val="1"/>
        <w:rPr>
          <w:rFonts w:ascii="Arial" w:hAnsi="Arial" w:cs="Arial"/>
          <w:color w:val="000000" w:themeColor="text1"/>
          <w:sz w:val="24"/>
          <w:lang w:val="en-GB"/>
        </w:rPr>
      </w:pPr>
      <w:bookmarkStart w:id="4" w:name="_Toc53866450"/>
      <w:bookmarkStart w:id="5" w:name="_Toc53866452"/>
      <w:bookmarkStart w:id="6" w:name="_Toc76333496"/>
      <w:r w:rsidRPr="00EE2FF3">
        <w:rPr>
          <w:rFonts w:ascii="Arial" w:hAnsi="Arial" w:cs="Arial"/>
          <w:color w:val="000000" w:themeColor="text1"/>
          <w:sz w:val="24"/>
          <w:lang w:val="en-GB"/>
        </w:rPr>
        <w:lastRenderedPageBreak/>
        <w:t>Appendix</w:t>
      </w:r>
      <w:r w:rsidR="00E31D44" w:rsidRPr="00EE2FF3">
        <w:rPr>
          <w:rFonts w:ascii="Arial" w:hAnsi="Arial" w:cs="Arial"/>
          <w:color w:val="000000" w:themeColor="text1"/>
          <w:sz w:val="24"/>
          <w:lang w:val="en-GB"/>
        </w:rPr>
        <w:t xml:space="preserve"> 2</w:t>
      </w:r>
      <w:r w:rsidRPr="00EE2FF3">
        <w:rPr>
          <w:rFonts w:ascii="Arial" w:hAnsi="Arial" w:cs="Arial"/>
          <w:color w:val="000000" w:themeColor="text1"/>
          <w:sz w:val="24"/>
          <w:lang w:val="en-GB"/>
        </w:rPr>
        <w:t>: Sensitivity analysis</w:t>
      </w:r>
      <w:bookmarkEnd w:id="6"/>
      <w:r w:rsidRPr="00EE2FF3">
        <w:rPr>
          <w:rFonts w:ascii="Arial" w:hAnsi="Arial" w:cs="Arial"/>
          <w:color w:val="000000" w:themeColor="text1"/>
          <w:sz w:val="24"/>
          <w:lang w:val="en-GB"/>
        </w:rPr>
        <w:t xml:space="preserve"> </w:t>
      </w:r>
    </w:p>
    <w:p w14:paraId="00E211CB" w14:textId="77777777" w:rsidR="008E3484" w:rsidRPr="00047DD9" w:rsidRDefault="008E3484" w:rsidP="008E3484">
      <w:pPr>
        <w:pStyle w:val="2"/>
        <w:rPr>
          <w:rFonts w:ascii="Arial" w:hAnsi="Arial" w:cs="Arial"/>
          <w:sz w:val="24"/>
          <w:szCs w:val="24"/>
        </w:rPr>
      </w:pPr>
      <w:bookmarkStart w:id="7" w:name="_Toc441750069"/>
      <w:bookmarkStart w:id="8" w:name="_Toc76333497"/>
      <w:r w:rsidRPr="00EE2FF3">
        <w:rPr>
          <w:rFonts w:ascii="Arial" w:hAnsi="Arial" w:cs="Arial"/>
          <w:sz w:val="24"/>
          <w:szCs w:val="24"/>
        </w:rPr>
        <w:t xml:space="preserve">Sensitivity analysis </w:t>
      </w:r>
      <w:r w:rsidRPr="006053C4">
        <w:rPr>
          <w:rFonts w:ascii="Arial" w:hAnsi="Arial" w:cs="Arial"/>
          <w:sz w:val="24"/>
          <w:szCs w:val="24"/>
        </w:rPr>
        <w:t>stratified on propensity score quintile</w:t>
      </w:r>
      <w:bookmarkEnd w:id="8"/>
    </w:p>
    <w:p w14:paraId="7BD15642" w14:textId="04EC1F61" w:rsidR="008E3484" w:rsidRPr="00863425" w:rsidRDefault="008E3484" w:rsidP="008E3484">
      <w:pPr>
        <w:rPr>
          <w:rFonts w:ascii="Arial" w:hAnsi="Arial" w:cs="Arial"/>
          <w:szCs w:val="20"/>
        </w:rPr>
      </w:pPr>
      <w:r w:rsidRPr="00863425">
        <w:rPr>
          <w:rFonts w:ascii="Arial" w:hAnsi="Arial" w:cs="Arial"/>
        </w:rPr>
        <w:t>Table S2</w:t>
      </w:r>
      <w:r w:rsidRPr="00863425">
        <w:rPr>
          <w:rFonts w:ascii="Arial" w:hAnsi="Arial" w:cs="Arial"/>
          <w:szCs w:val="20"/>
        </w:rPr>
        <w:t xml:space="preserve">. </w:t>
      </w:r>
      <w:bookmarkEnd w:id="7"/>
      <w:r w:rsidRPr="00863425">
        <w:rPr>
          <w:rFonts w:ascii="Arial" w:hAnsi="Arial" w:cs="Arial"/>
          <w:szCs w:val="20"/>
        </w:rPr>
        <w:t>Hazard ratios of cardiovascular event comparing methotrexate with retinoid in patients with psoriasis stratified on propensity score quintile</w:t>
      </w:r>
    </w:p>
    <w:tbl>
      <w:tblPr>
        <w:tblW w:w="486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8"/>
        <w:gridCol w:w="2128"/>
        <w:gridCol w:w="1983"/>
      </w:tblGrid>
      <w:tr w:rsidR="008E3484" w:rsidRPr="007D47BD" w14:paraId="406FCD35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  <w:hideMark/>
          </w:tcPr>
          <w:p w14:paraId="28E7270D" w14:textId="77777777" w:rsidR="008E3484" w:rsidRPr="007D47BD" w:rsidRDefault="008E3484" w:rsidP="00A921EB">
            <w:pPr>
              <w:jc w:val="both"/>
              <w:rPr>
                <w:rFonts w:cs="Arial"/>
                <w:lang w:val="en-GB"/>
              </w:rPr>
            </w:pPr>
            <w:r w:rsidRPr="007D47BD">
              <w:rPr>
                <w:rFonts w:cs="Arial"/>
                <w:lang w:val="en-GB"/>
              </w:rPr>
              <w:t>Methods</w:t>
            </w:r>
          </w:p>
        </w:tc>
        <w:tc>
          <w:tcPr>
            <w:tcW w:w="1317" w:type="pct"/>
            <w:shd w:val="clear" w:color="auto" w:fill="auto"/>
            <w:noWrap/>
            <w:vAlign w:val="center"/>
            <w:hideMark/>
          </w:tcPr>
          <w:p w14:paraId="46D1F384" w14:textId="77777777" w:rsidR="008E3484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Crude HR</w:t>
            </w:r>
          </w:p>
          <w:p w14:paraId="7F77E7F7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HR (95% CI)</w:t>
            </w:r>
          </w:p>
        </w:tc>
        <w:tc>
          <w:tcPr>
            <w:tcW w:w="1227" w:type="pct"/>
            <w:shd w:val="clear" w:color="auto" w:fill="auto"/>
            <w:noWrap/>
            <w:vAlign w:val="center"/>
            <w:hideMark/>
          </w:tcPr>
          <w:p w14:paraId="360AE6D7" w14:textId="77777777" w:rsidR="008E3484" w:rsidRDefault="008E3484" w:rsidP="00A921EB">
            <w:pPr>
              <w:jc w:val="both"/>
              <w:rPr>
                <w:rFonts w:cs="Arial"/>
                <w:color w:val="000000"/>
                <w:vertAlign w:val="superscript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 xml:space="preserve">Adjusted HR </w:t>
            </w:r>
            <w:r>
              <w:rPr>
                <w:rFonts w:cs="Arial"/>
                <w:color w:val="000000"/>
                <w:vertAlign w:val="superscript"/>
                <w:lang w:val="en-GB"/>
              </w:rPr>
              <w:t>a</w:t>
            </w:r>
          </w:p>
          <w:p w14:paraId="5B46A689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vertAlign w:val="superscript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HR (95% CI)</w:t>
            </w:r>
          </w:p>
        </w:tc>
      </w:tr>
      <w:tr w:rsidR="008E3484" w:rsidRPr="007D47BD" w14:paraId="46D6BFCF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  <w:hideMark/>
          </w:tcPr>
          <w:p w14:paraId="1C203243" w14:textId="77777777" w:rsidR="008E3484" w:rsidRPr="007D47BD" w:rsidRDefault="008E3484" w:rsidP="00A921EB">
            <w:pPr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b/>
                <w:color w:val="000000"/>
                <w:lang w:val="en-GB"/>
              </w:rPr>
              <w:t>Intention-to-treat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1A34FD2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DE149B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</w:p>
        </w:tc>
      </w:tr>
      <w:tr w:rsidR="008E3484" w:rsidRPr="007D47BD" w14:paraId="3F9F0815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3789549F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Composite cardiovascular outcome</w:t>
            </w:r>
            <w:r>
              <w:rPr>
                <w:rFonts w:cs="Arial"/>
                <w:color w:val="000000"/>
                <w:vertAlign w:val="superscript"/>
                <w:lang w:val="en-GB"/>
              </w:rPr>
              <w:t xml:space="preserve"> b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2A802B3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0.78 (0.71–0.85)</w:t>
            </w:r>
            <w:r w:rsidRPr="007D47BD">
              <w:rPr>
                <w:rFonts w:cs="Arial"/>
                <w:color w:val="000000"/>
                <w:sz w:val="22"/>
                <w:vertAlign w:val="superscript"/>
                <w:lang w:val="en-GB"/>
              </w:rPr>
              <w:t xml:space="preserve">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12075D9D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0.84 (0.76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0.92)</w:t>
            </w:r>
          </w:p>
        </w:tc>
      </w:tr>
      <w:tr w:rsidR="008E3484" w:rsidRPr="007D47BD" w14:paraId="19C33329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5305E25F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Ischemic heart disease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23CA4110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0.83 (0.71–0.97)</w:t>
            </w:r>
            <w:r w:rsidRPr="007D47BD">
              <w:rPr>
                <w:rFonts w:cs="Arial"/>
                <w:color w:val="000000"/>
                <w:sz w:val="22"/>
                <w:vertAlign w:val="superscript"/>
                <w:lang w:val="en-GB"/>
              </w:rPr>
              <w:t xml:space="preserve">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212EC188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0.87 (0.74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1.02)</w:t>
            </w:r>
          </w:p>
        </w:tc>
      </w:tr>
      <w:tr w:rsidR="008E3484" w:rsidRPr="007D47BD" w14:paraId="7FB60337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708E5A92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Ischemic stroke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20359976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0.95 (0.82–1.11)</w:t>
            </w:r>
            <w:r w:rsidRPr="007D47BD">
              <w:rPr>
                <w:rFonts w:cs="Arial"/>
                <w:color w:val="000000"/>
                <w:sz w:val="22"/>
                <w:vertAlign w:val="superscript"/>
                <w:lang w:val="en-GB"/>
              </w:rPr>
              <w:t xml:space="preserve">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434D189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1.03 (0.88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1.20)</w:t>
            </w:r>
          </w:p>
        </w:tc>
      </w:tr>
      <w:tr w:rsidR="008E3484" w:rsidRPr="007D47BD" w14:paraId="26B405D3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04A6606D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All-cause mortality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7DCDEA6B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0.69 (0.62–0.77)</w:t>
            </w:r>
            <w:r w:rsidRPr="007D47BD">
              <w:rPr>
                <w:rFonts w:cs="Arial"/>
                <w:color w:val="000000"/>
                <w:sz w:val="22"/>
                <w:vertAlign w:val="superscript"/>
                <w:lang w:val="en-GB"/>
              </w:rPr>
              <w:t xml:space="preserve">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5FA70D3F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0.75 (0.67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0.84)</w:t>
            </w:r>
          </w:p>
        </w:tc>
      </w:tr>
      <w:tr w:rsidR="008E3484" w:rsidRPr="007D47BD" w14:paraId="24A2BDE2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6350449F" w14:textId="77777777" w:rsidR="008E3484" w:rsidRPr="007D47BD" w:rsidRDefault="008E3484" w:rsidP="00A921EB">
            <w:pPr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b/>
                <w:color w:val="000000"/>
                <w:lang w:val="en-GB"/>
              </w:rPr>
              <w:t>As-treated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196560DB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614163E9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</w:p>
        </w:tc>
      </w:tr>
      <w:tr w:rsidR="008E3484" w:rsidRPr="007D47BD" w14:paraId="24392EBE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125B5195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Composite cardiovascular outcome</w:t>
            </w:r>
            <w:r>
              <w:rPr>
                <w:rFonts w:cs="Arial"/>
                <w:color w:val="000000"/>
                <w:vertAlign w:val="superscript"/>
                <w:lang w:val="en-GB"/>
              </w:rPr>
              <w:t xml:space="preserve"> b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545589B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0.76 (0.61–0.94)</w:t>
            </w:r>
            <w:r w:rsidRPr="007D47BD">
              <w:rPr>
                <w:rFonts w:cs="Arial"/>
                <w:color w:val="000000"/>
                <w:sz w:val="22"/>
                <w:vertAlign w:val="superscript"/>
                <w:lang w:val="en-GB"/>
              </w:rPr>
              <w:t xml:space="preserve">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091CB82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0.90 (0.71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1.14)</w:t>
            </w:r>
          </w:p>
        </w:tc>
      </w:tr>
      <w:tr w:rsidR="008E3484" w:rsidRPr="007D47BD" w14:paraId="07985725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40C2F3E2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Ischemic heart disease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1212FC2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 xml:space="preserve">0.61 (0.43–0.87)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D60DA01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0.62 (0.43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0.91)</w:t>
            </w:r>
          </w:p>
        </w:tc>
      </w:tr>
      <w:tr w:rsidR="008E3484" w:rsidRPr="007D47BD" w14:paraId="140CB7E3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</w:tcPr>
          <w:p w14:paraId="7A53E6CD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Ischemic stroke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7FCA47C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0.96 (0.68–1.37)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0E314ABC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1.10 (0.76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1.59)</w:t>
            </w:r>
          </w:p>
        </w:tc>
      </w:tr>
      <w:tr w:rsidR="008E3484" w:rsidRPr="007D47BD" w14:paraId="61861EA3" w14:textId="77777777" w:rsidTr="00A921EB">
        <w:trPr>
          <w:trHeight w:val="330"/>
        </w:trPr>
        <w:tc>
          <w:tcPr>
            <w:tcW w:w="2456" w:type="pct"/>
            <w:shd w:val="clear" w:color="auto" w:fill="auto"/>
            <w:noWrap/>
            <w:vAlign w:val="center"/>
            <w:hideMark/>
          </w:tcPr>
          <w:p w14:paraId="46F72BAC" w14:textId="77777777" w:rsidR="008E3484" w:rsidRPr="007D47BD" w:rsidRDefault="008E3484" w:rsidP="00A921EB">
            <w:pPr>
              <w:ind w:leftChars="100" w:left="240"/>
              <w:jc w:val="both"/>
              <w:rPr>
                <w:rFonts w:cs="Arial"/>
                <w:b/>
                <w:color w:val="000000"/>
                <w:lang w:val="en-GB"/>
              </w:rPr>
            </w:pPr>
            <w:r w:rsidRPr="007D47BD">
              <w:rPr>
                <w:rFonts w:cs="Arial"/>
                <w:iCs/>
                <w:lang w:val="en-GB"/>
              </w:rPr>
              <w:t>All-cause mortality</w:t>
            </w:r>
          </w:p>
        </w:tc>
        <w:tc>
          <w:tcPr>
            <w:tcW w:w="1317" w:type="pct"/>
            <w:shd w:val="clear" w:color="auto" w:fill="auto"/>
            <w:noWrap/>
            <w:vAlign w:val="center"/>
          </w:tcPr>
          <w:p w14:paraId="135345C5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7D47BD">
              <w:rPr>
                <w:rFonts w:cs="Arial"/>
                <w:color w:val="000000"/>
                <w:lang w:val="en-GB"/>
              </w:rPr>
              <w:t>0.65 (0.49–0.86)</w:t>
            </w:r>
            <w:r w:rsidRPr="007D47BD">
              <w:rPr>
                <w:rFonts w:cs="Arial"/>
                <w:color w:val="000000"/>
                <w:sz w:val="22"/>
                <w:vertAlign w:val="superscript"/>
                <w:lang w:val="en-GB"/>
              </w:rPr>
              <w:t xml:space="preserve"> </w:t>
            </w:r>
          </w:p>
        </w:tc>
        <w:tc>
          <w:tcPr>
            <w:tcW w:w="1227" w:type="pct"/>
            <w:shd w:val="clear" w:color="auto" w:fill="auto"/>
            <w:noWrap/>
            <w:vAlign w:val="center"/>
          </w:tcPr>
          <w:p w14:paraId="7CA859B3" w14:textId="77777777" w:rsidR="008E3484" w:rsidRPr="007D47BD" w:rsidRDefault="008E3484" w:rsidP="00A921EB">
            <w:pPr>
              <w:jc w:val="both"/>
              <w:rPr>
                <w:rFonts w:cs="Arial"/>
                <w:color w:val="000000"/>
                <w:lang w:val="en-GB"/>
              </w:rPr>
            </w:pPr>
            <w:r w:rsidRPr="00047DD9">
              <w:rPr>
                <w:rFonts w:ascii="Times New Roman" w:hAnsi="Times New Roman"/>
                <w:color w:val="000000"/>
              </w:rPr>
              <w:t>0.80 (0.59</w:t>
            </w:r>
            <w:r w:rsidRPr="00047DD9">
              <w:rPr>
                <w:rFonts w:ascii="Times New Roman" w:hAnsi="Times New Roman"/>
                <w:color w:val="000000"/>
              </w:rPr>
              <w:sym w:font="Symbol" w:char="F02D"/>
            </w:r>
            <w:r w:rsidRPr="00047DD9">
              <w:rPr>
                <w:rFonts w:ascii="Times New Roman" w:hAnsi="Times New Roman"/>
                <w:color w:val="000000"/>
              </w:rPr>
              <w:t>1.09)</w:t>
            </w:r>
          </w:p>
        </w:tc>
      </w:tr>
    </w:tbl>
    <w:p w14:paraId="715241BB" w14:textId="77777777" w:rsidR="008E3484" w:rsidRPr="00B614C3" w:rsidRDefault="008E3484" w:rsidP="008E3484">
      <w:pPr>
        <w:rPr>
          <w:rFonts w:cs="Arial"/>
          <w:lang w:val="en-GB"/>
        </w:rPr>
      </w:pPr>
      <w:r>
        <w:rPr>
          <w:rFonts w:cs="Arial"/>
          <w:vertAlign w:val="superscript"/>
          <w:lang w:val="en-GB"/>
        </w:rPr>
        <w:t>a</w:t>
      </w:r>
      <w:r w:rsidRPr="00B614C3">
        <w:rPr>
          <w:rFonts w:cs="Arial"/>
          <w:vertAlign w:val="superscript"/>
          <w:lang w:val="en-GB"/>
        </w:rPr>
        <w:t xml:space="preserve"> </w:t>
      </w:r>
      <w:r w:rsidRPr="00B614C3">
        <w:rPr>
          <w:rFonts w:cs="Arial"/>
          <w:lang w:val="en-GB"/>
        </w:rPr>
        <w:t xml:space="preserve">Adjusted hazard ratios were based on propensity score </w:t>
      </w:r>
      <w:r>
        <w:rPr>
          <w:rFonts w:cs="Arial"/>
          <w:lang w:val="en-GB"/>
        </w:rPr>
        <w:t>stratification</w:t>
      </w:r>
      <w:r w:rsidRPr="00B614C3">
        <w:rPr>
          <w:rFonts w:cs="Arial"/>
          <w:lang w:val="en-GB"/>
        </w:rPr>
        <w:t>.</w:t>
      </w:r>
    </w:p>
    <w:p w14:paraId="7BB0A00F" w14:textId="77777777" w:rsidR="008E3484" w:rsidRPr="00B614C3" w:rsidRDefault="008E3484" w:rsidP="008E3484">
      <w:pPr>
        <w:widowControl w:val="0"/>
        <w:rPr>
          <w:rFonts w:cs="Arial"/>
          <w:b/>
          <w:bCs/>
        </w:rPr>
      </w:pPr>
      <w:r>
        <w:rPr>
          <w:rFonts w:cs="Arial"/>
          <w:color w:val="000000"/>
          <w:vertAlign w:val="superscript"/>
          <w:lang w:val="en-GB"/>
        </w:rPr>
        <w:t>b</w:t>
      </w:r>
      <w:r w:rsidRPr="00B614C3">
        <w:rPr>
          <w:rFonts w:cs="Arial"/>
          <w:color w:val="000000"/>
          <w:vertAlign w:val="superscript"/>
          <w:lang w:val="en-GB"/>
        </w:rPr>
        <w:t xml:space="preserve"> </w:t>
      </w:r>
      <w:r w:rsidRPr="00B614C3">
        <w:rPr>
          <w:rFonts w:cs="Arial"/>
          <w:szCs w:val="20"/>
          <w:lang w:val="en-GB"/>
        </w:rPr>
        <w:t>Cardiovascular outcome includes hospitalizations for ischemic heart disease, ischemic stroke, and all-cause mortality.</w:t>
      </w:r>
    </w:p>
    <w:p w14:paraId="41F96CD7" w14:textId="019C8800" w:rsidR="008E3484" w:rsidRDefault="008E3484" w:rsidP="008E3484">
      <w:pPr>
        <w:rPr>
          <w:rFonts w:cs="Arial"/>
          <w:lang w:val="en-GB"/>
        </w:rPr>
      </w:pPr>
      <w:r w:rsidRPr="00B614C3">
        <w:rPr>
          <w:rFonts w:cs="Arial"/>
          <w:lang w:val="en-GB"/>
        </w:rPr>
        <w:t>HR</w:t>
      </w:r>
      <w:r>
        <w:rPr>
          <w:rFonts w:cs="Arial"/>
          <w:szCs w:val="20"/>
        </w:rPr>
        <w:t>,</w:t>
      </w:r>
      <w:r w:rsidRPr="00B614C3">
        <w:rPr>
          <w:rFonts w:cs="Arial"/>
          <w:lang w:val="en-GB"/>
        </w:rPr>
        <w:t xml:space="preserve"> hazard ratio</w:t>
      </w:r>
      <w:r w:rsidRPr="00D267FB">
        <w:rPr>
          <w:rFonts w:cs="Arial"/>
          <w:szCs w:val="20"/>
        </w:rPr>
        <w:t>;</w:t>
      </w:r>
      <w:r w:rsidRPr="00B614C3">
        <w:rPr>
          <w:rFonts w:cs="Arial"/>
          <w:lang w:val="en-GB"/>
        </w:rPr>
        <w:t xml:space="preserve"> CI</w:t>
      </w:r>
      <w:r>
        <w:rPr>
          <w:rFonts w:cs="Arial"/>
          <w:szCs w:val="20"/>
        </w:rPr>
        <w:t>,</w:t>
      </w:r>
      <w:r w:rsidRPr="00B614C3">
        <w:rPr>
          <w:rFonts w:cs="Arial"/>
          <w:lang w:val="en-GB"/>
        </w:rPr>
        <w:t xml:space="preserve"> confidence interval.</w:t>
      </w:r>
    </w:p>
    <w:p w14:paraId="6D1A1DF2" w14:textId="1DFBC4BA" w:rsidR="0068519C" w:rsidRDefault="0068519C" w:rsidP="008E3484">
      <w:pPr>
        <w:rPr>
          <w:rFonts w:cs="Arial"/>
          <w:lang w:val="en-GB"/>
        </w:rPr>
      </w:pPr>
    </w:p>
    <w:p w14:paraId="5EB6E3AB" w14:textId="2948F7A1" w:rsidR="0068519C" w:rsidRDefault="0068519C" w:rsidP="008E3484">
      <w:pPr>
        <w:rPr>
          <w:rFonts w:cs="Arial"/>
          <w:lang w:val="en-GB"/>
        </w:rPr>
      </w:pPr>
    </w:p>
    <w:p w14:paraId="6F50B387" w14:textId="06042C4C" w:rsidR="0068519C" w:rsidRDefault="0068519C" w:rsidP="008E3484">
      <w:pPr>
        <w:rPr>
          <w:rFonts w:cs="Arial"/>
          <w:lang w:val="en-GB"/>
        </w:rPr>
      </w:pPr>
    </w:p>
    <w:p w14:paraId="69240299" w14:textId="2584A11E" w:rsidR="0068519C" w:rsidRDefault="0068519C" w:rsidP="008E3484">
      <w:pPr>
        <w:rPr>
          <w:rFonts w:cs="Arial"/>
          <w:lang w:val="en-GB"/>
        </w:rPr>
      </w:pPr>
    </w:p>
    <w:p w14:paraId="6C25C733" w14:textId="0057DE6D" w:rsidR="0068519C" w:rsidRDefault="0068519C" w:rsidP="008E3484">
      <w:pPr>
        <w:rPr>
          <w:rFonts w:cs="Arial"/>
          <w:lang w:val="en-GB"/>
        </w:rPr>
      </w:pPr>
    </w:p>
    <w:p w14:paraId="45FCA87B" w14:textId="08D848F6" w:rsidR="0068519C" w:rsidRDefault="0068519C" w:rsidP="008E3484">
      <w:pPr>
        <w:rPr>
          <w:rFonts w:cs="Arial"/>
          <w:lang w:val="en-GB"/>
        </w:rPr>
      </w:pPr>
    </w:p>
    <w:p w14:paraId="6C73B1CC" w14:textId="2D78D44C" w:rsidR="0068519C" w:rsidRDefault="0068519C" w:rsidP="008E3484">
      <w:pPr>
        <w:rPr>
          <w:rFonts w:cs="Arial"/>
          <w:lang w:val="en-GB"/>
        </w:rPr>
      </w:pPr>
    </w:p>
    <w:p w14:paraId="0F7544C0" w14:textId="20DB24C3" w:rsidR="0068519C" w:rsidRDefault="0068519C" w:rsidP="008E3484">
      <w:pPr>
        <w:rPr>
          <w:rFonts w:cs="Arial"/>
          <w:lang w:val="en-GB"/>
        </w:rPr>
      </w:pPr>
    </w:p>
    <w:p w14:paraId="121E0A5C" w14:textId="258023C5" w:rsidR="0068519C" w:rsidRDefault="0068519C" w:rsidP="008E3484">
      <w:pPr>
        <w:rPr>
          <w:rFonts w:cs="Arial"/>
          <w:lang w:val="en-GB"/>
        </w:rPr>
      </w:pPr>
    </w:p>
    <w:p w14:paraId="3FE906D2" w14:textId="69B7805A" w:rsidR="0068519C" w:rsidRDefault="0068519C" w:rsidP="008E3484">
      <w:pPr>
        <w:rPr>
          <w:rFonts w:cs="Arial"/>
          <w:lang w:val="en-GB"/>
        </w:rPr>
      </w:pPr>
    </w:p>
    <w:p w14:paraId="3FC3E346" w14:textId="58F2C174" w:rsidR="0068519C" w:rsidRDefault="0068519C" w:rsidP="008E3484">
      <w:pPr>
        <w:rPr>
          <w:rFonts w:cs="Arial"/>
          <w:lang w:val="en-GB"/>
        </w:rPr>
      </w:pPr>
    </w:p>
    <w:p w14:paraId="73F474DA" w14:textId="0433B6C0" w:rsidR="0068519C" w:rsidRDefault="0068519C" w:rsidP="008E3484">
      <w:pPr>
        <w:rPr>
          <w:rFonts w:cs="Arial"/>
          <w:lang w:val="en-GB"/>
        </w:rPr>
      </w:pPr>
    </w:p>
    <w:p w14:paraId="4EF6986D" w14:textId="6CCB8929" w:rsidR="0068519C" w:rsidRDefault="0068519C" w:rsidP="008E3484">
      <w:pPr>
        <w:rPr>
          <w:rFonts w:cs="Arial"/>
          <w:lang w:val="en-GB"/>
        </w:rPr>
      </w:pPr>
    </w:p>
    <w:p w14:paraId="71BE309E" w14:textId="2AD6E684" w:rsidR="005D6C64" w:rsidRPr="00EE2FF3" w:rsidRDefault="00EE2FF3" w:rsidP="00EE2FF3">
      <w:pPr>
        <w:pStyle w:val="2"/>
        <w:rPr>
          <w:rFonts w:ascii="Arial" w:hAnsi="Arial" w:cs="Arial"/>
          <w:color w:val="000000" w:themeColor="text1"/>
          <w:sz w:val="24"/>
          <w:lang w:val="en-GB"/>
        </w:rPr>
      </w:pPr>
      <w:bookmarkStart w:id="9" w:name="_Toc76333498"/>
      <w:r w:rsidRPr="00EE2FF3">
        <w:rPr>
          <w:rFonts w:ascii="Arial" w:hAnsi="Arial" w:cs="Arial"/>
          <w:color w:val="000000" w:themeColor="text1"/>
          <w:sz w:val="24"/>
          <w:lang w:val="en-GB"/>
        </w:rPr>
        <w:lastRenderedPageBreak/>
        <w:t xml:space="preserve">Sensitivity analysis </w:t>
      </w:r>
      <w:r w:rsidR="005D6C64" w:rsidRPr="00EE2FF3">
        <w:rPr>
          <w:rFonts w:ascii="Arial" w:hAnsi="Arial" w:cs="Arial"/>
          <w:color w:val="000000" w:themeColor="text1"/>
          <w:sz w:val="24"/>
          <w:lang w:val="en-GB"/>
        </w:rPr>
        <w:t>for unmeasured confounding</w:t>
      </w:r>
      <w:bookmarkEnd w:id="4"/>
      <w:bookmarkEnd w:id="9"/>
    </w:p>
    <w:p w14:paraId="285C1223" w14:textId="6ED92223" w:rsidR="005D6C64" w:rsidRPr="00EE2FF3" w:rsidRDefault="005D6C64" w:rsidP="005D6C64">
      <w:pPr>
        <w:spacing w:before="240" w:after="240" w:line="480" w:lineRule="auto"/>
        <w:jc w:val="both"/>
        <w:rPr>
          <w:rFonts w:ascii="Arial" w:hAnsi="Arial" w:cs="Arial"/>
          <w:color w:val="000000" w:themeColor="text1"/>
          <w:lang w:val="en-GB"/>
        </w:rPr>
      </w:pPr>
      <w:r w:rsidRPr="00EE2FF3">
        <w:rPr>
          <w:rFonts w:ascii="Arial" w:hAnsi="Arial" w:cs="Arial"/>
          <w:color w:val="000000" w:themeColor="text1"/>
          <w:lang w:val="en-GB"/>
        </w:rPr>
        <w:t xml:space="preserve">Even though the National Health Insurance (NHI) database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provides </w:t>
      </w:r>
      <w:r w:rsidRPr="00EE2FF3">
        <w:rPr>
          <w:rFonts w:ascii="Arial" w:hAnsi="Arial" w:cs="Arial"/>
          <w:color w:val="000000" w:themeColor="text1"/>
          <w:lang w:val="en-GB"/>
        </w:rPr>
        <w:t xml:space="preserve">a vast amount of medical information about patients,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certain </w:t>
      </w:r>
      <w:r w:rsidRPr="00EE2FF3">
        <w:rPr>
          <w:rFonts w:ascii="Arial" w:hAnsi="Arial" w:cs="Arial"/>
          <w:color w:val="000000" w:themeColor="text1"/>
          <w:lang w:val="en-GB"/>
        </w:rPr>
        <w:t xml:space="preserve">critical clinical parameters related to the adoption of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treatments </w:t>
      </w:r>
      <w:r w:rsidRPr="00EE2FF3">
        <w:rPr>
          <w:rFonts w:ascii="Arial" w:hAnsi="Arial" w:cs="Arial"/>
          <w:color w:val="000000" w:themeColor="text1"/>
          <w:lang w:val="en-GB"/>
        </w:rPr>
        <w:t xml:space="preserve">and behaviour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that affects </w:t>
      </w:r>
      <w:r w:rsidRPr="00EE2FF3">
        <w:rPr>
          <w:rFonts w:ascii="Arial" w:hAnsi="Arial" w:cs="Arial"/>
          <w:color w:val="000000" w:themeColor="text1"/>
          <w:lang w:val="en-GB"/>
        </w:rPr>
        <w:t xml:space="preserve">study outcomes (such as smoking or obesity) could not be obtained. Accordingly, we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attempted </w:t>
      </w:r>
      <w:r w:rsidRPr="00EE2FF3">
        <w:rPr>
          <w:rFonts w:ascii="Arial" w:hAnsi="Arial" w:cs="Arial"/>
          <w:color w:val="000000" w:themeColor="text1"/>
          <w:lang w:val="en-GB"/>
        </w:rPr>
        <w:t xml:space="preserve">to determine the degree to which unmeasured confounding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factors cause </w:t>
      </w:r>
      <w:r w:rsidRPr="00EE2FF3">
        <w:rPr>
          <w:rFonts w:ascii="Arial" w:hAnsi="Arial" w:cs="Arial"/>
          <w:color w:val="000000" w:themeColor="text1"/>
          <w:lang w:val="en-GB"/>
        </w:rPr>
        <w:t xml:space="preserve">spurious </w:t>
      </w:r>
      <w:r w:rsidR="00326F95" w:rsidRPr="00EE2FF3">
        <w:rPr>
          <w:rFonts w:ascii="Arial" w:hAnsi="Arial" w:cs="Arial"/>
          <w:color w:val="000000" w:themeColor="text1"/>
          <w:lang w:val="en-GB"/>
        </w:rPr>
        <w:t xml:space="preserve">decreases </w:t>
      </w:r>
      <w:r w:rsidRPr="00EE2FF3">
        <w:rPr>
          <w:rFonts w:ascii="Arial" w:hAnsi="Arial" w:cs="Arial"/>
          <w:color w:val="000000" w:themeColor="text1"/>
          <w:lang w:val="en-GB"/>
        </w:rPr>
        <w:t xml:space="preserve">in the observed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effects </w:t>
      </w:r>
      <w:r w:rsidRPr="00EE2FF3">
        <w:rPr>
          <w:rFonts w:ascii="Arial" w:hAnsi="Arial" w:cs="Arial"/>
          <w:color w:val="000000" w:themeColor="text1"/>
          <w:lang w:val="en-GB"/>
        </w:rPr>
        <w:t xml:space="preserve">associated with the use of index anti-psoriatic agents when none truly </w:t>
      </w:r>
      <w:r w:rsidR="00C35BB6" w:rsidRPr="00EE2FF3">
        <w:rPr>
          <w:rFonts w:ascii="Arial" w:hAnsi="Arial" w:cs="Arial"/>
          <w:color w:val="000000" w:themeColor="text1"/>
          <w:lang w:val="en-GB"/>
        </w:rPr>
        <w:t>exists</w:t>
      </w:r>
      <w:r w:rsidRPr="00EE2FF3">
        <w:rPr>
          <w:rFonts w:ascii="Arial" w:hAnsi="Arial" w:cs="Arial"/>
          <w:color w:val="000000" w:themeColor="text1"/>
          <w:lang w:val="en-GB"/>
        </w:rPr>
        <w:t>.</w:t>
      </w:r>
      <w:r w:rsidRPr="00EE2FF3">
        <w:rPr>
          <w:rFonts w:ascii="Arial" w:hAnsi="Arial" w:cs="Arial"/>
          <w:color w:val="000000" w:themeColor="text1"/>
          <w:lang w:val="en-GB"/>
        </w:rPr>
        <w:fldChar w:fldCharType="begin">
          <w:fldData xml:space="preserve">PEVuZE5vdGU+PENpdGU+PEF1dGhvcj5TY2huZWV3ZWlzczwvQXV0aG9yPjxZZWFyPjIwMDY8L1ll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</w:fldData>
        </w:fldChar>
      </w:r>
      <w:r w:rsidRPr="00EE2FF3">
        <w:rPr>
          <w:rFonts w:ascii="Arial" w:hAnsi="Arial" w:cs="Arial"/>
          <w:color w:val="000000" w:themeColor="text1"/>
          <w:lang w:val="en-GB"/>
        </w:rPr>
        <w:instrText xml:space="preserve"> ADDIN EN.CITE </w:instrText>
      </w:r>
      <w:r w:rsidRPr="00EE2FF3">
        <w:rPr>
          <w:rFonts w:ascii="Arial" w:hAnsi="Arial" w:cs="Arial"/>
          <w:color w:val="000000" w:themeColor="text1"/>
          <w:lang w:val="en-GB"/>
        </w:rPr>
        <w:fldChar w:fldCharType="begin">
          <w:fldData xml:space="preserve">PEVuZE5vdGU+PENpdGU+PEF1dGhvcj5TY2huZWV3ZWlzczwvQXV0aG9yPjxZZWFyPjIwMDY8L1ll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</w:fldData>
        </w:fldChar>
      </w:r>
      <w:r w:rsidRPr="00EE2FF3">
        <w:rPr>
          <w:rFonts w:ascii="Arial" w:hAnsi="Arial" w:cs="Arial"/>
          <w:color w:val="000000" w:themeColor="text1"/>
          <w:lang w:val="en-GB"/>
        </w:rPr>
        <w:instrText xml:space="preserve"> ADDIN EN.CITE.DATA </w:instrText>
      </w:r>
      <w:r w:rsidRPr="00EE2FF3">
        <w:rPr>
          <w:rFonts w:ascii="Arial" w:hAnsi="Arial" w:cs="Arial"/>
          <w:color w:val="000000" w:themeColor="text1"/>
          <w:lang w:val="en-GB"/>
        </w:rPr>
      </w:r>
      <w:r w:rsidRPr="00EE2FF3">
        <w:rPr>
          <w:rFonts w:ascii="Arial" w:hAnsi="Arial" w:cs="Arial"/>
          <w:color w:val="000000" w:themeColor="text1"/>
          <w:lang w:val="en-GB"/>
        </w:rPr>
        <w:fldChar w:fldCharType="end"/>
      </w:r>
      <w:r w:rsidRPr="00EE2FF3">
        <w:rPr>
          <w:rFonts w:ascii="Arial" w:hAnsi="Arial" w:cs="Arial"/>
          <w:color w:val="000000" w:themeColor="text1"/>
          <w:lang w:val="en-GB"/>
        </w:rPr>
      </w:r>
      <w:r w:rsidRPr="00EE2FF3">
        <w:rPr>
          <w:rFonts w:ascii="Arial" w:hAnsi="Arial" w:cs="Arial"/>
          <w:color w:val="000000" w:themeColor="text1"/>
          <w:lang w:val="en-GB"/>
        </w:rPr>
        <w:fldChar w:fldCharType="separate"/>
      </w:r>
      <w:r w:rsidRPr="00EE2FF3">
        <w:rPr>
          <w:rFonts w:ascii="Arial" w:hAnsi="Arial" w:cs="Arial"/>
          <w:noProof/>
          <w:color w:val="000000" w:themeColor="text1"/>
          <w:vertAlign w:val="superscript"/>
          <w:lang w:val="en-GB"/>
        </w:rPr>
        <w:t>2,3</w:t>
      </w:r>
      <w:r w:rsidRPr="00EE2FF3">
        <w:rPr>
          <w:rFonts w:ascii="Arial" w:hAnsi="Arial" w:cs="Arial"/>
          <w:color w:val="000000" w:themeColor="text1"/>
          <w:lang w:val="en-GB"/>
        </w:rPr>
        <w:fldChar w:fldCharType="end"/>
      </w:r>
      <w:r w:rsidRPr="00EE2FF3">
        <w:rPr>
          <w:rFonts w:ascii="Arial" w:hAnsi="Arial" w:cs="Arial"/>
          <w:color w:val="000000" w:themeColor="text1"/>
          <w:lang w:val="en-GB"/>
        </w:rPr>
        <w:t xml:space="preserve"> With this aim, we performed an array approach using a multiplicative bias term for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the </w:t>
      </w:r>
      <w:r w:rsidRPr="00EE2FF3">
        <w:rPr>
          <w:rFonts w:ascii="Arial" w:hAnsi="Arial" w:cs="Arial"/>
          <w:color w:val="000000" w:themeColor="text1"/>
          <w:lang w:val="en-GB"/>
        </w:rPr>
        <w:t xml:space="preserve">unmeasured confounder to the apparent RR that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does </w:t>
      </w:r>
      <w:r w:rsidRPr="00EE2FF3">
        <w:rPr>
          <w:rFonts w:ascii="Arial" w:hAnsi="Arial" w:cs="Arial"/>
          <w:color w:val="000000" w:themeColor="text1"/>
          <w:lang w:val="en-GB"/>
        </w:rPr>
        <w:t xml:space="preserve">not account for unmeasured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confounders </w:t>
      </w:r>
      <w:r w:rsidRPr="00EE2FF3">
        <w:rPr>
          <w:rFonts w:ascii="Arial" w:hAnsi="Arial" w:cs="Arial"/>
          <w:color w:val="000000" w:themeColor="text1"/>
          <w:lang w:val="en-GB"/>
        </w:rPr>
        <w:t>as follows, Apparent RR = RR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adjusted</w:t>
      </w:r>
      <w:r w:rsidRPr="00EE2FF3">
        <w:rPr>
          <w:rFonts w:ascii="Arial" w:hAnsi="Arial" w:cs="Arial"/>
          <w:color w:val="000000" w:themeColor="text1"/>
          <w:lang w:val="en-GB"/>
        </w:rPr>
        <w:t xml:space="preserve"> × (P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C1</w:t>
      </w:r>
      <w:r w:rsidRPr="00EE2FF3">
        <w:rPr>
          <w:rFonts w:ascii="Arial" w:hAnsi="Arial" w:cs="Arial"/>
          <w:color w:val="000000" w:themeColor="text1"/>
          <w:lang w:val="en-GB"/>
        </w:rPr>
        <w:t xml:space="preserve"> (RR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CD</w:t>
      </w:r>
      <w:r w:rsidRPr="00EE2FF3">
        <w:rPr>
          <w:rFonts w:ascii="Arial" w:hAnsi="Arial" w:cs="Arial"/>
          <w:color w:val="000000" w:themeColor="text1"/>
          <w:lang w:val="en-GB"/>
        </w:rPr>
        <w:t>-1)+1)/(P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C0</w:t>
      </w:r>
      <w:r w:rsidRPr="00EE2FF3">
        <w:rPr>
          <w:rFonts w:ascii="Arial" w:hAnsi="Arial" w:cs="Arial"/>
          <w:color w:val="000000" w:themeColor="text1"/>
          <w:lang w:val="en-GB"/>
        </w:rPr>
        <w:t xml:space="preserve"> (RR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CD</w:t>
      </w:r>
      <w:r w:rsidRPr="00EE2FF3">
        <w:rPr>
          <w:rFonts w:ascii="Arial" w:hAnsi="Arial" w:cs="Arial"/>
          <w:color w:val="000000" w:themeColor="text1"/>
          <w:lang w:val="en-GB"/>
        </w:rPr>
        <w:t>-1)+1), where RR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CD</w:t>
      </w:r>
      <w:r w:rsidRPr="00EE2FF3">
        <w:rPr>
          <w:rFonts w:ascii="Arial" w:hAnsi="Arial" w:cs="Arial"/>
          <w:color w:val="000000" w:themeColor="text1"/>
          <w:lang w:val="en-GB"/>
        </w:rPr>
        <w:t xml:space="preserve"> is the association between the unmeasured confounder and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the </w:t>
      </w:r>
      <w:r w:rsidRPr="00EE2FF3">
        <w:rPr>
          <w:rFonts w:ascii="Arial" w:hAnsi="Arial" w:cs="Arial"/>
          <w:color w:val="000000" w:themeColor="text1"/>
          <w:lang w:val="en-GB"/>
        </w:rPr>
        <w:t>outcome of interest and P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softHyphen/>
        <w:t>C1</w:t>
      </w:r>
      <w:r w:rsidRPr="00EE2FF3">
        <w:rPr>
          <w:rFonts w:ascii="Arial" w:hAnsi="Arial" w:cs="Arial"/>
          <w:color w:val="000000" w:themeColor="text1"/>
          <w:lang w:val="en-GB"/>
        </w:rPr>
        <w:t xml:space="preserve"> and P</w:t>
      </w:r>
      <w:r w:rsidRPr="00EE2FF3">
        <w:rPr>
          <w:rFonts w:ascii="Arial" w:hAnsi="Arial" w:cs="Arial"/>
          <w:color w:val="000000" w:themeColor="text1"/>
          <w:vertAlign w:val="subscript"/>
          <w:lang w:val="en-GB"/>
        </w:rPr>
        <w:t>C0</w:t>
      </w:r>
      <w:r w:rsidRPr="00EE2FF3">
        <w:rPr>
          <w:rFonts w:ascii="Arial" w:hAnsi="Arial" w:cs="Arial"/>
          <w:color w:val="000000" w:themeColor="text1"/>
          <w:lang w:val="en-GB"/>
        </w:rPr>
        <w:t xml:space="preserve"> are the prevalence of unmeasured </w:t>
      </w:r>
      <w:r w:rsidR="00C35BB6" w:rsidRPr="00EE2FF3">
        <w:rPr>
          <w:rFonts w:ascii="Arial" w:hAnsi="Arial" w:cs="Arial"/>
          <w:color w:val="000000" w:themeColor="text1"/>
          <w:lang w:val="en-GB"/>
        </w:rPr>
        <w:t xml:space="preserve">confounders </w:t>
      </w:r>
      <w:r w:rsidRPr="00EE2FF3">
        <w:rPr>
          <w:rFonts w:ascii="Arial" w:hAnsi="Arial" w:cs="Arial"/>
          <w:color w:val="000000" w:themeColor="text1"/>
          <w:lang w:val="en-GB"/>
        </w:rPr>
        <w:t>in the methotrexate (MTX) and retinoid user groups, respectively.</w:t>
      </w:r>
      <w:r w:rsidRPr="00EE2FF3">
        <w:rPr>
          <w:rFonts w:ascii="Arial" w:hAnsi="Arial" w:cs="Arial"/>
          <w:color w:val="000000" w:themeColor="text1"/>
        </w:rPr>
        <w:t xml:space="preserve"> </w:t>
      </w:r>
    </w:p>
    <w:p w14:paraId="6F30A28D" w14:textId="1EDDB326" w:rsidR="005D6C64" w:rsidRPr="00EE2FF3" w:rsidRDefault="005D6C64" w:rsidP="005D6C64">
      <w:pPr>
        <w:spacing w:before="240" w:after="240" w:line="48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EE2FF3">
        <w:rPr>
          <w:rFonts w:ascii="Arial" w:hAnsi="Arial" w:cs="Arial"/>
          <w:color w:val="000000" w:themeColor="text1"/>
          <w:lang w:val="en-GB"/>
        </w:rPr>
        <w:t xml:space="preserve">We assumed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that unmeasured or unobserved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confounders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(such as smoking) with a risk for </w:t>
      </w:r>
      <w:r w:rsidR="008D1AC8">
        <w:rPr>
          <w:rFonts w:ascii="Arial" w:hAnsi="Arial" w:cs="Arial"/>
          <w:color w:val="000000" w:themeColor="text1"/>
          <w:shd w:val="clear" w:color="auto" w:fill="FFFFFF"/>
        </w:rPr>
        <w:t>cardiovascular event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 of </w:t>
      </w:r>
      <w:r w:rsidR="00C05AF5" w:rsidRPr="00EE2FF3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C05AF5">
        <w:rPr>
          <w:rFonts w:ascii="Arial" w:hAnsi="Arial" w:cs="Arial" w:hint="eastAsia"/>
          <w:color w:val="000000" w:themeColor="text1"/>
          <w:shd w:val="clear" w:color="auto" w:fill="FFFFFF"/>
        </w:rPr>
        <w:t>.7</w:t>
      </w:r>
      <w:r w:rsidR="00C05AF5" w:rsidRPr="00EE2FF3">
        <w:rPr>
          <w:rFonts w:ascii="Arial" w:hAnsi="Arial" w:cs="Arial"/>
          <w:color w:val="000000" w:themeColor="text1"/>
          <w:shd w:val="clear" w:color="auto" w:fill="FFFFFF"/>
        </w:rPr>
        <w:t>–</w:t>
      </w:r>
      <w:r w:rsidR="00C05AF5">
        <w:rPr>
          <w:rFonts w:ascii="Arial" w:hAnsi="Arial" w:cs="Arial" w:hint="eastAsia"/>
          <w:color w:val="000000" w:themeColor="text1"/>
          <w:shd w:val="clear" w:color="auto" w:fill="FFFFFF"/>
        </w:rPr>
        <w:t>1</w:t>
      </w:r>
      <w:r w:rsidR="00C05AF5" w:rsidRPr="00EE2FF3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C05AF5">
        <w:rPr>
          <w:rFonts w:ascii="Arial" w:hAnsi="Arial" w:cs="Arial" w:hint="eastAsia"/>
          <w:color w:val="000000" w:themeColor="text1"/>
          <w:shd w:val="clear" w:color="auto" w:fill="FFFFFF"/>
        </w:rPr>
        <w:t>9</w:t>
      </w:r>
      <w:r w:rsidR="008D1AC8">
        <w:rPr>
          <w:rFonts w:ascii="Arial" w:hAnsi="Arial" w:cs="Arial"/>
          <w:color w:val="000000" w:themeColor="text1"/>
          <w:shd w:val="clear" w:color="auto" w:fill="FFFFFF"/>
        </w:rPr>
        <w:t xml:space="preserve"> and prevalence in retinoid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users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of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26%.</w:t>
      </w:r>
      <w:r w:rsidRPr="00EE2FF3">
        <w:rPr>
          <w:rFonts w:ascii="Arial" w:hAnsi="Arial" w:cs="Arial"/>
          <w:color w:val="000000" w:themeColor="text1"/>
        </w:rPr>
        <w:fldChar w:fldCharType="begin">
          <w:fldData xml:space="preserve">PEVuZE5vdGU+PENpdGU+PEF1dGhvcj5KYWNvYnM8L0F1dGhvcj48WWVhcj4xOTk5PC9ZZWFyPjxS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</w:fldData>
        </w:fldChar>
      </w:r>
      <w:r w:rsidRPr="00EE2FF3">
        <w:rPr>
          <w:rFonts w:ascii="Arial" w:hAnsi="Arial" w:cs="Arial"/>
          <w:color w:val="000000" w:themeColor="text1"/>
        </w:rPr>
        <w:instrText xml:space="preserve"> ADDIN EN.CITE </w:instrText>
      </w:r>
      <w:r w:rsidRPr="00EE2FF3">
        <w:rPr>
          <w:rFonts w:ascii="Arial" w:hAnsi="Arial" w:cs="Arial"/>
          <w:color w:val="000000" w:themeColor="text1"/>
        </w:rPr>
        <w:fldChar w:fldCharType="begin">
          <w:fldData xml:space="preserve">PEVuZE5vdGU+PENpdGU+PEF1dGhvcj5KYWNvYnM8L0F1dGhvcj48WWVhcj4xOTk5PC9ZZWFyPjxS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</w:fldData>
        </w:fldChar>
      </w:r>
      <w:r w:rsidRPr="00EE2FF3">
        <w:rPr>
          <w:rFonts w:ascii="Arial" w:hAnsi="Arial" w:cs="Arial"/>
          <w:color w:val="000000" w:themeColor="text1"/>
        </w:rPr>
        <w:instrText xml:space="preserve"> ADDIN EN.CITE.DATA </w:instrText>
      </w:r>
      <w:r w:rsidRPr="00EE2FF3">
        <w:rPr>
          <w:rFonts w:ascii="Arial" w:hAnsi="Arial" w:cs="Arial"/>
          <w:color w:val="000000" w:themeColor="text1"/>
        </w:rPr>
      </w:r>
      <w:r w:rsidRPr="00EE2FF3">
        <w:rPr>
          <w:rFonts w:ascii="Arial" w:hAnsi="Arial" w:cs="Arial"/>
          <w:color w:val="000000" w:themeColor="text1"/>
        </w:rPr>
        <w:fldChar w:fldCharType="end"/>
      </w:r>
      <w:r w:rsidRPr="00EE2FF3">
        <w:rPr>
          <w:rFonts w:ascii="Arial" w:hAnsi="Arial" w:cs="Arial"/>
          <w:color w:val="000000" w:themeColor="text1"/>
        </w:rPr>
      </w:r>
      <w:r w:rsidRPr="00EE2FF3">
        <w:rPr>
          <w:rFonts w:ascii="Arial" w:hAnsi="Arial" w:cs="Arial"/>
          <w:color w:val="000000" w:themeColor="text1"/>
        </w:rPr>
        <w:fldChar w:fldCharType="separate"/>
      </w:r>
      <w:r w:rsidRPr="00EE2FF3">
        <w:rPr>
          <w:rFonts w:ascii="Arial" w:hAnsi="Arial" w:cs="Arial"/>
          <w:noProof/>
          <w:color w:val="000000" w:themeColor="text1"/>
          <w:vertAlign w:val="superscript"/>
        </w:rPr>
        <w:t>4,5</w:t>
      </w:r>
      <w:r w:rsidRPr="00EE2FF3">
        <w:rPr>
          <w:rFonts w:ascii="Arial" w:hAnsi="Arial" w:cs="Arial"/>
          <w:color w:val="000000" w:themeColor="text1"/>
        </w:rPr>
        <w:fldChar w:fldCharType="end"/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 The apparent RR of 0.84, which was based on our main analysis, was used to derive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the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adjusted RRs. We calculated a range of adjusted RRs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lastRenderedPageBreak/>
        <w:t xml:space="preserve">(the ‘array’) by varying the proportion of unmeasured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confounders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in the MTX group (P</w:t>
      </w:r>
      <w:r w:rsidRPr="00EE2FF3">
        <w:rPr>
          <w:rFonts w:ascii="Arial" w:hAnsi="Arial" w:cs="Arial"/>
          <w:color w:val="000000" w:themeColor="text1"/>
          <w:shd w:val="clear" w:color="auto" w:fill="FFFFFF"/>
          <w:vertAlign w:val="subscript"/>
        </w:rPr>
        <w:t>C1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= 0.01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>–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0.50) and RRs for the association between unmeasured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confounders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and </w:t>
      </w:r>
      <w:r w:rsidR="008D1AC8">
        <w:rPr>
          <w:rFonts w:ascii="Arial" w:hAnsi="Arial" w:cs="Arial"/>
          <w:color w:val="000000" w:themeColor="text1"/>
          <w:shd w:val="clear" w:color="auto" w:fill="FFFFFF"/>
        </w:rPr>
        <w:t>cardiovascular event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 (RR</w:t>
      </w:r>
      <w:r w:rsidRPr="00EE2FF3">
        <w:rPr>
          <w:rFonts w:ascii="Arial" w:hAnsi="Arial" w:cs="Arial"/>
          <w:color w:val="000000" w:themeColor="text1"/>
          <w:shd w:val="clear" w:color="auto" w:fill="FFFFFF"/>
          <w:vertAlign w:val="subscript"/>
        </w:rPr>
        <w:t>CD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  <w:vertAlign w:val="subscript"/>
        </w:rPr>
        <w:t xml:space="preserve">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=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1.0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>–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5.0) and plotted them on a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>three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 xml:space="preserve">-dimensional surface graph. </w:t>
      </w:r>
    </w:p>
    <w:p w14:paraId="18F90485" w14:textId="5CD0499D" w:rsidR="005D6C64" w:rsidRDefault="005D6C64" w:rsidP="00BE1254">
      <w:pPr>
        <w:spacing w:before="240" w:after="240" w:line="480" w:lineRule="auto"/>
        <w:jc w:val="both"/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As shown in Supplementary Fi</w:t>
      </w:r>
      <w:bookmarkStart w:id="10" w:name="_GoBack"/>
      <w:bookmarkEnd w:id="10"/>
      <w:r w:rsidRPr="00EE2FF3">
        <w:rPr>
          <w:rFonts w:ascii="Arial" w:hAnsi="Arial" w:cs="Arial"/>
          <w:color w:val="000000" w:themeColor="text1"/>
        </w:rPr>
        <w:t>gure S</w:t>
      </w:r>
      <w:r w:rsidR="000500E8">
        <w:rPr>
          <w:rFonts w:ascii="Arial" w:hAnsi="Arial" w:cs="Arial" w:hint="eastAsia"/>
          <w:color w:val="000000" w:themeColor="text1"/>
        </w:rPr>
        <w:t>1</w:t>
      </w:r>
      <w:r w:rsidRPr="00EE2FF3">
        <w:rPr>
          <w:rFonts w:ascii="Arial" w:hAnsi="Arial" w:cs="Arial"/>
          <w:color w:val="000000" w:themeColor="text1"/>
        </w:rPr>
        <w:t xml:space="preserve">, when </w:t>
      </w:r>
      <w:r w:rsidR="00C35BB6" w:rsidRPr="00EE2FF3">
        <w:rPr>
          <w:rFonts w:ascii="Arial" w:hAnsi="Arial" w:cs="Arial"/>
          <w:color w:val="000000" w:themeColor="text1"/>
        </w:rPr>
        <w:t xml:space="preserve">the </w:t>
      </w:r>
      <w:r w:rsidRPr="00EE2FF3">
        <w:rPr>
          <w:rFonts w:ascii="Arial" w:hAnsi="Arial" w:cs="Arial"/>
          <w:color w:val="000000" w:themeColor="text1"/>
        </w:rPr>
        <w:t xml:space="preserve">prevalence of 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an unmeasured confounder</w:t>
      </w:r>
      <w:r w:rsidRPr="00EE2FF3">
        <w:rPr>
          <w:rFonts w:ascii="Arial" w:hAnsi="Arial" w:cs="Arial"/>
          <w:color w:val="000000" w:themeColor="text1"/>
        </w:rPr>
        <w:t xml:space="preserve"> in MTX users is </w:t>
      </w:r>
      <w:r w:rsidR="00C35BB6" w:rsidRPr="00EE2FF3">
        <w:rPr>
          <w:rFonts w:ascii="Arial" w:hAnsi="Arial" w:cs="Arial"/>
          <w:color w:val="000000" w:themeColor="text1"/>
        </w:rPr>
        <w:t>&lt;</w:t>
      </w:r>
      <w:r w:rsidRPr="00EE2FF3">
        <w:rPr>
          <w:rFonts w:ascii="Arial" w:hAnsi="Arial" w:cs="Arial"/>
          <w:color w:val="000000" w:themeColor="text1"/>
        </w:rPr>
        <w:t>5%, the true effect would be toward the null value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fldChar w:fldCharType="begin">
          <w:fldData xml:space="preserve">PEVuZE5vdGU+PENpdGU+PEF1dGhvcj5MZWU8L0F1dGhvcj48WWVhcj4yMDExPC9ZZWFyPjxSZWNO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</w:fldData>
        </w:fldChar>
      </w:r>
      <w:r w:rsidR="00727C3B">
        <w:rPr>
          <w:rFonts w:ascii="Arial" w:hAnsi="Arial" w:cs="Arial"/>
          <w:color w:val="000000" w:themeColor="text1"/>
          <w:shd w:val="clear" w:color="auto" w:fill="FFFFFF"/>
        </w:rPr>
        <w:instrText xml:space="preserve"> ADDIN EN.CITE </w:instrText>
      </w:r>
      <w:r w:rsidR="00727C3B">
        <w:rPr>
          <w:rFonts w:ascii="Arial" w:hAnsi="Arial" w:cs="Arial"/>
          <w:color w:val="000000" w:themeColor="text1"/>
          <w:shd w:val="clear" w:color="auto" w:fill="FFFFFF"/>
        </w:rPr>
        <w:fldChar w:fldCharType="begin">
          <w:fldData xml:space="preserve">PEVuZE5vdGU+PENpdGU+PEF1dGhvcj5MZWU8L0F1dGhvcj48WWVhcj4yMDExPC9ZZWFyPjxSZWNO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</w:fldData>
        </w:fldChar>
      </w:r>
      <w:r w:rsidR="00727C3B">
        <w:rPr>
          <w:rFonts w:ascii="Arial" w:hAnsi="Arial" w:cs="Arial"/>
          <w:color w:val="000000" w:themeColor="text1"/>
          <w:shd w:val="clear" w:color="auto" w:fill="FFFFFF"/>
        </w:rPr>
        <w:instrText xml:space="preserve"> ADDIN EN.CITE.DATA </w:instrText>
      </w:r>
      <w:r w:rsidR="00727C3B">
        <w:rPr>
          <w:rFonts w:ascii="Arial" w:hAnsi="Arial" w:cs="Arial"/>
          <w:color w:val="000000" w:themeColor="text1"/>
          <w:shd w:val="clear" w:color="auto" w:fill="FFFFFF"/>
        </w:rPr>
      </w:r>
      <w:r w:rsidR="00727C3B">
        <w:rPr>
          <w:rFonts w:ascii="Arial" w:hAnsi="Arial" w:cs="Arial"/>
          <w:color w:val="000000" w:themeColor="text1"/>
          <w:shd w:val="clear" w:color="auto" w:fill="FFFFFF"/>
        </w:rPr>
        <w:fldChar w:fldCharType="end"/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fldChar w:fldCharType="separate"/>
      </w:r>
      <w:r w:rsidR="00727C3B" w:rsidRPr="00727C3B">
        <w:rPr>
          <w:rFonts w:ascii="Arial" w:hAnsi="Arial" w:cs="Arial"/>
          <w:noProof/>
          <w:color w:val="000000" w:themeColor="text1"/>
          <w:shd w:val="clear" w:color="auto" w:fill="FFFFFF"/>
          <w:vertAlign w:val="superscript"/>
        </w:rPr>
        <w:t>2,3</w:t>
      </w:r>
      <w:r w:rsidRPr="00EE2FF3">
        <w:rPr>
          <w:rFonts w:ascii="Arial" w:hAnsi="Arial" w:cs="Arial"/>
          <w:color w:val="000000" w:themeColor="text1"/>
          <w:shd w:val="clear" w:color="auto" w:fill="FFFFFF"/>
        </w:rPr>
        <w:fldChar w:fldCharType="end"/>
      </w:r>
      <w:r w:rsidRPr="00EE2FF3">
        <w:rPr>
          <w:rFonts w:ascii="Arial" w:hAnsi="Arial" w:cs="Arial"/>
          <w:color w:val="000000" w:themeColor="text1"/>
        </w:rPr>
        <w:t xml:space="preserve"> </w:t>
      </w:r>
      <w:r w:rsidR="00C35BB6" w:rsidRPr="00EE2FF3">
        <w:rPr>
          <w:rFonts w:ascii="Arial" w:hAnsi="Arial" w:cs="Arial"/>
          <w:color w:val="000000" w:themeColor="text1"/>
          <w:shd w:val="clear" w:color="auto" w:fill="FFFFFF"/>
        </w:rPr>
        <w:t>T</w:t>
      </w:r>
      <w:r w:rsidR="00C35BB6" w:rsidRPr="00EE2FF3">
        <w:rPr>
          <w:rFonts w:ascii="Arial" w:hAnsi="Arial" w:cs="Arial"/>
          <w:color w:val="000000" w:themeColor="text1"/>
        </w:rPr>
        <w:t xml:space="preserve">his </w:t>
      </w:r>
      <w:r w:rsidRPr="00EE2FF3">
        <w:rPr>
          <w:rFonts w:ascii="Arial" w:hAnsi="Arial" w:cs="Arial"/>
          <w:color w:val="000000" w:themeColor="text1"/>
        </w:rPr>
        <w:t xml:space="preserve">result </w:t>
      </w:r>
      <w:r w:rsidR="00C35BB6" w:rsidRPr="00EE2FF3">
        <w:rPr>
          <w:rFonts w:ascii="Arial" w:hAnsi="Arial" w:cs="Arial"/>
          <w:color w:val="000000" w:themeColor="text1"/>
        </w:rPr>
        <w:t xml:space="preserve">shows </w:t>
      </w:r>
      <w:r w:rsidRPr="00EE2FF3">
        <w:rPr>
          <w:rFonts w:ascii="Arial" w:hAnsi="Arial" w:cs="Arial"/>
          <w:color w:val="000000" w:themeColor="text1"/>
        </w:rPr>
        <w:t xml:space="preserve">that unmeasured potential confounders can be ruled out because they cannot possibly be some </w:t>
      </w:r>
      <w:r w:rsidR="00C35BB6" w:rsidRPr="00EE2FF3">
        <w:rPr>
          <w:rFonts w:ascii="Arial" w:hAnsi="Arial" w:cs="Arial"/>
          <w:color w:val="000000" w:themeColor="text1"/>
        </w:rPr>
        <w:t xml:space="preserve">imbalance </w:t>
      </w:r>
      <w:r w:rsidRPr="00EE2FF3">
        <w:rPr>
          <w:rFonts w:ascii="Arial" w:hAnsi="Arial" w:cs="Arial"/>
          <w:color w:val="000000" w:themeColor="text1"/>
        </w:rPr>
        <w:t xml:space="preserve">among exposure groups </w:t>
      </w:r>
      <w:r w:rsidR="00C35BB6" w:rsidRPr="00EE2FF3">
        <w:rPr>
          <w:rFonts w:ascii="Arial" w:hAnsi="Arial" w:cs="Arial"/>
          <w:color w:val="000000" w:themeColor="text1"/>
        </w:rPr>
        <w:t xml:space="preserve">that is sufficiently </w:t>
      </w:r>
      <w:r w:rsidRPr="00EE2FF3">
        <w:rPr>
          <w:rFonts w:ascii="Arial" w:hAnsi="Arial" w:cs="Arial"/>
          <w:color w:val="000000" w:themeColor="text1"/>
        </w:rPr>
        <w:t xml:space="preserve">strong to explain the observed association. </w:t>
      </w:r>
    </w:p>
    <w:p w14:paraId="04D6FA02" w14:textId="70319447" w:rsidR="000500E8" w:rsidRPr="00863425" w:rsidRDefault="000500E8" w:rsidP="00863425">
      <w:pPr>
        <w:rPr>
          <w:rFonts w:ascii="Arial" w:hAnsi="Arial" w:cs="Arial"/>
          <w:szCs w:val="20"/>
        </w:rPr>
      </w:pPr>
      <w:bookmarkStart w:id="11" w:name="_Toc53866455"/>
      <w:r w:rsidRPr="00863425">
        <w:rPr>
          <w:rFonts w:ascii="Arial" w:hAnsi="Arial" w:cs="Arial"/>
          <w:szCs w:val="20"/>
        </w:rPr>
        <w:t>Figure S</w:t>
      </w:r>
      <w:r w:rsidRPr="00863425">
        <w:rPr>
          <w:rFonts w:ascii="Arial" w:hAnsi="Arial" w:cs="Arial" w:hint="eastAsia"/>
          <w:szCs w:val="20"/>
        </w:rPr>
        <w:t>1</w:t>
      </w:r>
      <w:r w:rsidRPr="00863425">
        <w:rPr>
          <w:rFonts w:ascii="Arial" w:hAnsi="Arial" w:cs="Arial"/>
          <w:szCs w:val="20"/>
        </w:rPr>
        <w:t xml:space="preserve"> Sensitivity analysis for clarifying the influence of unmeasured smoking on cardiovascular disease outcome.</w:t>
      </w:r>
      <w:bookmarkEnd w:id="11"/>
    </w:p>
    <w:p w14:paraId="5C24D46B" w14:textId="3714D9F7" w:rsidR="00B8756B" w:rsidRDefault="00B8756B" w:rsidP="005D6C64">
      <w:pPr>
        <w:spacing w:before="240" w:after="240" w:line="480" w:lineRule="auto"/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736A083E" wp14:editId="5A852595">
            <wp:extent cx="5278120" cy="2984422"/>
            <wp:effectExtent l="0" t="0" r="0" b="6985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5FA9A98" w14:textId="77777777" w:rsidR="00727C3B" w:rsidRPr="00EE2FF3" w:rsidRDefault="00727C3B" w:rsidP="005D6C64">
      <w:pPr>
        <w:spacing w:before="240" w:after="240" w:line="480" w:lineRule="auto"/>
        <w:jc w:val="both"/>
        <w:rPr>
          <w:rFonts w:ascii="Arial" w:hAnsi="Arial" w:cs="Arial" w:hint="eastAsia"/>
          <w:color w:val="000000" w:themeColor="text1"/>
        </w:rPr>
      </w:pPr>
    </w:p>
    <w:p w14:paraId="242F181E" w14:textId="53C52F2F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lastRenderedPageBreak/>
        <w:t>Explanation of the Array-Approach Sensitivity Analysis for an Unmeasured Confounder</w:t>
      </w:r>
    </w:p>
    <w:p w14:paraId="15DF5AE0" w14:textId="3FB12F78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Scenario:</w:t>
      </w:r>
      <w:r w:rsidR="00085191">
        <w:rPr>
          <w:rFonts w:ascii="Arial" w:hAnsi="Arial" w:cs="Arial" w:hint="eastAsia"/>
          <w:color w:val="000000" w:themeColor="text1"/>
        </w:rPr>
        <w:t xml:space="preserve"> </w:t>
      </w:r>
      <w:r w:rsidRPr="00EE2FF3">
        <w:rPr>
          <w:rFonts w:ascii="Arial" w:hAnsi="Arial" w:cs="Arial"/>
          <w:color w:val="000000" w:themeColor="text1"/>
        </w:rPr>
        <w:t xml:space="preserve">Confounder </w:t>
      </w:r>
      <w:r w:rsidR="00822CF9" w:rsidRPr="00EE2FF3">
        <w:rPr>
          <w:rFonts w:ascii="Arial" w:hAnsi="Arial" w:cs="Arial"/>
          <w:color w:val="000000" w:themeColor="text1"/>
        </w:rPr>
        <w:t>in</w:t>
      </w:r>
      <w:r w:rsidRPr="00EE2FF3">
        <w:rPr>
          <w:rFonts w:ascii="Arial" w:hAnsi="Arial" w:cs="Arial"/>
          <w:color w:val="000000" w:themeColor="text1"/>
        </w:rPr>
        <w:t>creases</w:t>
      </w:r>
      <w:r w:rsidR="00A8524A">
        <w:rPr>
          <w:rFonts w:ascii="Arial" w:hAnsi="Arial" w:cs="Arial"/>
          <w:color w:val="000000" w:themeColor="text1"/>
        </w:rPr>
        <w:t xml:space="preserve"> the risk of </w:t>
      </w:r>
      <w:r w:rsidRPr="00EE2FF3">
        <w:rPr>
          <w:rFonts w:ascii="Arial" w:hAnsi="Arial" w:cs="Arial"/>
          <w:color w:val="000000" w:themeColor="text1"/>
        </w:rPr>
        <w:t xml:space="preserve">incident </w:t>
      </w:r>
      <w:r w:rsidR="00A8524A">
        <w:rPr>
          <w:rFonts w:ascii="Arial" w:hAnsi="Arial" w:cs="Arial"/>
          <w:color w:val="000000" w:themeColor="text1"/>
        </w:rPr>
        <w:t>cardiovascular event</w:t>
      </w:r>
      <w:r w:rsidRPr="00EE2FF3">
        <w:rPr>
          <w:rFonts w:ascii="Arial" w:hAnsi="Arial" w:cs="Arial"/>
          <w:color w:val="000000" w:themeColor="text1"/>
        </w:rPr>
        <w:t xml:space="preserve"> and is more prevalent in the retinoid group.</w:t>
      </w:r>
    </w:p>
    <w:p w14:paraId="34ADF6DA" w14:textId="35A9D228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 xml:space="preserve">1. We fixed the observed relative risk (ARR) to the upper limit of the confidence interval of the pooled hazard ratio for incident </w:t>
      </w:r>
      <w:r w:rsidR="00A8524A" w:rsidRPr="00A8524A">
        <w:rPr>
          <w:rFonts w:ascii="Arial" w:hAnsi="Arial" w:cs="Arial"/>
          <w:color w:val="000000" w:themeColor="text1"/>
        </w:rPr>
        <w:t>cardiovascular event</w:t>
      </w:r>
      <w:r w:rsidRPr="00EE2FF3">
        <w:rPr>
          <w:rFonts w:ascii="Arial" w:hAnsi="Arial" w:cs="Arial"/>
          <w:color w:val="000000" w:themeColor="text1"/>
        </w:rPr>
        <w:t>, comparing MTX users to retinoid users (adjusted hazard ratio, 0.84, 95% CI 0.76-0.94).</w:t>
      </w:r>
    </w:p>
    <w:p w14:paraId="10E3DADF" w14:textId="28A591AC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2. We varied the association between the confounder and incident CVD (RR</w:t>
      </w:r>
      <w:r w:rsidRPr="00EE2FF3">
        <w:rPr>
          <w:rFonts w:ascii="Arial" w:hAnsi="Arial" w:cs="Arial"/>
          <w:color w:val="000000" w:themeColor="text1"/>
          <w:vertAlign w:val="subscript"/>
        </w:rPr>
        <w:t>CD</w:t>
      </w:r>
      <w:r w:rsidRPr="00EE2FF3">
        <w:rPr>
          <w:rFonts w:ascii="Arial" w:hAnsi="Arial" w:cs="Arial"/>
          <w:color w:val="000000" w:themeColor="text1"/>
        </w:rPr>
        <w:t>) from 1</w:t>
      </w:r>
      <w:r w:rsidR="005D3288">
        <w:rPr>
          <w:rFonts w:ascii="Arial" w:hAnsi="Arial" w:cs="Arial" w:hint="eastAsia"/>
          <w:color w:val="000000" w:themeColor="text1"/>
        </w:rPr>
        <w:t>.0</w:t>
      </w:r>
      <w:r w:rsidR="005D3288">
        <w:rPr>
          <w:rFonts w:ascii="Arial" w:hAnsi="Arial" w:cs="Arial"/>
          <w:color w:val="000000" w:themeColor="text1"/>
        </w:rPr>
        <w:t xml:space="preserve"> to </w:t>
      </w:r>
      <w:r w:rsidR="005D3288">
        <w:rPr>
          <w:rFonts w:ascii="Arial" w:hAnsi="Arial" w:cs="Arial" w:hint="eastAsia"/>
          <w:color w:val="000000" w:themeColor="text1"/>
        </w:rPr>
        <w:t>5.0.</w:t>
      </w:r>
      <w:r w:rsidRPr="00EE2FF3">
        <w:rPr>
          <w:rFonts w:ascii="Arial" w:hAnsi="Arial" w:cs="Arial"/>
          <w:color w:val="000000" w:themeColor="text1"/>
        </w:rPr>
        <w:t xml:space="preserve"> </w:t>
      </w:r>
      <w:r w:rsidR="00C35BB6" w:rsidRPr="00EE2FF3">
        <w:rPr>
          <w:rFonts w:ascii="Arial" w:hAnsi="Arial" w:cs="Arial"/>
          <w:color w:val="000000" w:themeColor="text1"/>
        </w:rPr>
        <w:t xml:space="preserve">In addition, we </w:t>
      </w:r>
      <w:r w:rsidRPr="00EE2FF3">
        <w:rPr>
          <w:rFonts w:ascii="Arial" w:hAnsi="Arial" w:cs="Arial"/>
          <w:color w:val="000000" w:themeColor="text1"/>
        </w:rPr>
        <w:t>varied the prevalence of the confounder from 10% to 50% in the exposed and unexposed groups.</w:t>
      </w:r>
    </w:p>
    <w:p w14:paraId="1050500B" w14:textId="77777777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Abbreviations used:</w:t>
      </w:r>
    </w:p>
    <w:p w14:paraId="741B5DDB" w14:textId="77777777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ARR: Apparent (or observed) relative risk</w:t>
      </w:r>
    </w:p>
    <w:p w14:paraId="58EC8CAC" w14:textId="77777777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RR</w:t>
      </w:r>
      <w:r w:rsidRPr="00EE2FF3">
        <w:rPr>
          <w:rFonts w:ascii="Arial" w:hAnsi="Arial" w:cs="Arial"/>
          <w:color w:val="000000" w:themeColor="text1"/>
          <w:vertAlign w:val="subscript"/>
        </w:rPr>
        <w:t>CD</w:t>
      </w:r>
      <w:r w:rsidRPr="00EE2FF3">
        <w:rPr>
          <w:rFonts w:ascii="Arial" w:hAnsi="Arial" w:cs="Arial"/>
          <w:color w:val="000000" w:themeColor="text1"/>
        </w:rPr>
        <w:t xml:space="preserve">: Association between </w:t>
      </w:r>
      <w:r w:rsidR="00C35BB6" w:rsidRPr="00EE2FF3">
        <w:rPr>
          <w:rFonts w:ascii="Arial" w:hAnsi="Arial" w:cs="Arial"/>
          <w:color w:val="000000" w:themeColor="text1"/>
        </w:rPr>
        <w:t xml:space="preserve">the </w:t>
      </w:r>
      <w:r w:rsidRPr="00EE2FF3">
        <w:rPr>
          <w:rFonts w:ascii="Arial" w:hAnsi="Arial" w:cs="Arial"/>
          <w:color w:val="000000" w:themeColor="text1"/>
        </w:rPr>
        <w:t>confounder and disease outcome</w:t>
      </w:r>
    </w:p>
    <w:p w14:paraId="05DD94E7" w14:textId="77777777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P</w:t>
      </w:r>
      <w:r w:rsidRPr="00EE2FF3">
        <w:rPr>
          <w:rFonts w:ascii="Arial" w:hAnsi="Arial" w:cs="Arial"/>
          <w:color w:val="000000" w:themeColor="text1"/>
          <w:vertAlign w:val="subscript"/>
        </w:rPr>
        <w:t>C1</w:t>
      </w:r>
      <w:r w:rsidRPr="00EE2FF3">
        <w:rPr>
          <w:rFonts w:ascii="Arial" w:hAnsi="Arial" w:cs="Arial"/>
          <w:color w:val="000000" w:themeColor="text1"/>
        </w:rPr>
        <w:t xml:space="preserve">: Prevalence of </w:t>
      </w:r>
      <w:r w:rsidR="00C35BB6" w:rsidRPr="00EE2FF3">
        <w:rPr>
          <w:rFonts w:ascii="Arial" w:hAnsi="Arial" w:cs="Arial"/>
          <w:color w:val="000000" w:themeColor="text1"/>
        </w:rPr>
        <w:t xml:space="preserve">the </w:t>
      </w:r>
      <w:r w:rsidRPr="00EE2FF3">
        <w:rPr>
          <w:rFonts w:ascii="Arial" w:hAnsi="Arial" w:cs="Arial"/>
          <w:color w:val="000000" w:themeColor="text1"/>
        </w:rPr>
        <w:t>confounder in the MTX group</w:t>
      </w:r>
    </w:p>
    <w:p w14:paraId="20A62368" w14:textId="77777777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P</w:t>
      </w:r>
      <w:r w:rsidRPr="00EE2FF3">
        <w:rPr>
          <w:rFonts w:ascii="Arial" w:hAnsi="Arial" w:cs="Arial"/>
          <w:color w:val="000000" w:themeColor="text1"/>
          <w:vertAlign w:val="subscript"/>
        </w:rPr>
        <w:t>C0</w:t>
      </w:r>
      <w:r w:rsidRPr="00EE2FF3">
        <w:rPr>
          <w:rFonts w:ascii="Arial" w:hAnsi="Arial" w:cs="Arial"/>
          <w:color w:val="000000" w:themeColor="text1"/>
        </w:rPr>
        <w:t>: Prevalence of the confounder in the Retinoid group</w:t>
      </w:r>
    </w:p>
    <w:p w14:paraId="20A91D2E" w14:textId="77777777" w:rsidR="005D6C64" w:rsidRPr="00EE2FF3" w:rsidRDefault="005D6C64" w:rsidP="005D6C64">
      <w:pPr>
        <w:rPr>
          <w:rFonts w:ascii="Arial" w:hAnsi="Arial" w:cs="Arial"/>
          <w:color w:val="000000" w:themeColor="text1"/>
        </w:rPr>
      </w:pPr>
      <w:r w:rsidRPr="00EE2FF3">
        <w:rPr>
          <w:rFonts w:ascii="Arial" w:hAnsi="Arial" w:cs="Arial"/>
          <w:color w:val="000000" w:themeColor="text1"/>
        </w:rPr>
        <w:t>RR</w:t>
      </w:r>
      <w:r w:rsidRPr="00EE2FF3">
        <w:rPr>
          <w:rFonts w:ascii="Arial" w:hAnsi="Arial" w:cs="Arial"/>
          <w:color w:val="000000" w:themeColor="text1"/>
          <w:vertAlign w:val="subscript"/>
        </w:rPr>
        <w:t>adjusted</w:t>
      </w:r>
      <w:r w:rsidRPr="00EE2FF3">
        <w:rPr>
          <w:rFonts w:ascii="Arial" w:hAnsi="Arial" w:cs="Arial"/>
          <w:color w:val="000000" w:themeColor="text1"/>
        </w:rPr>
        <w:t>: Relative risk when adjusted for the unmeasured confounder</w:t>
      </w:r>
    </w:p>
    <w:bookmarkEnd w:id="5"/>
    <w:p w14:paraId="4BDEFBBC" w14:textId="77777777" w:rsidR="00727C3B" w:rsidRDefault="00727C3B" w:rsidP="004F03B4">
      <w:pPr>
        <w:rPr>
          <w:rFonts w:ascii="Times New Roman" w:hAnsi="Times New Roman"/>
          <w:szCs w:val="20"/>
          <w:lang w:val="en-GB"/>
        </w:rPr>
      </w:pPr>
    </w:p>
    <w:p w14:paraId="04E940C8" w14:textId="77777777" w:rsidR="00727C3B" w:rsidRDefault="00727C3B" w:rsidP="004F03B4">
      <w:pPr>
        <w:rPr>
          <w:rFonts w:ascii="Times New Roman" w:hAnsi="Times New Roman"/>
          <w:szCs w:val="20"/>
          <w:lang w:val="en-GB"/>
        </w:rPr>
      </w:pPr>
    </w:p>
    <w:p w14:paraId="6D9EC5A4" w14:textId="77777777" w:rsidR="00727C3B" w:rsidRPr="00727C3B" w:rsidRDefault="00727C3B" w:rsidP="00727C3B">
      <w:pPr>
        <w:pStyle w:val="EndNoteBibliographyTitle"/>
        <w:rPr>
          <w:b/>
          <w:sz w:val="28"/>
        </w:rPr>
      </w:pPr>
      <w:r>
        <w:rPr>
          <w:lang w:val="en-GB"/>
        </w:rPr>
        <w:fldChar w:fldCharType="begin"/>
      </w:r>
      <w:r>
        <w:rPr>
          <w:lang w:val="en-GB"/>
        </w:rPr>
        <w:instrText xml:space="preserve"> ADDIN EN.REFLIST </w:instrText>
      </w:r>
      <w:r>
        <w:rPr>
          <w:lang w:val="en-GB"/>
        </w:rPr>
        <w:fldChar w:fldCharType="separate"/>
      </w:r>
      <w:r w:rsidRPr="00727C3B">
        <w:rPr>
          <w:b/>
          <w:sz w:val="28"/>
        </w:rPr>
        <w:t>References</w:t>
      </w:r>
    </w:p>
    <w:p w14:paraId="4F8360FD" w14:textId="77777777" w:rsidR="00727C3B" w:rsidRPr="00727C3B" w:rsidRDefault="00727C3B" w:rsidP="00727C3B">
      <w:pPr>
        <w:pStyle w:val="EndNoteBibliographyTitle"/>
        <w:rPr>
          <w:b/>
          <w:sz w:val="28"/>
        </w:rPr>
      </w:pPr>
    </w:p>
    <w:p w14:paraId="0C3F0AE6" w14:textId="77777777" w:rsidR="00727C3B" w:rsidRPr="00727C3B" w:rsidRDefault="00727C3B" w:rsidP="00727C3B">
      <w:pPr>
        <w:pStyle w:val="EndNoteBibliography"/>
        <w:ind w:left="720" w:hanging="720"/>
      </w:pPr>
      <w:r w:rsidRPr="00727C3B">
        <w:t>1.</w:t>
      </w:r>
      <w:r w:rsidRPr="00727C3B">
        <w:tab/>
        <w:t xml:space="preserve">Hernan MA, Robins JM. Estimating causal effects from epidemiological data. </w:t>
      </w:r>
      <w:r w:rsidRPr="00727C3B">
        <w:rPr>
          <w:i/>
        </w:rPr>
        <w:t xml:space="preserve">J Epidemiol Community Health. </w:t>
      </w:r>
      <w:r w:rsidRPr="00727C3B">
        <w:t>2006;60(7):578-586.</w:t>
      </w:r>
    </w:p>
    <w:p w14:paraId="4791C9C3" w14:textId="77777777" w:rsidR="00727C3B" w:rsidRPr="00727C3B" w:rsidRDefault="00727C3B" w:rsidP="00727C3B">
      <w:pPr>
        <w:pStyle w:val="EndNoteBibliography"/>
        <w:ind w:left="720" w:hanging="720"/>
      </w:pPr>
      <w:r w:rsidRPr="00727C3B">
        <w:t>2.</w:t>
      </w:r>
      <w:r w:rsidRPr="00727C3B">
        <w:tab/>
        <w:t xml:space="preserve">Schneeweiss S. Sensitivity analysis and external adjustment for unmeasured confounders in epidemiologic database studies of therapeutics. </w:t>
      </w:r>
      <w:r w:rsidRPr="00727C3B">
        <w:rPr>
          <w:i/>
        </w:rPr>
        <w:t xml:space="preserve">Pharmacoepidemiol Drug Saf. </w:t>
      </w:r>
      <w:r w:rsidRPr="00727C3B">
        <w:t>2006;15(5):291-303.</w:t>
      </w:r>
    </w:p>
    <w:p w14:paraId="041F270E" w14:textId="77777777" w:rsidR="00727C3B" w:rsidRPr="00727C3B" w:rsidRDefault="00727C3B" w:rsidP="00727C3B">
      <w:pPr>
        <w:pStyle w:val="EndNoteBibliography"/>
        <w:ind w:left="720" w:hanging="720"/>
      </w:pPr>
      <w:r w:rsidRPr="00727C3B">
        <w:t>3.</w:t>
      </w:r>
      <w:r w:rsidRPr="00727C3B">
        <w:tab/>
        <w:t xml:space="preserve">Lee WC. Bounding the bias of unmeasured factors with confounding and effect-modifying potentials. </w:t>
      </w:r>
      <w:r w:rsidRPr="00727C3B">
        <w:rPr>
          <w:i/>
        </w:rPr>
        <w:t xml:space="preserve">Stat Med. </w:t>
      </w:r>
      <w:r w:rsidRPr="00727C3B">
        <w:t>2011;30(9):1007-1017.</w:t>
      </w:r>
    </w:p>
    <w:p w14:paraId="20262C9A" w14:textId="77777777" w:rsidR="00727C3B" w:rsidRPr="00727C3B" w:rsidRDefault="00727C3B" w:rsidP="00727C3B">
      <w:pPr>
        <w:pStyle w:val="EndNoteBibliography"/>
        <w:ind w:left="720" w:hanging="720"/>
      </w:pPr>
      <w:r w:rsidRPr="00727C3B">
        <w:t>4.</w:t>
      </w:r>
      <w:r w:rsidRPr="00727C3B">
        <w:tab/>
        <w:t xml:space="preserve">Jacobs DR, Jr., Adachi H, Mulder I, et al. Cigarette smoking and mortality risk: twenty-five-year follow-up of the Seven Countries Study. </w:t>
      </w:r>
      <w:r w:rsidRPr="00727C3B">
        <w:rPr>
          <w:i/>
        </w:rPr>
        <w:t xml:space="preserve">Arch Intern Med. </w:t>
      </w:r>
      <w:r w:rsidRPr="00727C3B">
        <w:t>1999;159(7):733-740.</w:t>
      </w:r>
    </w:p>
    <w:p w14:paraId="6476EBF4" w14:textId="77777777" w:rsidR="00727C3B" w:rsidRPr="00727C3B" w:rsidRDefault="00727C3B" w:rsidP="00727C3B">
      <w:pPr>
        <w:pStyle w:val="EndNoteBibliography"/>
        <w:ind w:left="720" w:hanging="720"/>
      </w:pPr>
      <w:r w:rsidRPr="00727C3B">
        <w:t>5.</w:t>
      </w:r>
      <w:r w:rsidRPr="00727C3B">
        <w:tab/>
        <w:t xml:space="preserve">D’Agostino RB, Vasan RS, Pencina MJ, et al. General cardiovascular risk profile for use in primary care: The framingham heart study. </w:t>
      </w:r>
      <w:r w:rsidRPr="00727C3B">
        <w:rPr>
          <w:i/>
        </w:rPr>
        <w:t xml:space="preserve">Circulation. </w:t>
      </w:r>
      <w:r w:rsidRPr="00727C3B">
        <w:t>2008;117(6):743-753.</w:t>
      </w:r>
    </w:p>
    <w:p w14:paraId="1C01EC1B" w14:textId="0A11B5C5" w:rsidR="006C4379" w:rsidRPr="006C4379" w:rsidRDefault="00727C3B" w:rsidP="004F03B4">
      <w:pPr>
        <w:rPr>
          <w:rFonts w:ascii="Times New Roman" w:hAnsi="Times New Roman"/>
          <w:szCs w:val="20"/>
          <w:lang w:val="en-GB"/>
        </w:rPr>
      </w:pPr>
      <w:r>
        <w:rPr>
          <w:rFonts w:ascii="Times New Roman" w:hAnsi="Times New Roman"/>
          <w:szCs w:val="20"/>
          <w:lang w:val="en-GB"/>
        </w:rPr>
        <w:fldChar w:fldCharType="end"/>
      </w:r>
    </w:p>
    <w:sectPr w:rsidR="006C4379" w:rsidRPr="006C4379" w:rsidSect="006C4379"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1250" w14:textId="77777777" w:rsidR="00D434DF" w:rsidRDefault="00D434DF" w:rsidP="00033073">
      <w:r>
        <w:separator/>
      </w:r>
    </w:p>
  </w:endnote>
  <w:endnote w:type="continuationSeparator" w:id="0">
    <w:p w14:paraId="37563485" w14:textId="77777777" w:rsidR="00D434DF" w:rsidRDefault="00D434DF" w:rsidP="0003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4DCDE" w14:textId="77777777" w:rsidR="00D434DF" w:rsidRDefault="00D434DF" w:rsidP="00033073">
      <w:r>
        <w:separator/>
      </w:r>
    </w:p>
  </w:footnote>
  <w:footnote w:type="continuationSeparator" w:id="0">
    <w:p w14:paraId="6827715A" w14:textId="77777777" w:rsidR="00D434DF" w:rsidRDefault="00D434DF" w:rsidP="0003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51F"/>
    <w:multiLevelType w:val="hybridMultilevel"/>
    <w:tmpl w:val="15162D08"/>
    <w:lvl w:ilvl="0" w:tplc="B3AA0F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2&lt;/FontSize&gt;&lt;ReflistTitle&gt;&lt;style face=&quot;bold&quot; size=&quot;14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w00tz5vladdz8erxe4v092krer5t5pzw9ze&quot;&gt;MTX and CAD_2019&lt;record-ids&gt;&lt;item&gt;605&lt;/item&gt;&lt;item&gt;628&lt;/item&gt;&lt;item&gt;662&lt;/item&gt;&lt;item&gt;665&lt;/item&gt;&lt;item&gt;720&lt;/item&gt;&lt;/record-ids&gt;&lt;/item&gt;&lt;/Libraries&gt;"/>
  </w:docVars>
  <w:rsids>
    <w:rsidRoot w:val="005A1373"/>
    <w:rsid w:val="000048E5"/>
    <w:rsid w:val="000116F6"/>
    <w:rsid w:val="00021BE0"/>
    <w:rsid w:val="000228BF"/>
    <w:rsid w:val="00033073"/>
    <w:rsid w:val="00034C6E"/>
    <w:rsid w:val="00047DD9"/>
    <w:rsid w:val="000500E8"/>
    <w:rsid w:val="00056118"/>
    <w:rsid w:val="000606B8"/>
    <w:rsid w:val="00062D11"/>
    <w:rsid w:val="0007237A"/>
    <w:rsid w:val="000813F4"/>
    <w:rsid w:val="00085191"/>
    <w:rsid w:val="000A2684"/>
    <w:rsid w:val="000C061F"/>
    <w:rsid w:val="000C4A51"/>
    <w:rsid w:val="000C5149"/>
    <w:rsid w:val="000C79F4"/>
    <w:rsid w:val="000E49C2"/>
    <w:rsid w:val="000F222E"/>
    <w:rsid w:val="00106AF0"/>
    <w:rsid w:val="00106E9C"/>
    <w:rsid w:val="00122A39"/>
    <w:rsid w:val="00137C55"/>
    <w:rsid w:val="00173C83"/>
    <w:rsid w:val="00174B76"/>
    <w:rsid w:val="001863BA"/>
    <w:rsid w:val="00191AF6"/>
    <w:rsid w:val="001B44E4"/>
    <w:rsid w:val="001B4763"/>
    <w:rsid w:val="001B5701"/>
    <w:rsid w:val="001C0CBF"/>
    <w:rsid w:val="001C5C10"/>
    <w:rsid w:val="001D0BF9"/>
    <w:rsid w:val="001D7EBA"/>
    <w:rsid w:val="001E3D6C"/>
    <w:rsid w:val="001E4ED9"/>
    <w:rsid w:val="001F5C55"/>
    <w:rsid w:val="002050D5"/>
    <w:rsid w:val="00210E7F"/>
    <w:rsid w:val="002322E2"/>
    <w:rsid w:val="00232473"/>
    <w:rsid w:val="0024091F"/>
    <w:rsid w:val="00242461"/>
    <w:rsid w:val="00243544"/>
    <w:rsid w:val="0026715D"/>
    <w:rsid w:val="002711F2"/>
    <w:rsid w:val="00274507"/>
    <w:rsid w:val="002759E6"/>
    <w:rsid w:val="00280B07"/>
    <w:rsid w:val="00280EFA"/>
    <w:rsid w:val="00282DCE"/>
    <w:rsid w:val="00292DE6"/>
    <w:rsid w:val="002E0190"/>
    <w:rsid w:val="002E505F"/>
    <w:rsid w:val="0030200B"/>
    <w:rsid w:val="003055D9"/>
    <w:rsid w:val="00326F95"/>
    <w:rsid w:val="00327080"/>
    <w:rsid w:val="00332213"/>
    <w:rsid w:val="00335D16"/>
    <w:rsid w:val="00337D45"/>
    <w:rsid w:val="00344DA9"/>
    <w:rsid w:val="00350763"/>
    <w:rsid w:val="00353CE9"/>
    <w:rsid w:val="003579FD"/>
    <w:rsid w:val="00362176"/>
    <w:rsid w:val="00371542"/>
    <w:rsid w:val="003809CC"/>
    <w:rsid w:val="0038228A"/>
    <w:rsid w:val="00382FD0"/>
    <w:rsid w:val="00384490"/>
    <w:rsid w:val="00385FAA"/>
    <w:rsid w:val="00392CB5"/>
    <w:rsid w:val="00394D80"/>
    <w:rsid w:val="003A63CF"/>
    <w:rsid w:val="003C15A4"/>
    <w:rsid w:val="003C6073"/>
    <w:rsid w:val="003F3BAC"/>
    <w:rsid w:val="00442494"/>
    <w:rsid w:val="004472FA"/>
    <w:rsid w:val="004478A4"/>
    <w:rsid w:val="00457BBF"/>
    <w:rsid w:val="00467E04"/>
    <w:rsid w:val="0048075D"/>
    <w:rsid w:val="004965B5"/>
    <w:rsid w:val="004A19B2"/>
    <w:rsid w:val="004A2A9B"/>
    <w:rsid w:val="004A3C01"/>
    <w:rsid w:val="004A5646"/>
    <w:rsid w:val="004B6C6D"/>
    <w:rsid w:val="004D4006"/>
    <w:rsid w:val="004E1075"/>
    <w:rsid w:val="004E1E8D"/>
    <w:rsid w:val="004E7D6C"/>
    <w:rsid w:val="004F03B4"/>
    <w:rsid w:val="004F781A"/>
    <w:rsid w:val="0050395D"/>
    <w:rsid w:val="00504F4E"/>
    <w:rsid w:val="005052EB"/>
    <w:rsid w:val="005100C8"/>
    <w:rsid w:val="00510B9D"/>
    <w:rsid w:val="00516044"/>
    <w:rsid w:val="0052112D"/>
    <w:rsid w:val="005241FF"/>
    <w:rsid w:val="00532CA3"/>
    <w:rsid w:val="005562B1"/>
    <w:rsid w:val="00560A06"/>
    <w:rsid w:val="00563AD4"/>
    <w:rsid w:val="005A1373"/>
    <w:rsid w:val="005A311B"/>
    <w:rsid w:val="005A6FE7"/>
    <w:rsid w:val="005B1719"/>
    <w:rsid w:val="005B380B"/>
    <w:rsid w:val="005D24F6"/>
    <w:rsid w:val="005D280F"/>
    <w:rsid w:val="005D3288"/>
    <w:rsid w:val="005D4F4F"/>
    <w:rsid w:val="005D6C64"/>
    <w:rsid w:val="005D6D95"/>
    <w:rsid w:val="005F5DA5"/>
    <w:rsid w:val="006053C4"/>
    <w:rsid w:val="00621032"/>
    <w:rsid w:val="00647434"/>
    <w:rsid w:val="00666E86"/>
    <w:rsid w:val="00667AB2"/>
    <w:rsid w:val="006719D1"/>
    <w:rsid w:val="00673CC4"/>
    <w:rsid w:val="00675E0D"/>
    <w:rsid w:val="0068519C"/>
    <w:rsid w:val="006B2981"/>
    <w:rsid w:val="006C430F"/>
    <w:rsid w:val="006C4379"/>
    <w:rsid w:val="006F7F80"/>
    <w:rsid w:val="007074E6"/>
    <w:rsid w:val="0071167D"/>
    <w:rsid w:val="00714D13"/>
    <w:rsid w:val="007201A4"/>
    <w:rsid w:val="00722309"/>
    <w:rsid w:val="0072291A"/>
    <w:rsid w:val="00722B25"/>
    <w:rsid w:val="00727C3B"/>
    <w:rsid w:val="00732618"/>
    <w:rsid w:val="00732F22"/>
    <w:rsid w:val="007353A1"/>
    <w:rsid w:val="00737D82"/>
    <w:rsid w:val="0074488A"/>
    <w:rsid w:val="00756408"/>
    <w:rsid w:val="0077132E"/>
    <w:rsid w:val="00772A3A"/>
    <w:rsid w:val="00794CE1"/>
    <w:rsid w:val="007B46D0"/>
    <w:rsid w:val="007C50E0"/>
    <w:rsid w:val="007D4917"/>
    <w:rsid w:val="007E4970"/>
    <w:rsid w:val="00805C5C"/>
    <w:rsid w:val="00821F21"/>
    <w:rsid w:val="00822CF9"/>
    <w:rsid w:val="008437E0"/>
    <w:rsid w:val="0084619E"/>
    <w:rsid w:val="008521FD"/>
    <w:rsid w:val="00856F0A"/>
    <w:rsid w:val="00863425"/>
    <w:rsid w:val="00866ABD"/>
    <w:rsid w:val="00877596"/>
    <w:rsid w:val="0088191C"/>
    <w:rsid w:val="00882115"/>
    <w:rsid w:val="0089073A"/>
    <w:rsid w:val="008A48CE"/>
    <w:rsid w:val="008B1844"/>
    <w:rsid w:val="008B3739"/>
    <w:rsid w:val="008B5D52"/>
    <w:rsid w:val="008B76E3"/>
    <w:rsid w:val="008C1B94"/>
    <w:rsid w:val="008C33F0"/>
    <w:rsid w:val="008D1AC8"/>
    <w:rsid w:val="008E3484"/>
    <w:rsid w:val="00903B83"/>
    <w:rsid w:val="00911F69"/>
    <w:rsid w:val="009136D1"/>
    <w:rsid w:val="009161F7"/>
    <w:rsid w:val="009163B0"/>
    <w:rsid w:val="00920AD1"/>
    <w:rsid w:val="009465EC"/>
    <w:rsid w:val="00950F47"/>
    <w:rsid w:val="0095180A"/>
    <w:rsid w:val="0095708D"/>
    <w:rsid w:val="00965433"/>
    <w:rsid w:val="00966EA5"/>
    <w:rsid w:val="00972E1D"/>
    <w:rsid w:val="00973732"/>
    <w:rsid w:val="00973B4E"/>
    <w:rsid w:val="00983927"/>
    <w:rsid w:val="00995899"/>
    <w:rsid w:val="009A22CA"/>
    <w:rsid w:val="009A3CFF"/>
    <w:rsid w:val="009A71D2"/>
    <w:rsid w:val="009B45F6"/>
    <w:rsid w:val="009B69F5"/>
    <w:rsid w:val="009C0C41"/>
    <w:rsid w:val="009D01EC"/>
    <w:rsid w:val="009D2FC7"/>
    <w:rsid w:val="009D48E5"/>
    <w:rsid w:val="009E52A0"/>
    <w:rsid w:val="00A05E8E"/>
    <w:rsid w:val="00A12779"/>
    <w:rsid w:val="00A2291B"/>
    <w:rsid w:val="00A269AF"/>
    <w:rsid w:val="00A3318D"/>
    <w:rsid w:val="00A41F52"/>
    <w:rsid w:val="00A55EE5"/>
    <w:rsid w:val="00A6247D"/>
    <w:rsid w:val="00A6251C"/>
    <w:rsid w:val="00A64E64"/>
    <w:rsid w:val="00A73DE5"/>
    <w:rsid w:val="00A77971"/>
    <w:rsid w:val="00A812A1"/>
    <w:rsid w:val="00A84862"/>
    <w:rsid w:val="00A8524A"/>
    <w:rsid w:val="00A97ED4"/>
    <w:rsid w:val="00AA0295"/>
    <w:rsid w:val="00AA09F2"/>
    <w:rsid w:val="00AB00C1"/>
    <w:rsid w:val="00AB2713"/>
    <w:rsid w:val="00AB43C5"/>
    <w:rsid w:val="00AC4471"/>
    <w:rsid w:val="00AC7A8F"/>
    <w:rsid w:val="00AD0243"/>
    <w:rsid w:val="00AD4300"/>
    <w:rsid w:val="00AE46EE"/>
    <w:rsid w:val="00AF30D4"/>
    <w:rsid w:val="00AF4DAB"/>
    <w:rsid w:val="00B00A25"/>
    <w:rsid w:val="00B04EEF"/>
    <w:rsid w:val="00B10E86"/>
    <w:rsid w:val="00B25B89"/>
    <w:rsid w:val="00B346BA"/>
    <w:rsid w:val="00B53DF1"/>
    <w:rsid w:val="00B61E06"/>
    <w:rsid w:val="00B65F02"/>
    <w:rsid w:val="00B83DAA"/>
    <w:rsid w:val="00B86F85"/>
    <w:rsid w:val="00B8756B"/>
    <w:rsid w:val="00BA3F12"/>
    <w:rsid w:val="00BA67B6"/>
    <w:rsid w:val="00BB3266"/>
    <w:rsid w:val="00BB51DE"/>
    <w:rsid w:val="00BB5A46"/>
    <w:rsid w:val="00BB62C4"/>
    <w:rsid w:val="00BB638B"/>
    <w:rsid w:val="00BB7134"/>
    <w:rsid w:val="00BD13B8"/>
    <w:rsid w:val="00BD1827"/>
    <w:rsid w:val="00BD21C0"/>
    <w:rsid w:val="00BD2EE1"/>
    <w:rsid w:val="00BE1254"/>
    <w:rsid w:val="00BE5F92"/>
    <w:rsid w:val="00BE7B45"/>
    <w:rsid w:val="00BE7BDB"/>
    <w:rsid w:val="00BF4772"/>
    <w:rsid w:val="00BF59B8"/>
    <w:rsid w:val="00C0037C"/>
    <w:rsid w:val="00C014FC"/>
    <w:rsid w:val="00C04C8B"/>
    <w:rsid w:val="00C05AF5"/>
    <w:rsid w:val="00C1734C"/>
    <w:rsid w:val="00C17990"/>
    <w:rsid w:val="00C20B39"/>
    <w:rsid w:val="00C22154"/>
    <w:rsid w:val="00C245D1"/>
    <w:rsid w:val="00C31010"/>
    <w:rsid w:val="00C35BB6"/>
    <w:rsid w:val="00C422D0"/>
    <w:rsid w:val="00C45074"/>
    <w:rsid w:val="00C549AD"/>
    <w:rsid w:val="00C56A8A"/>
    <w:rsid w:val="00C57F36"/>
    <w:rsid w:val="00C65A53"/>
    <w:rsid w:val="00C672A1"/>
    <w:rsid w:val="00C92806"/>
    <w:rsid w:val="00C97528"/>
    <w:rsid w:val="00CB0887"/>
    <w:rsid w:val="00CB1851"/>
    <w:rsid w:val="00CB488F"/>
    <w:rsid w:val="00CB6B05"/>
    <w:rsid w:val="00CC1F69"/>
    <w:rsid w:val="00CC3553"/>
    <w:rsid w:val="00CC4120"/>
    <w:rsid w:val="00CF4A94"/>
    <w:rsid w:val="00D13ACC"/>
    <w:rsid w:val="00D4188F"/>
    <w:rsid w:val="00D434DF"/>
    <w:rsid w:val="00D66E18"/>
    <w:rsid w:val="00D70699"/>
    <w:rsid w:val="00D83844"/>
    <w:rsid w:val="00D90BFA"/>
    <w:rsid w:val="00D925D1"/>
    <w:rsid w:val="00DA7A37"/>
    <w:rsid w:val="00DC128C"/>
    <w:rsid w:val="00DE40B7"/>
    <w:rsid w:val="00DE426A"/>
    <w:rsid w:val="00DF25B2"/>
    <w:rsid w:val="00DF445F"/>
    <w:rsid w:val="00E073B8"/>
    <w:rsid w:val="00E23EEE"/>
    <w:rsid w:val="00E319FD"/>
    <w:rsid w:val="00E31D44"/>
    <w:rsid w:val="00E56241"/>
    <w:rsid w:val="00E57735"/>
    <w:rsid w:val="00E63ED1"/>
    <w:rsid w:val="00E6712C"/>
    <w:rsid w:val="00E80E0E"/>
    <w:rsid w:val="00E81FFA"/>
    <w:rsid w:val="00EA455E"/>
    <w:rsid w:val="00EA4F1E"/>
    <w:rsid w:val="00EB2BE9"/>
    <w:rsid w:val="00EB6917"/>
    <w:rsid w:val="00ED021D"/>
    <w:rsid w:val="00ED4565"/>
    <w:rsid w:val="00ED6236"/>
    <w:rsid w:val="00EE2FF3"/>
    <w:rsid w:val="00F0220B"/>
    <w:rsid w:val="00F03320"/>
    <w:rsid w:val="00F04257"/>
    <w:rsid w:val="00F225F6"/>
    <w:rsid w:val="00F33A9C"/>
    <w:rsid w:val="00F3648A"/>
    <w:rsid w:val="00F52CB7"/>
    <w:rsid w:val="00F66E68"/>
    <w:rsid w:val="00F840E7"/>
    <w:rsid w:val="00FA1C3B"/>
    <w:rsid w:val="00FA66F9"/>
    <w:rsid w:val="00FA75E2"/>
    <w:rsid w:val="00FA7D36"/>
    <w:rsid w:val="00FC0560"/>
    <w:rsid w:val="00FC2E3F"/>
    <w:rsid w:val="00FC6422"/>
    <w:rsid w:val="00FD4E67"/>
    <w:rsid w:val="00FE2049"/>
    <w:rsid w:val="00FE2E2F"/>
    <w:rsid w:val="00FF6EC8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5F3E1"/>
  <w15:docId w15:val="{56B8CC9C-264E-4BBF-B468-688BC666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373"/>
    <w:rPr>
      <w:rFonts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3AD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B51DE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D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A1373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styleId="a3">
    <w:name w:val="caption"/>
    <w:basedOn w:val="a"/>
    <w:next w:val="a"/>
    <w:uiPriority w:val="35"/>
    <w:unhideWhenUsed/>
    <w:qFormat/>
    <w:rsid w:val="005A137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5A137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1373"/>
    <w:pPr>
      <w:widowControl w:val="0"/>
    </w:pPr>
    <w:rPr>
      <w:rFonts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3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33073"/>
    <w:rPr>
      <w:rFonts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330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33073"/>
    <w:rPr>
      <w:rFonts w:cs="Times New Roman"/>
      <w:kern w:val="0"/>
      <w:sz w:val="20"/>
      <w:szCs w:val="20"/>
    </w:rPr>
  </w:style>
  <w:style w:type="paragraph" w:styleId="a8">
    <w:name w:val="List Paragraph"/>
    <w:basedOn w:val="a"/>
    <w:uiPriority w:val="34"/>
    <w:qFormat/>
    <w:rsid w:val="00332213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563AD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9">
    <w:name w:val="TOC Heading"/>
    <w:basedOn w:val="1"/>
    <w:next w:val="a"/>
    <w:uiPriority w:val="39"/>
    <w:unhideWhenUsed/>
    <w:qFormat/>
    <w:rsid w:val="00563AD4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63AD4"/>
  </w:style>
  <w:style w:type="character" w:styleId="aa">
    <w:name w:val="Hyperlink"/>
    <w:basedOn w:val="a0"/>
    <w:uiPriority w:val="99"/>
    <w:unhideWhenUsed/>
    <w:rsid w:val="00563AD4"/>
    <w:rPr>
      <w:color w:val="0563C1" w:themeColor="hyperlink"/>
      <w:u w:val="single"/>
    </w:rPr>
  </w:style>
  <w:style w:type="character" w:customStyle="1" w:styleId="30">
    <w:name w:val="標題 3 字元"/>
    <w:basedOn w:val="a0"/>
    <w:link w:val="3"/>
    <w:uiPriority w:val="9"/>
    <w:semiHidden/>
    <w:rsid w:val="00BB51DE"/>
    <w:rPr>
      <w:rFonts w:asciiTheme="majorHAnsi" w:eastAsiaTheme="majorEastAsia" w:hAnsiTheme="majorHAnsi" w:cstheme="majorBidi"/>
      <w:b/>
      <w:bCs/>
      <w:kern w:val="0"/>
      <w:sz w:val="36"/>
      <w:szCs w:val="36"/>
    </w:rPr>
  </w:style>
  <w:style w:type="paragraph" w:styleId="31">
    <w:name w:val="toc 3"/>
    <w:basedOn w:val="a"/>
    <w:next w:val="a"/>
    <w:autoRedefine/>
    <w:uiPriority w:val="39"/>
    <w:unhideWhenUsed/>
    <w:rsid w:val="00BB51DE"/>
    <w:pPr>
      <w:ind w:leftChars="400" w:left="960"/>
    </w:pPr>
  </w:style>
  <w:style w:type="character" w:customStyle="1" w:styleId="20">
    <w:name w:val="標題 2 字元"/>
    <w:basedOn w:val="a0"/>
    <w:link w:val="2"/>
    <w:uiPriority w:val="9"/>
    <w:rsid w:val="00BB51DE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paragraph" w:styleId="21">
    <w:name w:val="toc 2"/>
    <w:basedOn w:val="a"/>
    <w:next w:val="a"/>
    <w:autoRedefine/>
    <w:uiPriority w:val="39"/>
    <w:unhideWhenUsed/>
    <w:rsid w:val="00E6712C"/>
    <w:pPr>
      <w:ind w:leftChars="200" w:left="480"/>
    </w:pPr>
  </w:style>
  <w:style w:type="paragraph" w:customStyle="1" w:styleId="EndNoteBibliographyTitle">
    <w:name w:val="EndNote Bibliography Title"/>
    <w:basedOn w:val="a"/>
    <w:link w:val="EndNoteBibliographyTitle0"/>
    <w:rsid w:val="00C549AD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C549AD"/>
    <w:rPr>
      <w:rFonts w:ascii="Calibri" w:hAnsi="Calibri" w:cs="Calibri"/>
      <w:noProof/>
      <w:kern w:val="0"/>
      <w:szCs w:val="24"/>
    </w:rPr>
  </w:style>
  <w:style w:type="paragraph" w:customStyle="1" w:styleId="EndNoteBibliography">
    <w:name w:val="EndNote Bibliography"/>
    <w:basedOn w:val="a"/>
    <w:link w:val="EndNoteBibliography0"/>
    <w:rsid w:val="00C549AD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C549AD"/>
    <w:rPr>
      <w:rFonts w:ascii="Calibri" w:hAnsi="Calibri" w:cs="Calibri"/>
      <w:noProof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B6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B6B05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B43C5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AB43C5"/>
    <w:rPr>
      <w:sz w:val="20"/>
      <w:szCs w:val="20"/>
    </w:rPr>
  </w:style>
  <w:style w:type="character" w:customStyle="1" w:styleId="af">
    <w:name w:val="註解文字 字元"/>
    <w:basedOn w:val="a0"/>
    <w:link w:val="ae"/>
    <w:uiPriority w:val="99"/>
    <w:rsid w:val="00AB43C5"/>
    <w:rPr>
      <w:rFonts w:cs="Times New Roman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43C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B43C5"/>
    <w:rPr>
      <w:rFonts w:cs="Times New Roman"/>
      <w:b/>
      <w:bCs/>
      <w:kern w:val="0"/>
      <w:sz w:val="20"/>
      <w:szCs w:val="20"/>
    </w:rPr>
  </w:style>
  <w:style w:type="paragraph" w:styleId="af2">
    <w:name w:val="Revision"/>
    <w:hidden/>
    <w:uiPriority w:val="99"/>
    <w:semiHidden/>
    <w:rsid w:val="00AB43C5"/>
    <w:rPr>
      <w:rFonts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leeme\Dropbox%20(SylviaLee)\&#12300;SylviaLee%20&#12301;&#22296;&#38538;&#36039;&#26009;&#22846;\&#21338;&#22763;&#23416;&#20301;&#32771;&#35430;\&#25237;&#31295;\IJE\sensitivity%20analyses_202011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hPercent val="100"/>
      <c:rotY val="140"/>
      <c:depthPercent val="100"/>
      <c:rAngAx val="0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gradFill rotWithShape="0">
          <a:gsLst>
            <a:gs pos="0">
              <a:srgbClr xmlns:mc="http://schemas.openxmlformats.org/markup-compatibility/2006" xmlns:a14="http://schemas.microsoft.com/office/drawing/2010/main" val="C0C0C0" mc:Ignorable="a14" a14:legacySpreadsheetColorIndex="22"/>
            </a:gs>
            <a:gs pos="100000">
              <a:srgbClr xmlns:mc="http://schemas.openxmlformats.org/markup-compatibility/2006" xmlns:a14="http://schemas.microsoft.com/office/drawing/2010/main" val="FFFFFF" mc:Ignorable="a14" a14:legacySpreadsheetColorIndex="22">
                <a:gamma/>
                <a:tint val="30196"/>
                <a:invGamma/>
              </a:srgbClr>
            </a:gs>
          </a:gsLst>
          <a:path path="rect">
            <a:fillToRect l="100000" b="100000"/>
          </a:path>
        </a:gradFill>
        <a:ln w="12700">
          <a:solidFill>
            <a:srgbClr val="808080"/>
          </a:solidFill>
          <a:prstDash val="solid"/>
        </a:ln>
      </c:spPr>
    </c:sideWall>
    <c:backWall>
      <c:thickness val="0"/>
      <c:spPr>
        <a:gradFill rotWithShape="0">
          <a:gsLst>
            <a:gs pos="0">
              <a:srgbClr xmlns:mc="http://schemas.openxmlformats.org/markup-compatibility/2006" xmlns:a14="http://schemas.microsoft.com/office/drawing/2010/main" val="C0C0C0" mc:Ignorable="a14" a14:legacySpreadsheetColorIndex="22"/>
            </a:gs>
            <a:gs pos="100000">
              <a:srgbClr xmlns:mc="http://schemas.openxmlformats.org/markup-compatibility/2006" xmlns:a14="http://schemas.microsoft.com/office/drawing/2010/main" val="FFFFFF" mc:Ignorable="a14" a14:legacySpreadsheetColorIndex="22">
                <a:gamma/>
                <a:tint val="30196"/>
                <a:invGamma/>
              </a:srgbClr>
            </a:gs>
          </a:gsLst>
          <a:path path="rect">
            <a:fillToRect l="100000" b="100000"/>
          </a:path>
        </a:gra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7.1140102915432005E-2"/>
          <c:y val="0.17883123458860897"/>
          <c:w val="0.92399857808700947"/>
          <c:h val="0.7130939410992897"/>
        </c:manualLayout>
      </c:layout>
      <c:surface3DChart>
        <c:wireframe val="0"/>
        <c:ser>
          <c:idx val="0"/>
          <c:order val="0"/>
          <c:tx>
            <c:strRef>
              <c:f>'Array; mtx'!$C$6</c:f>
              <c:strCache>
                <c:ptCount val="1"/>
                <c:pt idx="0">
                  <c:v>0.00</c:v>
                </c:pt>
              </c:strCache>
            </c:strRef>
          </c:tx>
          <c:spPr>
            <a:solidFill>
              <a:srgbClr val="FF000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mtx'!$E$6:$E$15</c:f>
              <c:numCache>
                <c:formatCode>0.00</c:formatCode>
                <c:ptCount val="10"/>
                <c:pt idx="0">
                  <c:v>0.84</c:v>
                </c:pt>
                <c:pt idx="1">
                  <c:v>0.94919999999999993</c:v>
                </c:pt>
                <c:pt idx="2">
                  <c:v>1.0584</c:v>
                </c:pt>
                <c:pt idx="3">
                  <c:v>1.1676</c:v>
                </c:pt>
                <c:pt idx="4">
                  <c:v>1.2767999999999999</c:v>
                </c:pt>
                <c:pt idx="5">
                  <c:v>1.3859999999999999</c:v>
                </c:pt>
                <c:pt idx="6">
                  <c:v>1.4951999999999999</c:v>
                </c:pt>
                <c:pt idx="7">
                  <c:v>1.6044</c:v>
                </c:pt>
                <c:pt idx="8">
                  <c:v>1.7136</c:v>
                </c:pt>
                <c:pt idx="9">
                  <c:v>1.8228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0F-421F-A4DB-E4F7C63D1843}"/>
            </c:ext>
          </c:extLst>
        </c:ser>
        <c:ser>
          <c:idx val="1"/>
          <c:order val="1"/>
          <c:tx>
            <c:strRef>
              <c:f>'Array; mtx'!$C$16</c:f>
              <c:strCache>
                <c:ptCount val="1"/>
                <c:pt idx="0">
                  <c:v>0.05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mtx'!$E$16:$E$25</c:f>
              <c:numCache>
                <c:formatCode>0.00</c:formatCode>
                <c:ptCount val="10"/>
                <c:pt idx="0">
                  <c:v>0.84</c:v>
                </c:pt>
                <c:pt idx="1">
                  <c:v>0.92604878048780492</c:v>
                </c:pt>
                <c:pt idx="2">
                  <c:v>1.008</c:v>
                </c:pt>
                <c:pt idx="3">
                  <c:v>1.0861395348837211</c:v>
                </c:pt>
                <c:pt idx="4">
                  <c:v>1.1607272727272726</c:v>
                </c:pt>
                <c:pt idx="5">
                  <c:v>1.2319999999999998</c:v>
                </c:pt>
                <c:pt idx="6">
                  <c:v>1.3001739130434784</c:v>
                </c:pt>
                <c:pt idx="7">
                  <c:v>1.3654468085106382</c:v>
                </c:pt>
                <c:pt idx="8">
                  <c:v>1.4279999999999999</c:v>
                </c:pt>
                <c:pt idx="9">
                  <c:v>1.4879999999999998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0F-421F-A4DB-E4F7C63D1843}"/>
            </c:ext>
          </c:extLst>
        </c:ser>
        <c:ser>
          <c:idx val="2"/>
          <c:order val="2"/>
          <c:tx>
            <c:strRef>
              <c:f>'Array; mtx'!$C$26</c:f>
              <c:strCache>
                <c:ptCount val="1"/>
                <c:pt idx="0">
                  <c:v>0.10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mtx'!$E$26:$E$35</c:f>
              <c:numCache>
                <c:formatCode>0.00</c:formatCode>
                <c:ptCount val="10"/>
                <c:pt idx="0">
                  <c:v>0.84</c:v>
                </c:pt>
                <c:pt idx="1">
                  <c:v>0.9039999999999998</c:v>
                </c:pt>
                <c:pt idx="2">
                  <c:v>0.96218181818181803</c:v>
                </c:pt>
                <c:pt idx="3">
                  <c:v>1.015304347826087</c:v>
                </c:pt>
                <c:pt idx="4">
                  <c:v>1.0639999999999998</c:v>
                </c:pt>
                <c:pt idx="5">
                  <c:v>1.1088</c:v>
                </c:pt>
                <c:pt idx="6">
                  <c:v>1.1501538461538461</c:v>
                </c:pt>
                <c:pt idx="7">
                  <c:v>1.1884444444444444</c:v>
                </c:pt>
                <c:pt idx="8">
                  <c:v>1.2240000000000002</c:v>
                </c:pt>
                <c:pt idx="9">
                  <c:v>1.2571034482758621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0F-421F-A4DB-E4F7C63D1843}"/>
            </c:ext>
          </c:extLst>
        </c:ser>
        <c:ser>
          <c:idx val="3"/>
          <c:order val="3"/>
          <c:tx>
            <c:strRef>
              <c:f>'Array; mtx'!$C$36</c:f>
              <c:strCache>
                <c:ptCount val="1"/>
                <c:pt idx="0">
                  <c:v>0.15</c:v>
                </c:pt>
              </c:strCache>
            </c:strRef>
          </c:tx>
          <c:spPr>
            <a:solidFill>
              <a:srgbClr val="FFFF0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mtx'!$E$36:$E$45</c:f>
              <c:numCache>
                <c:formatCode>0.00</c:formatCode>
                <c:ptCount val="10"/>
                <c:pt idx="0">
                  <c:v>0.84</c:v>
                </c:pt>
                <c:pt idx="1">
                  <c:v>0.88297674418604644</c:v>
                </c:pt>
                <c:pt idx="2">
                  <c:v>0.92034782608695653</c:v>
                </c:pt>
                <c:pt idx="3">
                  <c:v>0.95314285714285718</c:v>
                </c:pt>
                <c:pt idx="4">
                  <c:v>0.98215384615384616</c:v>
                </c:pt>
                <c:pt idx="5">
                  <c:v>1.008</c:v>
                </c:pt>
                <c:pt idx="6">
                  <c:v>1.0311724137931033</c:v>
                </c:pt>
                <c:pt idx="7">
                  <c:v>1.0520655737704918</c:v>
                </c:pt>
                <c:pt idx="8">
                  <c:v>1.071</c:v>
                </c:pt>
                <c:pt idx="9">
                  <c:v>1.0882388059701493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0F-421F-A4DB-E4F7C63D1843}"/>
            </c:ext>
          </c:extLst>
        </c:ser>
        <c:ser>
          <c:idx val="4"/>
          <c:order val="4"/>
          <c:tx>
            <c:strRef>
              <c:f>'Array; mtx'!$C$46</c:f>
              <c:strCache>
                <c:ptCount val="1"/>
                <c:pt idx="0">
                  <c:v>0.20</c:v>
                </c:pt>
              </c:strCache>
            </c:strRef>
          </c:tx>
          <c:spPr>
            <a:solidFill>
              <a:srgbClr val="FF00FF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mtx'!$E$46:$E$55</c:f>
              <c:numCache>
                <c:formatCode>0.00</c:formatCode>
                <c:ptCount val="10"/>
                <c:pt idx="0">
                  <c:v>0.84</c:v>
                </c:pt>
                <c:pt idx="1">
                  <c:v>0.86290909090909074</c:v>
                </c:pt>
                <c:pt idx="2">
                  <c:v>0.88200000000000001</c:v>
                </c:pt>
                <c:pt idx="3">
                  <c:v>0.89815384615384619</c:v>
                </c:pt>
                <c:pt idx="4">
                  <c:v>0.91200000000000003</c:v>
                </c:pt>
                <c:pt idx="5">
                  <c:v>0.92399999999999993</c:v>
                </c:pt>
                <c:pt idx="6">
                  <c:v>0.93449999999999989</c:v>
                </c:pt>
                <c:pt idx="7">
                  <c:v>0.94376470588235284</c:v>
                </c:pt>
                <c:pt idx="8">
                  <c:v>0.95199999999999996</c:v>
                </c:pt>
                <c:pt idx="9">
                  <c:v>0.95936842105263154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0F-421F-A4DB-E4F7C63D1843}"/>
            </c:ext>
          </c:extLst>
        </c:ser>
        <c:ser>
          <c:idx val="5"/>
          <c:order val="5"/>
          <c:tx>
            <c:strRef>
              <c:f>'Array; mtx'!$C$56</c:f>
              <c:strCache>
                <c:ptCount val="1"/>
                <c:pt idx="0">
                  <c:v>0.25</c:v>
                </c:pt>
              </c:strCache>
            </c:strRef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mtx'!$E$56:$E$65</c:f>
              <c:numCache>
                <c:formatCode>0.00</c:formatCode>
                <c:ptCount val="10"/>
                <c:pt idx="0">
                  <c:v>0.84</c:v>
                </c:pt>
                <c:pt idx="1">
                  <c:v>0.84373333333333322</c:v>
                </c:pt>
                <c:pt idx="2">
                  <c:v>0.84671999999999992</c:v>
                </c:pt>
                <c:pt idx="3">
                  <c:v>0.84916363636363634</c:v>
                </c:pt>
                <c:pt idx="4">
                  <c:v>0.85119999999999996</c:v>
                </c:pt>
                <c:pt idx="5">
                  <c:v>0.85292307692307689</c:v>
                </c:pt>
                <c:pt idx="6">
                  <c:v>0.85440000000000005</c:v>
                </c:pt>
                <c:pt idx="7">
                  <c:v>0.85568</c:v>
                </c:pt>
                <c:pt idx="8">
                  <c:v>0.85680000000000001</c:v>
                </c:pt>
                <c:pt idx="9">
                  <c:v>0.85778823529411763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00F-421F-A4DB-E4F7C63D1843}"/>
            </c:ext>
          </c:extLst>
        </c:ser>
        <c:ser>
          <c:idx val="6"/>
          <c:order val="6"/>
          <c:tx>
            <c:strRef>
              <c:f>'Array; mtx'!$C$66</c:f>
              <c:strCache>
                <c:ptCount val="1"/>
                <c:pt idx="0">
                  <c:v>0.30</c:v>
                </c:pt>
              </c:strCache>
            </c:strRef>
          </c:tx>
          <c:spPr>
            <a:solidFill>
              <a:srgbClr val="80000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mtx'!$E$66:$E$75</c:f>
              <c:numCache>
                <c:formatCode>0.00</c:formatCode>
                <c:ptCount val="10"/>
                <c:pt idx="0">
                  <c:v>0.84</c:v>
                </c:pt>
                <c:pt idx="1">
                  <c:v>0.82539130434782604</c:v>
                </c:pt>
                <c:pt idx="2">
                  <c:v>0.81415384615384601</c:v>
                </c:pt>
                <c:pt idx="3">
                  <c:v>0.80524137931034478</c:v>
                </c:pt>
                <c:pt idx="4">
                  <c:v>0.79800000000000004</c:v>
                </c:pt>
                <c:pt idx="5">
                  <c:v>0.79200000000000004</c:v>
                </c:pt>
                <c:pt idx="6">
                  <c:v>0.78694736842105262</c:v>
                </c:pt>
                <c:pt idx="7">
                  <c:v>0.78263414634146355</c:v>
                </c:pt>
                <c:pt idx="8">
                  <c:v>0.77890909090909077</c:v>
                </c:pt>
                <c:pt idx="9">
                  <c:v>0.7756595744680852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0F-421F-A4DB-E4F7C63D1843}"/>
            </c:ext>
          </c:extLst>
        </c:ser>
        <c:ser>
          <c:idx val="7"/>
          <c:order val="7"/>
          <c:tx>
            <c:strRef>
              <c:f>'Array; mtx'!$C$76</c:f>
              <c:strCache>
                <c:ptCount val="1"/>
                <c:pt idx="0">
                  <c:v>0.35</c:v>
                </c:pt>
              </c:strCache>
            </c:strRef>
          </c:tx>
          <c:spPr>
            <a:solidFill>
              <a:srgbClr val="00800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mtx'!$E$76:$E$85</c:f>
              <c:numCache>
                <c:formatCode>0.00</c:formatCode>
                <c:ptCount val="10"/>
                <c:pt idx="0">
                  <c:v>0.84</c:v>
                </c:pt>
                <c:pt idx="1">
                  <c:v>0.80782978723404242</c:v>
                </c:pt>
                <c:pt idx="2">
                  <c:v>0.78400000000000003</c:v>
                </c:pt>
                <c:pt idx="3">
                  <c:v>0.76563934426229519</c:v>
                </c:pt>
                <c:pt idx="4">
                  <c:v>0.75105882352941167</c:v>
                </c:pt>
                <c:pt idx="5">
                  <c:v>0.73919999999999986</c:v>
                </c:pt>
                <c:pt idx="6">
                  <c:v>0.72936585365853668</c:v>
                </c:pt>
                <c:pt idx="7">
                  <c:v>0.72107865168539342</c:v>
                </c:pt>
                <c:pt idx="8">
                  <c:v>0.71399999999999997</c:v>
                </c:pt>
                <c:pt idx="9">
                  <c:v>0.70788349514563098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00F-421F-A4DB-E4F7C63D1843}"/>
            </c:ext>
          </c:extLst>
        </c:ser>
        <c:ser>
          <c:idx val="8"/>
          <c:order val="8"/>
          <c:tx>
            <c:strRef>
              <c:f>'Array; mtx'!$C$86</c:f>
              <c:strCache>
                <c:ptCount val="1"/>
                <c:pt idx="0">
                  <c:v>0.40</c:v>
                </c:pt>
              </c:strCache>
            </c:strRef>
          </c:tx>
          <c:spPr>
            <a:solidFill>
              <a:srgbClr val="00008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mtx'!$E$86:$E$95</c:f>
              <c:numCache>
                <c:formatCode>0.00</c:formatCode>
                <c:ptCount val="10"/>
                <c:pt idx="0">
                  <c:v>0.84</c:v>
                </c:pt>
                <c:pt idx="1">
                  <c:v>0.79099999999999993</c:v>
                </c:pt>
                <c:pt idx="2">
                  <c:v>0.75600000000000012</c:v>
                </c:pt>
                <c:pt idx="3">
                  <c:v>0.72975000000000001</c:v>
                </c:pt>
                <c:pt idx="4">
                  <c:v>0.70933333333333337</c:v>
                </c:pt>
                <c:pt idx="5">
                  <c:v>0.69299999999999995</c:v>
                </c:pt>
                <c:pt idx="6">
                  <c:v>0.67963636363636348</c:v>
                </c:pt>
                <c:pt idx="7">
                  <c:v>0.66849999999999998</c:v>
                </c:pt>
                <c:pt idx="8">
                  <c:v>0.65907692307692312</c:v>
                </c:pt>
                <c:pt idx="9">
                  <c:v>0.65100000000000002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00F-421F-A4DB-E4F7C63D1843}"/>
            </c:ext>
          </c:extLst>
        </c:ser>
        <c:ser>
          <c:idx val="9"/>
          <c:order val="9"/>
          <c:tx>
            <c:strRef>
              <c:f>'Array; mtx'!$C$96</c:f>
              <c:strCache>
                <c:ptCount val="1"/>
                <c:pt idx="0">
                  <c:v>0.45</c:v>
                </c:pt>
              </c:strCache>
            </c:strRef>
          </c:tx>
          <c:spPr>
            <a:solidFill>
              <a:srgbClr val="80800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mtx'!$E$96:$E$105</c:f>
              <c:numCache>
                <c:formatCode>0.00</c:formatCode>
                <c:ptCount val="10"/>
                <c:pt idx="0">
                  <c:v>0.84</c:v>
                </c:pt>
                <c:pt idx="1">
                  <c:v>0.77485714285714269</c:v>
                </c:pt>
                <c:pt idx="2">
                  <c:v>0.72993103448275864</c:v>
                </c:pt>
                <c:pt idx="3">
                  <c:v>0.69707462686567168</c:v>
                </c:pt>
                <c:pt idx="4">
                  <c:v>0.67199999999999993</c:v>
                </c:pt>
                <c:pt idx="5">
                  <c:v>0.65223529411764702</c:v>
                </c:pt>
                <c:pt idx="6">
                  <c:v>0.63625531914893618</c:v>
                </c:pt>
                <c:pt idx="7">
                  <c:v>0.62306796116504859</c:v>
                </c:pt>
                <c:pt idx="8">
                  <c:v>0.6120000000000001</c:v>
                </c:pt>
                <c:pt idx="9">
                  <c:v>0.60257851239669424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00F-421F-A4DB-E4F7C63D1843}"/>
            </c:ext>
          </c:extLst>
        </c:ser>
        <c:ser>
          <c:idx val="10"/>
          <c:order val="10"/>
          <c:tx>
            <c:strRef>
              <c:f>'Array; mtx'!$C$106</c:f>
              <c:strCache>
                <c:ptCount val="1"/>
                <c:pt idx="0">
                  <c:v>0.50</c:v>
                </c:pt>
              </c:strCache>
            </c:strRef>
          </c:tx>
          <c:spPr>
            <a:solidFill>
              <a:srgbClr val="800080"/>
            </a:solidFill>
            <a:ln w="12700">
              <a:solidFill>
                <a:srgbClr val="000000"/>
              </a:solidFill>
              <a:prstDash val="solid"/>
            </a:ln>
            <a:sp3d prstMaterial="flat"/>
          </c:spPr>
          <c:cat>
            <c:numRef>
              <c:f>'Array; mtx'!$B$6:$B$15</c:f>
              <c:numCache>
                <c:formatCode>0.0</c:formatCode>
                <c:ptCount val="10"/>
                <c:pt idx="0">
                  <c:v>1</c:v>
                </c:pt>
                <c:pt idx="1">
                  <c:v>1.5</c:v>
                </c:pt>
                <c:pt idx="2">
                  <c:v>2</c:v>
                </c:pt>
                <c:pt idx="3">
                  <c:v>2.5</c:v>
                </c:pt>
                <c:pt idx="4">
                  <c:v>3</c:v>
                </c:pt>
                <c:pt idx="5">
                  <c:v>3.5</c:v>
                </c:pt>
                <c:pt idx="6">
                  <c:v>4</c:v>
                </c:pt>
                <c:pt idx="7">
                  <c:v>4.5</c:v>
                </c:pt>
                <c:pt idx="8">
                  <c:v>5</c:v>
                </c:pt>
                <c:pt idx="9">
                  <c:v>5.5</c:v>
                </c:pt>
              </c:numCache>
            </c:numRef>
          </c:cat>
          <c:val>
            <c:numRef>
              <c:f>'Array; mtx'!$E$106:$E$115</c:f>
              <c:numCache>
                <c:formatCode>0.00</c:formatCode>
                <c:ptCount val="10"/>
                <c:pt idx="0">
                  <c:v>0.84</c:v>
                </c:pt>
                <c:pt idx="1">
                  <c:v>0.75935999999999981</c:v>
                </c:pt>
                <c:pt idx="2">
                  <c:v>0.7056</c:v>
                </c:pt>
                <c:pt idx="3">
                  <c:v>0.66720000000000002</c:v>
                </c:pt>
                <c:pt idx="4">
                  <c:v>0.63839999999999997</c:v>
                </c:pt>
                <c:pt idx="5">
                  <c:v>0.61599999999999988</c:v>
                </c:pt>
                <c:pt idx="6">
                  <c:v>0.59808000000000006</c:v>
                </c:pt>
                <c:pt idx="7">
                  <c:v>0.58341818181818184</c:v>
                </c:pt>
                <c:pt idx="8">
                  <c:v>0.57120000000000004</c:v>
                </c:pt>
                <c:pt idx="9">
                  <c:v>0.56086153846153841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00F-421F-A4DB-E4F7C63D1843}"/>
            </c:ext>
          </c:extLst>
        </c:ser>
        <c:bandFmts>
          <c:bandFmt>
            <c:idx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1"/>
            <c:spPr>
              <a:solidFill>
                <a:srgbClr val="00FF0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2"/>
            <c:spPr>
              <a:solidFill>
                <a:srgbClr val="0000FF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3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4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5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6"/>
            <c:spPr>
              <a:solidFill>
                <a:srgbClr val="80000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7"/>
            <c:spPr>
              <a:solidFill>
                <a:srgbClr val="00800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8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  <c:bandFmt>
            <c:idx val="9"/>
            <c:spPr>
              <a:solidFill>
                <a:srgbClr val="808000"/>
              </a:solidFill>
              <a:ln w="12700">
                <a:solidFill>
                  <a:srgbClr val="000000"/>
                </a:solidFill>
                <a:prstDash val="solid"/>
              </a:ln>
              <a:sp3d prstMaterial="flat"/>
            </c:spPr>
          </c:bandFmt>
        </c:bandFmts>
        <c:axId val="-1020149792"/>
        <c:axId val="-1020156320"/>
        <c:axId val="-1012214368"/>
      </c:surface3DChart>
      <c:catAx>
        <c:axId val="-1020149792"/>
        <c:scaling>
          <c:orientation val="minMax"/>
        </c:scaling>
        <c:delete val="0"/>
        <c:axPos val="b"/>
        <c:numFmt formatCode="0.0" sourceLinked="1"/>
        <c:majorTickMark val="out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zh-TW"/>
          </a:p>
        </c:txPr>
        <c:crossAx val="-1020156320"/>
        <c:crossesAt val="1.5"/>
        <c:auto val="0"/>
        <c:lblAlgn val="ctr"/>
        <c:lblOffset val="100"/>
        <c:tickLblSkip val="4"/>
        <c:tickMarkSkip val="1"/>
        <c:noMultiLvlLbl val="1"/>
      </c:catAx>
      <c:valAx>
        <c:axId val="-10201563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zh-TW"/>
          </a:p>
        </c:txPr>
        <c:crossAx val="-1020149792"/>
        <c:crosses val="max"/>
        <c:crossBetween val="between"/>
        <c:majorUnit val="0.2"/>
      </c:valAx>
      <c:serAx>
        <c:axId val="-1012214368"/>
        <c:scaling>
          <c:orientation val="minMax"/>
        </c:scaling>
        <c:delete val="0"/>
        <c:axPos val="b"/>
        <c:numFmt formatCode="0.00" sourceLinked="1"/>
        <c:majorTickMark val="out"/>
        <c:minorTickMark val="none"/>
        <c:tickLblPos val="low"/>
        <c:spPr>
          <a:ln w="25400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zh-TW"/>
          </a:p>
        </c:txPr>
        <c:crossAx val="-1020156320"/>
        <c:crossesAt val="1.5"/>
        <c:tickLblSkip val="1"/>
        <c:tickMarkSkip val="1"/>
      </c:serAx>
      <c:spPr>
        <a:noFill/>
        <a:ln w="25400">
          <a:noFill/>
        </a:ln>
      </c:spPr>
    </c:plotArea>
    <c:legend>
      <c:legendPos val="r"/>
      <c:legendEntry>
        <c:idx val="0"/>
        <c:txPr>
          <a:bodyPr/>
          <a:lstStyle/>
          <a:p>
            <a:pPr rtl="0">
              <a:defRPr/>
            </a:pPr>
            <a:endParaRPr lang="zh-TW"/>
          </a:p>
        </c:txPr>
      </c:legendEntry>
      <c:legendEntry>
        <c:idx val="1"/>
        <c:txPr>
          <a:bodyPr/>
          <a:lstStyle/>
          <a:p>
            <a:pPr rtl="0">
              <a:defRPr/>
            </a:pPr>
            <a:endParaRPr lang="zh-TW"/>
          </a:p>
        </c:txPr>
      </c:legendEntry>
      <c:layout>
        <c:manualLayout>
          <c:xMode val="edge"/>
          <c:yMode val="edge"/>
          <c:x val="0.81708163128173761"/>
          <c:y val="0.2262797643478206"/>
          <c:w val="0.13927399881841765"/>
          <c:h val="0.49520138901266847"/>
        </c:manualLayout>
      </c:layout>
      <c:overlay val="0"/>
      <c:txPr>
        <a:bodyPr/>
        <a:lstStyle/>
        <a:p>
          <a:pPr rtl="0">
            <a:defRPr/>
          </a:pPr>
          <a:endParaRPr lang="zh-TW"/>
        </a:p>
      </c:txPr>
    </c:legend>
    <c:plotVisOnly val="0"/>
    <c:dispBlanksAs val="gap"/>
    <c:showDLblsOverMax val="0"/>
  </c:chart>
  <c:spPr>
    <a:solidFill>
      <a:srgbClr val="FFFFFF"/>
    </a:solidFill>
    <a:ln w="6350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TW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0.74922</cdr:x>
      <cdr:y>0.26807</cdr:y>
    </cdr:from>
    <cdr:to>
      <cdr:x>0.74922</cdr:x>
      <cdr:y>0.26807</cdr:y>
    </cdr:to>
    <cdr:sp macro="" textlink="">
      <cdr:nvSpPr>
        <cdr:cNvPr id="56321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792544" y="866216"/>
          <a:ext cx="0" cy="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77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zh-TW" altLang="en-US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RR</a:t>
          </a:r>
          <a:r>
            <a:rPr lang="zh-TW" altLang="en-US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 (fully adjusted)</a:t>
          </a:r>
        </a:p>
      </cdr:txBody>
    </cdr:sp>
  </cdr:relSizeAnchor>
  <cdr:relSizeAnchor xmlns:cdr="http://schemas.openxmlformats.org/drawingml/2006/chartDrawing">
    <cdr:from>
      <cdr:x>0.109</cdr:x>
      <cdr:y>0.66667</cdr:y>
    </cdr:from>
    <cdr:to>
      <cdr:x>0.109</cdr:x>
      <cdr:y>0.66667</cdr:y>
    </cdr:to>
    <cdr:sp macro="" textlink="">
      <cdr:nvSpPr>
        <cdr:cNvPr id="5632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4496" y="2149481"/>
          <a:ext cx="0" cy="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77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zh-TW" altLang="en-US" sz="1200" b="1" i="0" u="none" strike="noStrike" baseline="0">
              <a:solidFill>
                <a:srgbClr val="000000"/>
              </a:solidFill>
              <a:latin typeface="Arial"/>
              <a:cs typeface="Arial"/>
            </a:rPr>
            <a:t>RR</a:t>
          </a:r>
          <a:r>
            <a:rPr lang="zh-TW" altLang="en-US" sz="1200" b="1" i="0" u="none" strike="noStrike" baseline="-25000">
              <a:solidFill>
                <a:srgbClr val="000000"/>
              </a:solidFill>
              <a:latin typeface="Arial"/>
              <a:cs typeface="Arial"/>
            </a:rPr>
            <a:t>CD</a:t>
          </a:r>
        </a:p>
      </cdr:txBody>
    </cdr:sp>
  </cdr:relSizeAnchor>
  <cdr:relSizeAnchor xmlns:cdr="http://schemas.openxmlformats.org/drawingml/2006/chartDrawing">
    <cdr:from>
      <cdr:x>0.44309</cdr:x>
      <cdr:y>0.9134</cdr:y>
    </cdr:from>
    <cdr:to>
      <cdr:x>0.44309</cdr:x>
      <cdr:y>0.9134</cdr:y>
    </cdr:to>
    <cdr:sp macro="" textlink="">
      <cdr:nvSpPr>
        <cdr:cNvPr id="56323" name="Text Box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44236" y="2943809"/>
          <a:ext cx="0" cy="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77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zh-TW" altLang="en-US" sz="1200" b="1" i="0" u="none" strike="noStrike" baseline="0">
              <a:solidFill>
                <a:srgbClr val="000000"/>
              </a:solidFill>
              <a:latin typeface="Arial"/>
              <a:cs typeface="Arial"/>
            </a:rPr>
            <a:t>P</a:t>
          </a:r>
          <a:r>
            <a:rPr lang="zh-TW" altLang="en-US" sz="1200" b="1" i="0" u="none" strike="noStrike" baseline="-25000">
              <a:solidFill>
                <a:srgbClr val="000000"/>
              </a:solidFill>
              <a:latin typeface="Arial"/>
              <a:cs typeface="Arial"/>
            </a:rPr>
            <a:t>C1</a:t>
          </a:r>
        </a:p>
      </cdr:txBody>
    </cdr:sp>
  </cdr:relSizeAnchor>
  <cdr:relSizeAnchor xmlns:cdr="http://schemas.openxmlformats.org/drawingml/2006/chartDrawing">
    <cdr:from>
      <cdr:x>0.00942</cdr:x>
      <cdr:y>0.01479</cdr:y>
    </cdr:from>
    <cdr:to>
      <cdr:x>0.00942</cdr:x>
      <cdr:y>0.01479</cdr:y>
    </cdr:to>
    <cdr:sp macro="" textlink="">
      <cdr:nvSpPr>
        <cdr:cNvPr id="56324" name="Text Box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0800" y="50800"/>
          <a:ext cx="0" cy="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8"/>
          </a:solidFill>
          <a:miter lim="800000"/>
          <a:headEnd/>
          <a:tailEnd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zh-TW" altLang="en-US" sz="1000" b="0" i="0" u="none" strike="noStrike" baseline="0">
            <a:solidFill>
              <a:srgbClr val="000000"/>
            </a:solidFill>
            <a:latin typeface="Arial"/>
            <a:cs typeface="Arial"/>
          </a:endParaRPr>
        </a:p>
        <a:p xmlns:a="http://schemas.openxmlformats.org/drawingml/2006/main">
          <a:pPr algn="l" rtl="0">
            <a:defRPr sz="1000"/>
          </a:pPr>
          <a:r>
            <a:rPr lang="zh-TW" altLang="en-US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ARR = 1.5</a:t>
          </a:r>
        </a:p>
        <a:p xmlns:a="http://schemas.openxmlformats.org/drawingml/2006/main">
          <a:pPr algn="l" rtl="0">
            <a:defRPr sz="1000"/>
          </a:pPr>
          <a:r>
            <a:rPr lang="zh-TW" altLang="en-US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P</a:t>
          </a:r>
          <a:r>
            <a:rPr lang="zh-TW" altLang="en-US" sz="1100" b="1" i="0" u="none" strike="noStrike" baseline="-25000">
              <a:solidFill>
                <a:srgbClr val="000000"/>
              </a:solidFill>
              <a:latin typeface="Arial"/>
              <a:cs typeface="Arial"/>
            </a:rPr>
            <a:t>C0</a:t>
          </a:r>
          <a:r>
            <a:rPr lang="zh-TW" altLang="en-US" sz="1100" b="1" i="0" u="none" strike="noStrike" baseline="0">
              <a:solidFill>
                <a:srgbClr val="000000"/>
              </a:solidFill>
              <a:latin typeface="Arial"/>
              <a:cs typeface="Arial"/>
            </a:rPr>
            <a:t> = 0.10</a:t>
          </a:r>
        </a:p>
      </cdr:txBody>
    </cdr:sp>
  </cdr:relSizeAnchor>
  <cdr:relSizeAnchor xmlns:cdr="http://schemas.openxmlformats.org/drawingml/2006/chartDrawing">
    <cdr:from>
      <cdr:x>0.01115</cdr:x>
      <cdr:y>0.02861</cdr:y>
    </cdr:from>
    <cdr:to>
      <cdr:x>0.64833</cdr:x>
      <cdr:y>0.14598</cdr:y>
    </cdr:to>
    <cdr:sp macro="" textlink="">
      <cdr:nvSpPr>
        <cdr:cNvPr id="56328" name="Text Box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851" y="91256"/>
          <a:ext cx="3363136" cy="37436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solidFill>
            <a:srgbClr xmlns:mc="http://schemas.openxmlformats.org/markup-compatibility/2006" xmlns:a14="http://schemas.microsoft.com/office/drawing/2010/main" val="000000" mc:Ignorable="a14" a14:legacySpreadsheetColorIndex="8"/>
          </a:solidFill>
          <a:miter lim="800000"/>
          <a:headEnd/>
          <a:tailEnd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zh-TW" altLang="en-US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ARR = </a:t>
          </a:r>
          <a:r>
            <a:rPr lang="en-US" altLang="zh-TW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0.84</a:t>
          </a:r>
          <a:endParaRPr lang="zh-TW" altLang="en-US" sz="900" b="1" i="0" u="none" strike="noStrike" baseline="0">
            <a:solidFill>
              <a:srgbClr val="000000"/>
            </a:solidFill>
            <a:latin typeface="+mn-lt"/>
            <a:cs typeface="Arial"/>
          </a:endParaRPr>
        </a:p>
        <a:p xmlns:a="http://schemas.openxmlformats.org/drawingml/2006/main">
          <a:pPr algn="l" rtl="0">
            <a:defRPr sz="1000"/>
          </a:pPr>
          <a:r>
            <a:rPr lang="en-US" altLang="zh-TW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Proportion of unmeasured confouder in Retinoid group (</a:t>
          </a:r>
          <a:r>
            <a:rPr lang="zh-TW" altLang="en-US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P</a:t>
          </a:r>
          <a:r>
            <a:rPr lang="zh-TW" altLang="en-US" sz="900" b="1" i="0" u="none" strike="noStrike" baseline="-25000">
              <a:solidFill>
                <a:srgbClr val="000000"/>
              </a:solidFill>
              <a:latin typeface="+mn-lt"/>
              <a:cs typeface="Arial"/>
            </a:rPr>
            <a:t>C0</a:t>
          </a:r>
          <a:r>
            <a:rPr lang="zh-TW" altLang="en-US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 </a:t>
          </a:r>
          <a:r>
            <a:rPr lang="en-US" altLang="zh-TW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)</a:t>
          </a:r>
          <a:r>
            <a:rPr lang="zh-TW" altLang="en-US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= 0.</a:t>
          </a:r>
          <a:r>
            <a:rPr lang="en-US" altLang="zh-TW" sz="900" b="1" i="0" u="none" strike="noStrike" baseline="0">
              <a:solidFill>
                <a:srgbClr val="000000"/>
              </a:solidFill>
              <a:latin typeface="+mn-lt"/>
              <a:cs typeface="Arial"/>
            </a:rPr>
            <a:t>26</a:t>
          </a:r>
          <a:endParaRPr lang="zh-TW" altLang="en-US" sz="900" b="1" i="0" u="none" strike="noStrike" baseline="0">
            <a:solidFill>
              <a:srgbClr val="000000"/>
            </a:solidFill>
            <a:latin typeface="+mn-lt"/>
            <a:cs typeface="Arial"/>
          </a:endParaRPr>
        </a:p>
      </cdr:txBody>
    </cdr:sp>
  </cdr:relSizeAnchor>
  <cdr:relSizeAnchor xmlns:cdr="http://schemas.openxmlformats.org/drawingml/2006/chartDrawing">
    <cdr:from>
      <cdr:x>0.01555</cdr:x>
      <cdr:y>0.33269</cdr:y>
    </cdr:from>
    <cdr:to>
      <cdr:x>0.21767</cdr:x>
      <cdr:y>0.53229</cdr:y>
    </cdr:to>
    <cdr:sp macro="" textlink="">
      <cdr:nvSpPr>
        <cdr:cNvPr id="56329" name="Text Box 9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2063" y="992702"/>
          <a:ext cx="1066800" cy="5955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77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27432" tIns="27432" rIns="0" bIns="0" anchor="t" upright="1"/>
        <a:lstStyle xmlns:a="http://schemas.openxmlformats.org/drawingml/2006/main"/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/>
          </a:pPr>
          <a:r>
            <a:rPr lang="en-US" altLang="zh-TW" sz="1050" b="1" i="0" baseline="0">
              <a:effectLst/>
              <a:latin typeface="+mn-lt"/>
              <a:ea typeface="+mn-ea"/>
              <a:cs typeface="+mn-cs"/>
            </a:rPr>
            <a:t>RRs adjusted  for</a:t>
          </a: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/>
          </a:pPr>
          <a:r>
            <a:rPr lang="en-US" altLang="zh-TW" sz="1050" b="1" i="0" baseline="0">
              <a:effectLst/>
              <a:latin typeface="+mn-lt"/>
              <a:ea typeface="+mn-ea"/>
              <a:cs typeface="+mn-cs"/>
            </a:rPr>
            <a:t>unmeasured</a:t>
          </a:r>
        </a:p>
        <a:p xmlns:a="http://schemas.openxmlformats.org/drawingml/2006/main">
          <a:pPr marL="0" marR="0" indent="0" algn="l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000"/>
          </a:pPr>
          <a:r>
            <a:rPr lang="en-US" altLang="zh-TW" sz="1050" b="1" i="0" baseline="0">
              <a:effectLst/>
              <a:latin typeface="+mn-lt"/>
              <a:ea typeface="+mn-ea"/>
              <a:cs typeface="+mn-cs"/>
            </a:rPr>
            <a:t>confounder</a:t>
          </a:r>
          <a:endParaRPr lang="zh-TW" altLang="en-US" sz="800" b="1" i="0" u="none" strike="noStrike" baseline="0">
            <a:solidFill>
              <a:srgbClr val="000000"/>
            </a:solidFill>
            <a:latin typeface="Arial"/>
            <a:cs typeface="Arial"/>
          </a:endParaRPr>
        </a:p>
      </cdr:txBody>
    </cdr:sp>
  </cdr:relSizeAnchor>
  <cdr:relSizeAnchor xmlns:cdr="http://schemas.openxmlformats.org/drawingml/2006/chartDrawing">
    <cdr:from>
      <cdr:x>0.06802</cdr:x>
      <cdr:y>0.86106</cdr:y>
    </cdr:from>
    <cdr:to>
      <cdr:x>0.34968</cdr:x>
      <cdr:y>0.97199</cdr:y>
    </cdr:to>
    <cdr:sp macro="" textlink="">
      <cdr:nvSpPr>
        <cdr:cNvPr id="56330" name="Text Box 10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028" y="2569287"/>
          <a:ext cx="1486625" cy="331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77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zh-TW" sz="800" b="1" i="0" u="none" strike="noStrike" baseline="0">
              <a:solidFill>
                <a:srgbClr val="000000"/>
              </a:solidFill>
              <a:latin typeface="+mn-lt"/>
              <a:cs typeface="Arial"/>
            </a:rPr>
            <a:t>Proportion of unmeasured confouder in MTX group (P</a:t>
          </a:r>
          <a:r>
            <a:rPr lang="en-US" altLang="zh-TW" sz="800" b="1" i="0" u="none" strike="noStrike" baseline="-25000">
              <a:solidFill>
                <a:srgbClr val="000000"/>
              </a:solidFill>
              <a:latin typeface="+mn-ea"/>
              <a:ea typeface="+mn-ea"/>
              <a:cs typeface="Arial"/>
            </a:rPr>
            <a:t>C1</a:t>
          </a:r>
          <a:r>
            <a:rPr lang="en-US" altLang="zh-TW" sz="800" b="1" i="0" u="none" strike="noStrike" baseline="0">
              <a:solidFill>
                <a:srgbClr val="000000"/>
              </a:solidFill>
              <a:latin typeface="+mn-lt"/>
              <a:cs typeface="Arial"/>
            </a:rPr>
            <a:t>)</a:t>
          </a:r>
          <a:endParaRPr lang="zh-TW" altLang="en-US" sz="800" b="1" i="0" u="none" strike="noStrike" baseline="-25000">
            <a:solidFill>
              <a:srgbClr val="000000"/>
            </a:solidFill>
            <a:latin typeface="+mn-lt"/>
            <a:cs typeface="Arial"/>
          </a:endParaRPr>
        </a:p>
      </cdr:txBody>
    </cdr:sp>
  </cdr:relSizeAnchor>
  <cdr:relSizeAnchor xmlns:cdr="http://schemas.openxmlformats.org/drawingml/2006/chartDrawing">
    <cdr:from>
      <cdr:x>0.66428</cdr:x>
      <cdr:y>0.85094</cdr:y>
    </cdr:from>
    <cdr:to>
      <cdr:x>0.95656</cdr:x>
      <cdr:y>0.99812</cdr:y>
    </cdr:to>
    <cdr:sp macro="" textlink="">
      <cdr:nvSpPr>
        <cdr:cNvPr id="56331" name="Text Box 1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06135" y="2539080"/>
          <a:ext cx="1542699" cy="43917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78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000000" mc:Ignorable="a14" a14:legacySpreadsheetColorIndex="77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36576" tIns="27432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en-US" altLang="zh-TW" sz="800" b="1" i="0" u="none" strike="noStrike" baseline="0">
              <a:solidFill>
                <a:srgbClr val="000000"/>
              </a:solidFill>
              <a:latin typeface="+mn-lt"/>
              <a:cs typeface="Arial"/>
            </a:rPr>
            <a:t>RRs for the association</a:t>
          </a:r>
        </a:p>
        <a:p xmlns:a="http://schemas.openxmlformats.org/drawingml/2006/main">
          <a:pPr algn="l" rtl="0">
            <a:defRPr sz="1000"/>
          </a:pPr>
          <a:r>
            <a:rPr lang="en-US" altLang="zh-TW" sz="800" b="1" i="0" u="none" strike="noStrike" baseline="0">
              <a:solidFill>
                <a:srgbClr val="000000"/>
              </a:solidFill>
              <a:latin typeface="+mn-lt"/>
              <a:cs typeface="Arial"/>
            </a:rPr>
            <a:t>between CVD and unmeasured confouder (RR</a:t>
          </a:r>
          <a:r>
            <a:rPr lang="en-US" altLang="zh-TW" sz="800" b="1" i="0" u="none" strike="noStrike" baseline="-25000">
              <a:solidFill>
                <a:srgbClr val="000000"/>
              </a:solidFill>
              <a:latin typeface="+mn-lt"/>
              <a:cs typeface="Arial"/>
            </a:rPr>
            <a:t>CD</a:t>
          </a:r>
          <a:r>
            <a:rPr lang="en-US" altLang="zh-TW" sz="800" b="1" i="0" u="none" strike="noStrike" baseline="0">
              <a:solidFill>
                <a:srgbClr val="000000"/>
              </a:solidFill>
              <a:latin typeface="+mn-lt"/>
              <a:cs typeface="Arial"/>
            </a:rPr>
            <a:t>)</a:t>
          </a:r>
          <a:endParaRPr lang="zh-TW" altLang="en-US" sz="800" b="1" i="0" u="none" strike="noStrike" baseline="-25000">
            <a:solidFill>
              <a:srgbClr val="000000"/>
            </a:solidFill>
            <a:latin typeface="+mn-lt"/>
            <a:cs typeface="Arial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5723-6E50-48E1-94EA-E9194CFD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李孟穗</dc:creator>
  <cp:keywords/>
  <dc:description/>
  <cp:lastModifiedBy>孟穗 李</cp:lastModifiedBy>
  <cp:revision>5</cp:revision>
  <dcterms:created xsi:type="dcterms:W3CDTF">2021-07-02T14:35:00Z</dcterms:created>
  <dcterms:modified xsi:type="dcterms:W3CDTF">2021-07-04T16:26:00Z</dcterms:modified>
</cp:coreProperties>
</file>