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764DF" w14:textId="77777777" w:rsidR="00094BC2" w:rsidRPr="00B6777E" w:rsidRDefault="00094BC2" w:rsidP="00094BC2">
      <w:pPr>
        <w:spacing w:after="0" w:line="48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B6777E">
        <w:rPr>
          <w:rFonts w:ascii="Arial" w:hAnsi="Arial" w:cs="Arial"/>
          <w:b/>
          <w:bCs/>
          <w:sz w:val="24"/>
          <w:szCs w:val="24"/>
          <w:lang w:val="en-US"/>
        </w:rPr>
        <w:t>Supplementary material</w:t>
      </w:r>
    </w:p>
    <w:p w14:paraId="00F5AF55" w14:textId="77777777" w:rsidR="00094BC2" w:rsidRPr="00A43F98" w:rsidRDefault="00094BC2" w:rsidP="00094BC2">
      <w:pPr>
        <w:spacing w:after="0"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Supplementary </w:t>
      </w:r>
      <w:r w:rsidRPr="00B6777E">
        <w:rPr>
          <w:rFonts w:ascii="Arial" w:hAnsi="Arial" w:cs="Arial"/>
          <w:b/>
          <w:bCs/>
          <w:lang w:val="en-US"/>
        </w:rPr>
        <w:t xml:space="preserve">Table 1 </w:t>
      </w:r>
      <w:r w:rsidRPr="00A43F98">
        <w:rPr>
          <w:rFonts w:ascii="Arial" w:hAnsi="Arial" w:cs="Arial"/>
          <w:lang w:val="en-US"/>
        </w:rPr>
        <w:t xml:space="preserve">Full </w:t>
      </w:r>
      <w:r>
        <w:rPr>
          <w:rFonts w:ascii="Arial" w:hAnsi="Arial" w:cs="Arial"/>
          <w:lang w:val="en-US"/>
        </w:rPr>
        <w:t>E</w:t>
      </w:r>
      <w:r w:rsidRPr="00A43F98">
        <w:rPr>
          <w:rFonts w:ascii="Arial" w:hAnsi="Arial" w:cs="Arial"/>
          <w:lang w:val="en-US"/>
        </w:rPr>
        <w:t xml:space="preserve">ligibility </w:t>
      </w:r>
      <w:r>
        <w:rPr>
          <w:rFonts w:ascii="Arial" w:hAnsi="Arial" w:cs="Arial"/>
          <w:lang w:val="en-US"/>
        </w:rPr>
        <w:t>C</w:t>
      </w:r>
      <w:r w:rsidRPr="00A43F98">
        <w:rPr>
          <w:rFonts w:ascii="Arial" w:hAnsi="Arial" w:cs="Arial"/>
          <w:lang w:val="en-US"/>
        </w:rPr>
        <w:t>riteria</w:t>
      </w: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3482"/>
      </w:tblGrid>
      <w:tr w:rsidR="00094BC2" w:rsidRPr="00B6777E" w14:paraId="6FAC993C" w14:textId="77777777" w:rsidTr="00377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2" w:type="dxa"/>
            <w:tcBorders>
              <w:top w:val="single" w:sz="4" w:space="0" w:color="auto"/>
              <w:bottom w:val="single" w:sz="4" w:space="0" w:color="auto"/>
            </w:tcBorders>
          </w:tcPr>
          <w:p w14:paraId="6C540E11" w14:textId="77777777" w:rsidR="00094BC2" w:rsidRPr="00A43F98" w:rsidRDefault="00094BC2" w:rsidP="0037722F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A43F98">
              <w:rPr>
                <w:rFonts w:ascii="Arial" w:hAnsi="Arial" w:cs="Arial"/>
                <w:lang w:val="en-US"/>
              </w:rPr>
              <w:t>Inclusion criteria</w:t>
            </w:r>
          </w:p>
        </w:tc>
      </w:tr>
      <w:tr w:rsidR="00094BC2" w:rsidRPr="00B6777E" w14:paraId="27B51137" w14:textId="77777777" w:rsidTr="00377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2" w:type="dxa"/>
            <w:tcBorders>
              <w:top w:val="single" w:sz="4" w:space="0" w:color="auto"/>
              <w:bottom w:val="none" w:sz="0" w:space="0" w:color="auto"/>
            </w:tcBorders>
          </w:tcPr>
          <w:p w14:paraId="4B7F904D" w14:textId="77777777" w:rsidR="00094BC2" w:rsidRPr="00B6777E" w:rsidRDefault="00094BC2" w:rsidP="00094BC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7B7370">
              <w:rPr>
                <w:rFonts w:ascii="Arial" w:hAnsi="Arial" w:cs="Arial"/>
                <w:b w:val="0"/>
                <w:bCs w:val="0"/>
                <w:lang w:val="en-US"/>
              </w:rPr>
              <w:t>Non-smokers, 12</w:t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–80 years old, body weight ≥40 kg and documented physician-diagnosed asthma for at least 12 months before screening</w:t>
            </w:r>
          </w:p>
          <w:p w14:paraId="77CFBD66" w14:textId="77777777" w:rsidR="00094BC2" w:rsidRPr="00B6777E" w:rsidRDefault="00094BC2" w:rsidP="00094BC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Evidence of asthma as documented by post</w:t>
            </w:r>
            <w:r>
              <w:rPr>
                <w:rFonts w:ascii="Arial" w:hAnsi="Arial" w:cs="Arial"/>
                <w:b w:val="0"/>
                <w:bCs w:val="0"/>
                <w:lang w:val="en-US"/>
              </w:rPr>
              <w:t>-</w:t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bronchodilator (albuterol/salbutamol) reversibility of FEV</w:t>
            </w:r>
            <w:r w:rsidRPr="00B6777E">
              <w:rPr>
                <w:rFonts w:ascii="Arial" w:hAnsi="Arial" w:cs="Arial"/>
                <w:b w:val="0"/>
                <w:bCs w:val="0"/>
                <w:vertAlign w:val="subscript"/>
                <w:lang w:val="en-US"/>
              </w:rPr>
              <w:t>1</w:t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 xml:space="preserve"> ≥12% AND ≥200 mL in the 12 months before screening or at week 0</w:t>
            </w:r>
          </w:p>
          <w:p w14:paraId="77A1F3AD" w14:textId="77777777" w:rsidR="00094BC2" w:rsidRPr="00B6777E" w:rsidRDefault="00094BC2" w:rsidP="00094BC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Documented history of current treatment with medium- or high-dose ICS for at least 6 months before screening, according to GINA 2018 guidelines</w:t>
            </w:r>
            <w:r>
              <w:rPr>
                <w:rFonts w:ascii="Arial" w:hAnsi="Arial" w:cs="Arial"/>
                <w:b w:val="0"/>
                <w:bCs w:val="0"/>
                <w:lang w:val="en-US"/>
              </w:rPr>
              <w:t>,</w:t>
            </w:r>
            <w:r w:rsidRPr="00B6777E">
              <w:rPr>
                <w:rFonts w:ascii="Arial" w:hAnsi="Arial" w:cs="Arial"/>
                <w:lang w:val="en-US"/>
              </w:rPr>
              <w:fldChar w:fldCharType="begin"/>
            </w:r>
            <w:r>
              <w:rPr>
                <w:rFonts w:ascii="Arial" w:hAnsi="Arial" w:cs="Arial"/>
                <w:lang w:val="en-US"/>
              </w:rPr>
              <w:instrText xml:space="preserve"> ADDIN EN.CITE &lt;EndNote&gt;&lt;Cite ExcludeYear="1"&gt;&lt;Author&gt;Global Initative for Asthma&lt;/Author&gt;&lt;RecNum&gt;438&lt;/RecNum&gt;&lt;DisplayText&gt;&lt;style face="superscript"&gt;11&lt;/style&gt;&lt;/DisplayText&gt;&lt;record&gt;&lt;rec-number&gt;438&lt;/rec-number&gt;&lt;foreign-keys&gt;&lt;key app="EN" db-id="e2x0rzsr4rtsaqextfzxedvie905pew000dz" timestamp="1602519726"&gt;438&lt;/key&gt;&lt;/foreign-keys&gt;&lt;ref-type name="Journal Article"&gt;17&lt;/ref-type&gt;&lt;contributors&gt;&lt;authors&gt;&lt;author&gt;Global Initative for Asthma,&lt;/author&gt;&lt;/authors&gt;&lt;/contributors&gt;&lt;titles&gt;&lt;title&gt;Global strategy for asthma management and prevention. 2018. Available from: https://ginasthma.org/wp-content/uploads/2019/01/2018-GINA.pdf. Accessed October 12, 2020&lt;/title&gt;&lt;/titles&gt;&lt;dates&gt;&lt;/dates&gt;&lt;urls&gt;&lt;/urls&gt;&lt;/record&gt;&lt;/Cite&gt;&lt;/EndNote&gt;</w:instrText>
            </w:r>
            <w:r w:rsidRPr="00B6777E">
              <w:rPr>
                <w:rFonts w:ascii="Arial" w:hAnsi="Arial" w:cs="Arial"/>
                <w:lang w:val="en-US"/>
              </w:rPr>
              <w:fldChar w:fldCharType="separate"/>
            </w:r>
            <w:r w:rsidRPr="00F52E77">
              <w:rPr>
                <w:rFonts w:ascii="Arial" w:hAnsi="Arial" w:cs="Arial"/>
                <w:noProof/>
                <w:vertAlign w:val="superscript"/>
                <w:lang w:val="en-US"/>
              </w:rPr>
              <w:t>11</w:t>
            </w:r>
            <w:r w:rsidRPr="00B6777E">
              <w:rPr>
                <w:rFonts w:ascii="Arial" w:hAnsi="Arial" w:cs="Arial"/>
                <w:lang w:val="en-US"/>
              </w:rPr>
              <w:fldChar w:fldCharType="end"/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 xml:space="preserve"> and at least one additional asthma controller medication according to standard practice of care. Documented use of additional asthma controller medications for at least 3 months before screening</w:t>
            </w:r>
          </w:p>
          <w:p w14:paraId="1B0E3D58" w14:textId="77777777" w:rsidR="00094BC2" w:rsidRPr="00B6777E" w:rsidRDefault="00094BC2" w:rsidP="00094BC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 xml:space="preserve">A daily ICS dose </w:t>
            </w:r>
            <w:r w:rsidRPr="00B6777E">
              <w:rPr>
                <w:rFonts w:ascii="Calibri" w:hAnsi="Calibri" w:cs="Calibri"/>
                <w:b w:val="0"/>
                <w:bCs w:val="0"/>
                <w:lang w:val="en-US"/>
              </w:rPr>
              <w:t>≥</w:t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 xml:space="preserve">500 </w:t>
            </w:r>
            <w:proofErr w:type="spellStart"/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μg</w:t>
            </w:r>
            <w:proofErr w:type="spellEnd"/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 xml:space="preserve">/day fluticasone propionate dry powder formulation or equivalent </w:t>
            </w:r>
          </w:p>
          <w:p w14:paraId="0C541870" w14:textId="77777777" w:rsidR="00094BC2" w:rsidRPr="00B6777E" w:rsidRDefault="00094BC2" w:rsidP="00094BC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A morning pre-bronchodilator FEV</w:t>
            </w:r>
            <w:r w:rsidRPr="00B6777E">
              <w:rPr>
                <w:rFonts w:ascii="Arial" w:hAnsi="Arial" w:cs="Arial"/>
                <w:b w:val="0"/>
                <w:bCs w:val="0"/>
                <w:vertAlign w:val="subscript"/>
                <w:lang w:val="en-US"/>
              </w:rPr>
              <w:t>1</w:t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 xml:space="preserve"> &gt;50% predicted normal at screening</w:t>
            </w:r>
          </w:p>
          <w:p w14:paraId="113A2E66" w14:textId="77777777" w:rsidR="00094BC2" w:rsidRPr="00B6777E" w:rsidRDefault="00094BC2" w:rsidP="00094BC2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Asthma that was not well controlled, documented by either:</w:t>
            </w:r>
          </w:p>
          <w:p w14:paraId="0012AAE4" w14:textId="77777777" w:rsidR="00094BC2" w:rsidRPr="00B6777E" w:rsidRDefault="00094BC2" w:rsidP="00094BC2">
            <w:pPr>
              <w:pStyle w:val="ListParagraph"/>
              <w:numPr>
                <w:ilvl w:val="1"/>
                <w:numId w:val="1"/>
              </w:numPr>
              <w:pBdr>
                <w:bottom w:val="single" w:sz="4" w:space="1" w:color="auto"/>
              </w:pBd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an ACQ-6 ≥1.5 at screening</w:t>
            </w:r>
            <w:r>
              <w:rPr>
                <w:rFonts w:ascii="Arial" w:hAnsi="Arial" w:cs="Arial"/>
                <w:b w:val="0"/>
                <w:bCs w:val="0"/>
                <w:lang w:val="en-US"/>
              </w:rPr>
              <w:t xml:space="preserve"> or randomization</w:t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, OR</w:t>
            </w:r>
          </w:p>
          <w:p w14:paraId="6732AA44" w14:textId="77777777" w:rsidR="00094BC2" w:rsidRPr="00B6777E" w:rsidRDefault="00094BC2" w:rsidP="00094BC2">
            <w:pPr>
              <w:pStyle w:val="ListParagraph"/>
              <w:numPr>
                <w:ilvl w:val="1"/>
                <w:numId w:val="1"/>
              </w:numPr>
              <w:pBdr>
                <w:bottom w:val="single" w:sz="4" w:space="1" w:color="auto"/>
                <w:between w:val="single" w:sz="4" w:space="1" w:color="auto"/>
              </w:pBd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one or more exacerbations that required oral or systemic corticosteroids within 12 months of screening, or an exacerbation that resulted in inpatient hospitalization for ≥24 hours within 12 months of screening</w:t>
            </w:r>
          </w:p>
          <w:p w14:paraId="1DBAF0D0" w14:textId="77777777" w:rsidR="00094BC2" w:rsidRPr="00B6777E" w:rsidRDefault="00094BC2" w:rsidP="00094BC2">
            <w:pPr>
              <w:pStyle w:val="ListParagraph"/>
              <w:numPr>
                <w:ilvl w:val="0"/>
                <w:numId w:val="1"/>
              </w:numPr>
              <w:pBdr>
                <w:bottom w:val="single" w:sz="4" w:space="1" w:color="auto"/>
                <w:between w:val="single" w:sz="4" w:space="1" w:color="auto"/>
              </w:pBd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lastRenderedPageBreak/>
              <w:t xml:space="preserve">The patient or caregiver must have been willing and able to administer the study drug and the caregiver must </w:t>
            </w:r>
            <w:proofErr w:type="gramStart"/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be have</w:t>
            </w:r>
            <w:proofErr w:type="gramEnd"/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 xml:space="preserve"> been at least 21 years old at screening.</w:t>
            </w:r>
          </w:p>
        </w:tc>
      </w:tr>
      <w:tr w:rsidR="00094BC2" w:rsidRPr="00B6777E" w14:paraId="1787BC8F" w14:textId="77777777" w:rsidTr="0037722F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2" w:type="dxa"/>
            <w:tcBorders>
              <w:bottom w:val="single" w:sz="4" w:space="0" w:color="auto"/>
            </w:tcBorders>
          </w:tcPr>
          <w:p w14:paraId="6862208D" w14:textId="77777777" w:rsidR="00094BC2" w:rsidRPr="00A43F98" w:rsidRDefault="00094BC2" w:rsidP="0037722F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A43F98">
              <w:rPr>
                <w:rFonts w:ascii="Arial" w:hAnsi="Arial" w:cs="Arial"/>
                <w:lang w:val="en-US"/>
              </w:rPr>
              <w:lastRenderedPageBreak/>
              <w:t>Exclusion criteria</w:t>
            </w:r>
          </w:p>
        </w:tc>
      </w:tr>
      <w:tr w:rsidR="00094BC2" w:rsidRPr="00B6777E" w14:paraId="1670FD05" w14:textId="77777777" w:rsidTr="00377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82" w:type="dxa"/>
            <w:tcBorders>
              <w:bottom w:val="single" w:sz="4" w:space="0" w:color="auto"/>
            </w:tcBorders>
          </w:tcPr>
          <w:p w14:paraId="4D596CAD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Any disorder that could, in the opinion of the investigator, affect the safety of the patient or influence study findings</w:t>
            </w:r>
          </w:p>
          <w:p w14:paraId="7AAB018F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Any clinically relevant abnormal findings in physical examination</w:t>
            </w:r>
            <w:r>
              <w:rPr>
                <w:rFonts w:ascii="Arial" w:hAnsi="Arial" w:cs="Arial"/>
                <w:b w:val="0"/>
                <w:bCs w:val="0"/>
                <w:lang w:val="en-US"/>
              </w:rPr>
              <w:t xml:space="preserve"> results</w:t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, electrocardiogram, vital signs, hematology, clinical chemistr</w:t>
            </w:r>
            <w:r>
              <w:rPr>
                <w:rFonts w:ascii="Arial" w:hAnsi="Arial" w:cs="Arial"/>
                <w:b w:val="0"/>
                <w:bCs w:val="0"/>
                <w:lang w:val="en-US"/>
              </w:rPr>
              <w:t>y</w:t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 xml:space="preserve"> or urinalysis during screening that could, in the opinion of the investigator, affect the safety of the patient or influence study findings</w:t>
            </w:r>
          </w:p>
          <w:p w14:paraId="0D67CD8D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Hypersensitivity to tezepelumab or any excipients of tezepelumab</w:t>
            </w:r>
          </w:p>
          <w:p w14:paraId="624564C6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History of anaphylactic reaction to any biologic therapy</w:t>
            </w:r>
          </w:p>
          <w:p w14:paraId="1B37F5DF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Helminth or parasitic infection diagnosed in the 6 months before screening that had not been treated with, or was unresponsive to, standard-of-care therapy</w:t>
            </w:r>
          </w:p>
          <w:p w14:paraId="4CE01BBE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 xml:space="preserve">An acute upper or lower respiratory </w:t>
            </w:r>
            <w:r>
              <w:rPr>
                <w:rFonts w:ascii="Arial" w:hAnsi="Arial" w:cs="Arial"/>
                <w:b w:val="0"/>
                <w:bCs w:val="0"/>
                <w:lang w:val="en-US"/>
              </w:rPr>
              <w:t xml:space="preserve">tract </w:t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infection requiring antibiotics or antiviral medication in the 2 weeks before screening</w:t>
            </w:r>
          </w:p>
          <w:p w14:paraId="4C95168C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History of cancer, Guillain</w:t>
            </w:r>
            <w:r>
              <w:rPr>
                <w:rFonts w:ascii="Arial" w:hAnsi="Arial" w:cs="Arial"/>
                <w:b w:val="0"/>
                <w:bCs w:val="0"/>
                <w:lang w:val="en-US"/>
              </w:rPr>
              <w:t>–</w:t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Barré syndrome, hepatitis B or C, immunodeficiency disorder, thrombocytopenia, use of anticoagulants</w:t>
            </w:r>
            <w:r>
              <w:rPr>
                <w:rFonts w:ascii="Arial" w:hAnsi="Arial" w:cs="Arial"/>
                <w:b w:val="0"/>
                <w:bCs w:val="0"/>
                <w:lang w:val="en-US"/>
              </w:rPr>
              <w:t xml:space="preserve"> or</w:t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 xml:space="preserve"> tuberculosis </w:t>
            </w:r>
          </w:p>
          <w:p w14:paraId="0E8EE07D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History of chronic alcohol or drug abuse ≤12 months before screening or positive screen for drug abuse at screening or on the day before dosing</w:t>
            </w:r>
          </w:p>
          <w:p w14:paraId="1A46D6E8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Evidence of active liver disease</w:t>
            </w:r>
          </w:p>
          <w:p w14:paraId="2AAF3E4D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lastRenderedPageBreak/>
              <w:t>Receipt of any marketed or investigational biologic agent in the 4 months or 5 half-lives (whichever is longer) before screening</w:t>
            </w:r>
          </w:p>
          <w:p w14:paraId="1FF5D668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Use of drugs with enzyme-inducing properties (</w:t>
            </w:r>
            <w:proofErr w:type="spellStart"/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eg</w:t>
            </w:r>
            <w:proofErr w:type="spellEnd"/>
            <w:r>
              <w:rPr>
                <w:rFonts w:ascii="Arial" w:hAnsi="Arial" w:cs="Arial"/>
                <w:b w:val="0"/>
                <w:bCs w:val="0"/>
                <w:lang w:val="en-US"/>
              </w:rPr>
              <w:t>,</w:t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 xml:space="preserve"> St John’s Wort) in the 3 weeks before day 1, or use of any prescribed or non-prescribed medication (</w:t>
            </w:r>
            <w:proofErr w:type="spellStart"/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eg</w:t>
            </w:r>
            <w:proofErr w:type="spellEnd"/>
            <w:r>
              <w:rPr>
                <w:rFonts w:ascii="Arial" w:hAnsi="Arial" w:cs="Arial"/>
                <w:b w:val="0"/>
                <w:bCs w:val="0"/>
                <w:lang w:val="en-US"/>
              </w:rPr>
              <w:t>,</w:t>
            </w: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 xml:space="preserve"> antacids, analgesics, herbal remedies, mega-dose vitamins and minerals) during the 2 weeks before administration of tezepelumab </w:t>
            </w:r>
          </w:p>
          <w:p w14:paraId="352F23BB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Individuals who had previously received tezepelumab</w:t>
            </w:r>
          </w:p>
          <w:p w14:paraId="6C7A8F81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Current smokers or those who had smoked or used nicotine products including e-cigarettes in the 3 months before screening, as judged by the investigator</w:t>
            </w:r>
          </w:p>
          <w:p w14:paraId="34E02826" w14:textId="77777777" w:rsidR="00094BC2" w:rsidRPr="00B6777E" w:rsidRDefault="00094BC2" w:rsidP="00094BC2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Pregnant, breastfeeding or lactating women</w:t>
            </w:r>
          </w:p>
        </w:tc>
      </w:tr>
    </w:tbl>
    <w:p w14:paraId="07A759AC" w14:textId="77777777" w:rsidR="00094BC2" w:rsidRPr="00B6777E" w:rsidRDefault="00094BC2" w:rsidP="00094BC2">
      <w:pPr>
        <w:spacing w:after="0" w:line="480" w:lineRule="auto"/>
        <w:rPr>
          <w:rFonts w:ascii="Arial" w:hAnsi="Arial" w:cs="Arial"/>
          <w:lang w:val="en-US"/>
        </w:rPr>
        <w:sectPr w:rsidR="00094BC2" w:rsidRPr="00B6777E" w:rsidSect="00E351F5">
          <w:pgSz w:w="16838" w:h="11906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  <w:r w:rsidRPr="000C1C57">
        <w:rPr>
          <w:rFonts w:ascii="Arial" w:hAnsi="Arial" w:cs="Arial"/>
          <w:b/>
          <w:bCs/>
          <w:lang w:val="en-US"/>
        </w:rPr>
        <w:lastRenderedPageBreak/>
        <w:t>Abbreviations:</w:t>
      </w:r>
      <w:r>
        <w:rPr>
          <w:rFonts w:ascii="Arial" w:hAnsi="Arial" w:cs="Arial"/>
          <w:lang w:val="en-US"/>
        </w:rPr>
        <w:t xml:space="preserve"> </w:t>
      </w:r>
      <w:r w:rsidRPr="00B6777E">
        <w:rPr>
          <w:rFonts w:ascii="Arial" w:hAnsi="Arial" w:cs="Arial"/>
          <w:lang w:val="en-US"/>
        </w:rPr>
        <w:t>ACQ</w:t>
      </w:r>
      <w:r>
        <w:rPr>
          <w:rFonts w:ascii="Arial" w:hAnsi="Arial" w:cs="Arial"/>
          <w:lang w:val="en-US"/>
        </w:rPr>
        <w:t>-6</w:t>
      </w:r>
      <w:r w:rsidRPr="00B6777E">
        <w:rPr>
          <w:rFonts w:ascii="Arial" w:hAnsi="Arial" w:cs="Arial"/>
          <w:lang w:val="en-US"/>
        </w:rPr>
        <w:t>, Asthma Control Questionnaire; FEV</w:t>
      </w:r>
      <w:r w:rsidRPr="00B6777E">
        <w:rPr>
          <w:rFonts w:ascii="Arial" w:hAnsi="Arial" w:cs="Arial"/>
          <w:vertAlign w:val="subscript"/>
          <w:lang w:val="en-US"/>
        </w:rPr>
        <w:t>1</w:t>
      </w:r>
      <w:r w:rsidRPr="00B6777E">
        <w:rPr>
          <w:rFonts w:ascii="Arial" w:hAnsi="Arial" w:cs="Arial"/>
          <w:lang w:val="en-US"/>
        </w:rPr>
        <w:t>, forced expiratory volume in 1 second; GINA, Global Initiative for Asthma; ICS, inhaled corticosteroids</w:t>
      </w:r>
      <w:r>
        <w:rPr>
          <w:rFonts w:ascii="Arial" w:hAnsi="Arial" w:cs="Arial"/>
          <w:lang w:val="en-US"/>
        </w:rPr>
        <w:t>.</w:t>
      </w:r>
    </w:p>
    <w:p w14:paraId="3A27DF72" w14:textId="77777777" w:rsidR="00094BC2" w:rsidRPr="00B6777E" w:rsidRDefault="00094BC2" w:rsidP="00094BC2">
      <w:pPr>
        <w:spacing w:after="0" w:line="48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Supplementary </w:t>
      </w:r>
      <w:r w:rsidRPr="00B6777E">
        <w:rPr>
          <w:rFonts w:ascii="Arial" w:hAnsi="Arial" w:cs="Arial"/>
          <w:b/>
          <w:bCs/>
          <w:lang w:val="en-US"/>
        </w:rPr>
        <w:t xml:space="preserve">Table 2 </w:t>
      </w:r>
      <w:r w:rsidRPr="00A43F98">
        <w:rPr>
          <w:rFonts w:ascii="Arial" w:hAnsi="Arial" w:cs="Arial"/>
          <w:lang w:val="en-US"/>
        </w:rPr>
        <w:t xml:space="preserve">Questions </w:t>
      </w:r>
      <w:r>
        <w:rPr>
          <w:rFonts w:ascii="Arial" w:hAnsi="Arial" w:cs="Arial"/>
          <w:lang w:val="en-US"/>
        </w:rPr>
        <w:t>P</w:t>
      </w:r>
      <w:r w:rsidRPr="00A43F98">
        <w:rPr>
          <w:rFonts w:ascii="Arial" w:hAnsi="Arial" w:cs="Arial"/>
          <w:lang w:val="en-US"/>
        </w:rPr>
        <w:t xml:space="preserve">rovided to HCPs, </w:t>
      </w:r>
      <w:r>
        <w:rPr>
          <w:rFonts w:ascii="Arial" w:hAnsi="Arial" w:cs="Arial"/>
          <w:lang w:val="en-US"/>
        </w:rPr>
        <w:t>P</w:t>
      </w:r>
      <w:r w:rsidRPr="00A43F98">
        <w:rPr>
          <w:rFonts w:ascii="Arial" w:hAnsi="Arial" w:cs="Arial"/>
          <w:lang w:val="en-US"/>
        </w:rPr>
        <w:t xml:space="preserve">atients and </w:t>
      </w:r>
      <w:r>
        <w:rPr>
          <w:rFonts w:ascii="Arial" w:hAnsi="Arial" w:cs="Arial"/>
          <w:lang w:val="en-US"/>
        </w:rPr>
        <w:t>C</w:t>
      </w:r>
      <w:r w:rsidRPr="00A43F98">
        <w:rPr>
          <w:rFonts w:ascii="Arial" w:hAnsi="Arial" w:cs="Arial"/>
          <w:lang w:val="en-US"/>
        </w:rPr>
        <w:t xml:space="preserve">aregivers on </w:t>
      </w:r>
      <w:r>
        <w:rPr>
          <w:rFonts w:ascii="Arial" w:hAnsi="Arial" w:cs="Arial"/>
          <w:lang w:val="en-US"/>
        </w:rPr>
        <w:t>U</w:t>
      </w:r>
      <w:r w:rsidRPr="00A43F98">
        <w:rPr>
          <w:rFonts w:ascii="Arial" w:hAnsi="Arial" w:cs="Arial"/>
          <w:lang w:val="en-US"/>
        </w:rPr>
        <w:t xml:space="preserve">se of the APFS and AI to </w:t>
      </w:r>
      <w:r>
        <w:rPr>
          <w:rFonts w:ascii="Arial" w:hAnsi="Arial" w:cs="Arial"/>
          <w:lang w:val="en-US"/>
        </w:rPr>
        <w:t>A</w:t>
      </w:r>
      <w:r w:rsidRPr="00A43F98">
        <w:rPr>
          <w:rFonts w:ascii="Arial" w:hAnsi="Arial" w:cs="Arial"/>
          <w:lang w:val="en-US"/>
        </w:rPr>
        <w:t xml:space="preserve">dminister </w:t>
      </w:r>
      <w:r>
        <w:rPr>
          <w:rFonts w:ascii="Arial" w:hAnsi="Arial" w:cs="Arial"/>
          <w:lang w:val="en-US"/>
        </w:rPr>
        <w:t>T</w:t>
      </w:r>
      <w:r w:rsidRPr="00A43F98">
        <w:rPr>
          <w:rFonts w:ascii="Arial" w:hAnsi="Arial" w:cs="Arial"/>
          <w:lang w:val="en-US"/>
        </w:rPr>
        <w:t>ezepelumab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2324"/>
        <w:gridCol w:w="2325"/>
        <w:gridCol w:w="4650"/>
      </w:tblGrid>
      <w:tr w:rsidR="00094BC2" w:rsidRPr="00B6777E" w14:paraId="3B1254B7" w14:textId="77777777" w:rsidTr="0037722F">
        <w:tc>
          <w:tcPr>
            <w:tcW w:w="4649" w:type="dxa"/>
            <w:vMerge w:val="restart"/>
            <w:vAlign w:val="center"/>
          </w:tcPr>
          <w:p w14:paraId="26B3E897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B6777E">
              <w:rPr>
                <w:rFonts w:ascii="Arial" w:hAnsi="Arial" w:cs="Arial"/>
                <w:b/>
                <w:bCs/>
                <w:lang w:val="en-US"/>
              </w:rPr>
              <w:t>Question</w:t>
            </w:r>
          </w:p>
        </w:tc>
        <w:tc>
          <w:tcPr>
            <w:tcW w:w="4649" w:type="dxa"/>
            <w:gridSpan w:val="2"/>
          </w:tcPr>
          <w:p w14:paraId="5EEEA9F7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B6777E">
              <w:rPr>
                <w:rFonts w:ascii="Arial" w:hAnsi="Arial" w:cs="Arial"/>
                <w:b/>
                <w:bCs/>
                <w:lang w:val="en-US"/>
              </w:rPr>
              <w:t>Response</w:t>
            </w:r>
          </w:p>
        </w:tc>
        <w:tc>
          <w:tcPr>
            <w:tcW w:w="4650" w:type="dxa"/>
            <w:vMerge w:val="restart"/>
            <w:vAlign w:val="center"/>
          </w:tcPr>
          <w:p w14:paraId="04FB6304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B6777E">
              <w:rPr>
                <w:rFonts w:ascii="Arial" w:hAnsi="Arial" w:cs="Arial"/>
                <w:b/>
                <w:bCs/>
                <w:lang w:val="en-US"/>
              </w:rPr>
              <w:t>If the answer was no, please explain</w:t>
            </w:r>
          </w:p>
        </w:tc>
      </w:tr>
      <w:tr w:rsidR="00094BC2" w:rsidRPr="00B6777E" w14:paraId="6A662B62" w14:textId="77777777" w:rsidTr="0037722F">
        <w:tc>
          <w:tcPr>
            <w:tcW w:w="4649" w:type="dxa"/>
            <w:vMerge/>
            <w:vAlign w:val="center"/>
          </w:tcPr>
          <w:p w14:paraId="4948B62A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324" w:type="dxa"/>
          </w:tcPr>
          <w:p w14:paraId="05814041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B6777E">
              <w:rPr>
                <w:rFonts w:ascii="Arial" w:hAnsi="Arial" w:cs="Arial"/>
                <w:b/>
                <w:bCs/>
                <w:lang w:val="en-US"/>
              </w:rPr>
              <w:t>Yes</w:t>
            </w:r>
          </w:p>
        </w:tc>
        <w:tc>
          <w:tcPr>
            <w:tcW w:w="2325" w:type="dxa"/>
          </w:tcPr>
          <w:p w14:paraId="4A8AACAB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B6777E">
              <w:rPr>
                <w:rFonts w:ascii="Arial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4650" w:type="dxa"/>
            <w:vMerge/>
          </w:tcPr>
          <w:p w14:paraId="450EF8A8" w14:textId="77777777" w:rsidR="00094BC2" w:rsidRPr="00B6777E" w:rsidRDefault="00094BC2" w:rsidP="0037722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94BC2" w:rsidRPr="00B6777E" w14:paraId="31D9F2D5" w14:textId="77777777" w:rsidTr="0037722F">
        <w:tc>
          <w:tcPr>
            <w:tcW w:w="4649" w:type="dxa"/>
          </w:tcPr>
          <w:p w14:paraId="6C9B2D15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Were you able to inspect the syringe contents?</w:t>
            </w:r>
          </w:p>
        </w:tc>
        <w:tc>
          <w:tcPr>
            <w:tcW w:w="2324" w:type="dxa"/>
          </w:tcPr>
          <w:p w14:paraId="181D80B5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325" w:type="dxa"/>
          </w:tcPr>
          <w:p w14:paraId="3EDF5FD1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50" w:type="dxa"/>
          </w:tcPr>
          <w:p w14:paraId="1A6BBA62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94BC2" w:rsidRPr="00B6777E" w14:paraId="3FBAB154" w14:textId="77777777" w:rsidTr="0037722F">
        <w:tc>
          <w:tcPr>
            <w:tcW w:w="4649" w:type="dxa"/>
          </w:tcPr>
          <w:p w14:paraId="114595D2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Were you able to perform the injection?</w:t>
            </w:r>
          </w:p>
        </w:tc>
        <w:tc>
          <w:tcPr>
            <w:tcW w:w="2324" w:type="dxa"/>
          </w:tcPr>
          <w:p w14:paraId="359154DC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325" w:type="dxa"/>
          </w:tcPr>
          <w:p w14:paraId="23713EE9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50" w:type="dxa"/>
          </w:tcPr>
          <w:p w14:paraId="4A8732F5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94BC2" w:rsidRPr="00B6777E" w14:paraId="471331C9" w14:textId="77777777" w:rsidTr="0037722F">
        <w:tc>
          <w:tcPr>
            <w:tcW w:w="4649" w:type="dxa"/>
          </w:tcPr>
          <w:p w14:paraId="7831B290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Were you able to fully depress the plunger during injection?</w:t>
            </w:r>
          </w:p>
        </w:tc>
        <w:tc>
          <w:tcPr>
            <w:tcW w:w="2324" w:type="dxa"/>
          </w:tcPr>
          <w:p w14:paraId="259C305B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325" w:type="dxa"/>
          </w:tcPr>
          <w:p w14:paraId="73F7D837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50" w:type="dxa"/>
          </w:tcPr>
          <w:p w14:paraId="062EA8ED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94BC2" w:rsidRPr="00B6777E" w14:paraId="4C47AD4F" w14:textId="77777777" w:rsidTr="0037722F">
        <w:tc>
          <w:tcPr>
            <w:tcW w:w="4649" w:type="dxa"/>
          </w:tcPr>
          <w:p w14:paraId="4669D3DF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Were you able to administer the full dose?</w:t>
            </w:r>
          </w:p>
        </w:tc>
        <w:tc>
          <w:tcPr>
            <w:tcW w:w="2324" w:type="dxa"/>
          </w:tcPr>
          <w:p w14:paraId="64F1E268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325" w:type="dxa"/>
          </w:tcPr>
          <w:p w14:paraId="2E87AC2A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50" w:type="dxa"/>
          </w:tcPr>
          <w:p w14:paraId="25E48ED1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094BC2" w:rsidRPr="00B6777E" w14:paraId="7040FC62" w14:textId="77777777" w:rsidTr="0037722F">
        <w:tc>
          <w:tcPr>
            <w:tcW w:w="4649" w:type="dxa"/>
          </w:tcPr>
          <w:p w14:paraId="74D0912E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Were you able to activate the needle safety guard?</w:t>
            </w:r>
          </w:p>
        </w:tc>
        <w:tc>
          <w:tcPr>
            <w:tcW w:w="2324" w:type="dxa"/>
          </w:tcPr>
          <w:p w14:paraId="005E779E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325" w:type="dxa"/>
          </w:tcPr>
          <w:p w14:paraId="431F9D13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650" w:type="dxa"/>
          </w:tcPr>
          <w:p w14:paraId="2ED9AFFB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081F3164" w14:textId="77777777" w:rsidR="00094BC2" w:rsidRPr="00B6777E" w:rsidRDefault="00094BC2" w:rsidP="00094BC2">
      <w:pPr>
        <w:spacing w:after="0" w:line="480" w:lineRule="auto"/>
        <w:rPr>
          <w:rFonts w:ascii="Arial" w:hAnsi="Arial" w:cs="Arial"/>
          <w:lang w:val="en-US"/>
        </w:rPr>
        <w:sectPr w:rsidR="00094BC2" w:rsidRPr="00B6777E" w:rsidSect="00E351F5">
          <w:pgSz w:w="16838" w:h="11906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  <w:r w:rsidRPr="000C1C57">
        <w:rPr>
          <w:rFonts w:ascii="Arial" w:hAnsi="Arial" w:cs="Arial"/>
          <w:b/>
          <w:bCs/>
          <w:lang w:val="en-US"/>
        </w:rPr>
        <w:t>Abbreviations:</w:t>
      </w:r>
      <w:r>
        <w:rPr>
          <w:rFonts w:ascii="Arial" w:hAnsi="Arial" w:cs="Arial"/>
          <w:lang w:val="en-US"/>
        </w:rPr>
        <w:t xml:space="preserve"> </w:t>
      </w:r>
      <w:r w:rsidRPr="00B6777E">
        <w:rPr>
          <w:rFonts w:ascii="Arial" w:hAnsi="Arial" w:cs="Arial"/>
          <w:lang w:val="en-US"/>
        </w:rPr>
        <w:t>AI, autoinjector; APFS, accessorized pre</w:t>
      </w:r>
      <w:r>
        <w:rPr>
          <w:rFonts w:ascii="Arial" w:hAnsi="Arial" w:cs="Arial"/>
          <w:lang w:val="en-US"/>
        </w:rPr>
        <w:t>-</w:t>
      </w:r>
      <w:r w:rsidRPr="00B6777E">
        <w:rPr>
          <w:rFonts w:ascii="Arial" w:hAnsi="Arial" w:cs="Arial"/>
          <w:lang w:val="en-US"/>
        </w:rPr>
        <w:t>filled syringe;</w:t>
      </w:r>
      <w:r w:rsidRPr="00B6777E">
        <w:rPr>
          <w:rFonts w:ascii="Arial" w:hAnsi="Arial" w:cs="Arial"/>
          <w:b/>
          <w:bCs/>
          <w:lang w:val="en-US"/>
        </w:rPr>
        <w:t xml:space="preserve"> </w:t>
      </w:r>
      <w:r w:rsidRPr="00B6777E">
        <w:rPr>
          <w:rFonts w:ascii="Arial" w:hAnsi="Arial" w:cs="Arial"/>
          <w:lang w:val="en-US"/>
        </w:rPr>
        <w:t>HCP, healthcare professional</w:t>
      </w:r>
      <w:r>
        <w:rPr>
          <w:rFonts w:ascii="Arial" w:hAnsi="Arial" w:cs="Arial"/>
          <w:lang w:val="en-US"/>
        </w:rPr>
        <w:t>.</w:t>
      </w:r>
    </w:p>
    <w:p w14:paraId="2FB6917C" w14:textId="77777777" w:rsidR="00094BC2" w:rsidRPr="00B6777E" w:rsidRDefault="00094BC2" w:rsidP="00094BC2">
      <w:pPr>
        <w:spacing w:after="0" w:line="48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Supplementary </w:t>
      </w:r>
      <w:r w:rsidRPr="00B6777E">
        <w:rPr>
          <w:rFonts w:ascii="Arial" w:hAnsi="Arial" w:cs="Arial"/>
          <w:b/>
          <w:bCs/>
          <w:lang w:val="en-US"/>
        </w:rPr>
        <w:t xml:space="preserve">Table 3 </w:t>
      </w:r>
      <w:r w:rsidRPr="00A73D80">
        <w:rPr>
          <w:rFonts w:ascii="Arial" w:hAnsi="Arial" w:cs="Arial"/>
          <w:lang w:val="en-US"/>
        </w:rPr>
        <w:t xml:space="preserve">Serum </w:t>
      </w:r>
      <w:r>
        <w:rPr>
          <w:rFonts w:ascii="Arial" w:hAnsi="Arial" w:cs="Arial"/>
          <w:lang w:val="en-US"/>
        </w:rPr>
        <w:t>C</w:t>
      </w:r>
      <w:r w:rsidRPr="00A73D80">
        <w:rPr>
          <w:rFonts w:ascii="Arial" w:hAnsi="Arial" w:cs="Arial"/>
          <w:lang w:val="en-US"/>
        </w:rPr>
        <w:t xml:space="preserve">oncentrations of </w:t>
      </w:r>
      <w:r>
        <w:rPr>
          <w:rFonts w:ascii="Arial" w:hAnsi="Arial" w:cs="Arial"/>
          <w:lang w:val="en-US"/>
        </w:rPr>
        <w:t>T</w:t>
      </w:r>
      <w:r w:rsidRPr="00A73D80">
        <w:rPr>
          <w:rFonts w:ascii="Arial" w:hAnsi="Arial" w:cs="Arial"/>
          <w:lang w:val="en-US"/>
        </w:rPr>
        <w:t xml:space="preserve">ezepelumab </w:t>
      </w:r>
      <w:r>
        <w:rPr>
          <w:rFonts w:ascii="Arial" w:hAnsi="Arial" w:cs="Arial"/>
          <w:lang w:val="en-US"/>
        </w:rPr>
        <w:t>A</w:t>
      </w:r>
      <w:r w:rsidRPr="00A73D80">
        <w:rPr>
          <w:rFonts w:ascii="Arial" w:hAnsi="Arial" w:cs="Arial"/>
          <w:lang w:val="en-US"/>
        </w:rPr>
        <w:t xml:space="preserve">dministered </w:t>
      </w:r>
      <w:r>
        <w:rPr>
          <w:rFonts w:ascii="Arial" w:hAnsi="Arial" w:cs="Arial"/>
          <w:lang w:val="en-US"/>
        </w:rPr>
        <w:t>V</w:t>
      </w:r>
      <w:r w:rsidRPr="00A73D80">
        <w:rPr>
          <w:rFonts w:ascii="Arial" w:hAnsi="Arial" w:cs="Arial"/>
          <w:lang w:val="en-US"/>
        </w:rPr>
        <w:t>ia APFS and AI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977"/>
        <w:gridCol w:w="3504"/>
        <w:gridCol w:w="3504"/>
        <w:gridCol w:w="3505"/>
      </w:tblGrid>
      <w:tr w:rsidR="00094BC2" w:rsidRPr="00B6777E" w14:paraId="593EA8E1" w14:textId="77777777" w:rsidTr="00377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9F818D1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lang w:val="en-US"/>
              </w:rPr>
            </w:pPr>
            <w:bookmarkStart w:id="0" w:name="_Hlk55381305"/>
            <w:r w:rsidRPr="00B6777E">
              <w:rPr>
                <w:rFonts w:ascii="Arial" w:hAnsi="Arial" w:cs="Arial"/>
                <w:lang w:val="en-US"/>
              </w:rPr>
              <w:t xml:space="preserve">Time </w:t>
            </w:r>
            <w:r>
              <w:rPr>
                <w:rFonts w:ascii="Arial" w:hAnsi="Arial" w:cs="Arial"/>
                <w:lang w:val="en-US"/>
              </w:rPr>
              <w:t>P</w:t>
            </w:r>
            <w:r w:rsidRPr="00B6777E">
              <w:rPr>
                <w:rFonts w:ascii="Arial" w:hAnsi="Arial" w:cs="Arial"/>
                <w:lang w:val="en-US"/>
              </w:rPr>
              <w:t>oint</w:t>
            </w:r>
          </w:p>
        </w:tc>
        <w:tc>
          <w:tcPr>
            <w:tcW w:w="3504" w:type="dxa"/>
          </w:tcPr>
          <w:p w14:paraId="0DDCCA71" w14:textId="77777777" w:rsidR="00094BC2" w:rsidRPr="00B6777E" w:rsidRDefault="00094BC2" w:rsidP="0037722F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Parameter</w:t>
            </w:r>
          </w:p>
        </w:tc>
        <w:tc>
          <w:tcPr>
            <w:tcW w:w="3504" w:type="dxa"/>
          </w:tcPr>
          <w:p w14:paraId="6A4F1396" w14:textId="77777777" w:rsidR="00094BC2" w:rsidRPr="00B6777E" w:rsidRDefault="00094BC2" w:rsidP="0037722F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 xml:space="preserve">Tezepelumab 210 mg Q4W </w:t>
            </w:r>
          </w:p>
          <w:p w14:paraId="76AF46B8" w14:textId="77777777" w:rsidR="00094BC2" w:rsidRPr="00B6777E" w:rsidRDefault="00094BC2" w:rsidP="0037722F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</w:t>
            </w:r>
            <w:r w:rsidRPr="00B6777E">
              <w:rPr>
                <w:rFonts w:ascii="Arial" w:hAnsi="Arial" w:cs="Arial"/>
                <w:lang w:val="en-US"/>
              </w:rPr>
              <w:t>ia APFS</w:t>
            </w:r>
          </w:p>
          <w:p w14:paraId="3D38E9E5" w14:textId="77777777" w:rsidR="00094BC2" w:rsidRPr="00B6777E" w:rsidRDefault="00094BC2" w:rsidP="0037722F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(n=111)</w:t>
            </w:r>
          </w:p>
        </w:tc>
        <w:tc>
          <w:tcPr>
            <w:tcW w:w="3505" w:type="dxa"/>
          </w:tcPr>
          <w:p w14:paraId="4B71C324" w14:textId="77777777" w:rsidR="00094BC2" w:rsidRPr="00B6777E" w:rsidRDefault="00094BC2" w:rsidP="0037722F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 xml:space="preserve">Tezepelumab 210 mg Q4W </w:t>
            </w:r>
          </w:p>
          <w:p w14:paraId="66582AD2" w14:textId="77777777" w:rsidR="00094BC2" w:rsidRPr="00B6777E" w:rsidRDefault="00094BC2" w:rsidP="0037722F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</w:t>
            </w:r>
            <w:r w:rsidRPr="00B6777E">
              <w:rPr>
                <w:rFonts w:ascii="Arial" w:hAnsi="Arial" w:cs="Arial"/>
                <w:lang w:val="en-US"/>
              </w:rPr>
              <w:t>ia AI</w:t>
            </w:r>
          </w:p>
          <w:p w14:paraId="5F6FA5F6" w14:textId="77777777" w:rsidR="00094BC2" w:rsidRPr="00B6777E" w:rsidRDefault="00094BC2" w:rsidP="0037722F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(n=1</w:t>
            </w:r>
            <w:r>
              <w:rPr>
                <w:rFonts w:ascii="Arial" w:hAnsi="Arial" w:cs="Arial"/>
                <w:lang w:val="en-US"/>
              </w:rPr>
              <w:t>05</w:t>
            </w:r>
            <w:r w:rsidRPr="00B6777E">
              <w:rPr>
                <w:rFonts w:ascii="Arial" w:hAnsi="Arial" w:cs="Arial"/>
                <w:lang w:val="en-US"/>
              </w:rPr>
              <w:t>)</w:t>
            </w:r>
          </w:p>
        </w:tc>
      </w:tr>
      <w:tr w:rsidR="00094BC2" w:rsidRPr="00B6777E" w14:paraId="02603679" w14:textId="77777777" w:rsidTr="00377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3E1A9C3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Week 4</w:t>
            </w:r>
          </w:p>
        </w:tc>
        <w:tc>
          <w:tcPr>
            <w:tcW w:w="3504" w:type="dxa"/>
          </w:tcPr>
          <w:p w14:paraId="133A7882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n</w:t>
            </w:r>
          </w:p>
          <w:p w14:paraId="452DBE76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Geometric mean (CV,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6777E">
              <w:rPr>
                <w:rFonts w:ascii="Arial" w:hAnsi="Arial" w:cs="Arial"/>
                <w:lang w:val="en-US"/>
              </w:rPr>
              <w:t>%)</w:t>
            </w:r>
            <w:r w:rsidRPr="00B6777E">
              <w:rPr>
                <w:rFonts w:ascii="Arial" w:hAnsi="Arial" w:cs="Arial"/>
                <w:vertAlign w:val="superscript"/>
                <w:lang w:val="en-US"/>
              </w:rPr>
              <w:t>a</w:t>
            </w:r>
            <w:r w:rsidRPr="00B6777E">
              <w:rPr>
                <w:rFonts w:ascii="Arial" w:hAnsi="Arial" w:cs="Arial"/>
                <w:lang w:val="en-US"/>
              </w:rPr>
              <w:t>, µg/mL</w:t>
            </w:r>
          </w:p>
          <w:p w14:paraId="06F0874B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Mean (SD), µg/mL</w:t>
            </w:r>
          </w:p>
          <w:p w14:paraId="5482F43A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Median (min, max), µg/mL</w:t>
            </w:r>
          </w:p>
        </w:tc>
        <w:tc>
          <w:tcPr>
            <w:tcW w:w="3504" w:type="dxa"/>
          </w:tcPr>
          <w:p w14:paraId="3EE046D0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109</w:t>
            </w:r>
          </w:p>
          <w:p w14:paraId="3D096910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11.0 (48.4)</w:t>
            </w:r>
          </w:p>
          <w:p w14:paraId="2D1059F0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12.0 (4.6)</w:t>
            </w:r>
          </w:p>
          <w:p w14:paraId="67571ED5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11.4 (3.1, 23.2)</w:t>
            </w:r>
          </w:p>
        </w:tc>
        <w:tc>
          <w:tcPr>
            <w:tcW w:w="3505" w:type="dxa"/>
          </w:tcPr>
          <w:p w14:paraId="1446B8A2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105</w:t>
            </w:r>
          </w:p>
          <w:p w14:paraId="7825DDDD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10.6 (57.0)</w:t>
            </w:r>
          </w:p>
          <w:p w14:paraId="5FBD5E45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11.8 (5.0)</w:t>
            </w:r>
          </w:p>
          <w:p w14:paraId="7ED667FC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11.5 (0.7</w:t>
            </w:r>
            <w:r>
              <w:rPr>
                <w:rFonts w:ascii="Arial" w:hAnsi="Arial" w:cs="Arial"/>
                <w:lang w:val="en-US"/>
              </w:rPr>
              <w:t>, 30.4</w:t>
            </w:r>
            <w:r w:rsidRPr="00B6777E">
              <w:rPr>
                <w:rFonts w:ascii="Arial" w:hAnsi="Arial" w:cs="Arial"/>
                <w:lang w:val="en-US"/>
              </w:rPr>
              <w:t>)</w:t>
            </w:r>
          </w:p>
        </w:tc>
      </w:tr>
      <w:tr w:rsidR="00094BC2" w:rsidRPr="00B6777E" w14:paraId="68E200EE" w14:textId="77777777" w:rsidTr="0037722F">
        <w:trPr>
          <w:trHeight w:val="1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0166040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Week 20</w:t>
            </w:r>
          </w:p>
        </w:tc>
        <w:tc>
          <w:tcPr>
            <w:tcW w:w="3504" w:type="dxa"/>
          </w:tcPr>
          <w:p w14:paraId="35775C1B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n</w:t>
            </w:r>
          </w:p>
          <w:p w14:paraId="3F155505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Geometric mean (CV,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6777E">
              <w:rPr>
                <w:rFonts w:ascii="Arial" w:hAnsi="Arial" w:cs="Arial"/>
                <w:lang w:val="en-US"/>
              </w:rPr>
              <w:t>%)</w:t>
            </w:r>
            <w:r w:rsidRPr="00B6777E">
              <w:rPr>
                <w:rFonts w:ascii="Arial" w:hAnsi="Arial" w:cs="Arial"/>
                <w:vertAlign w:val="superscript"/>
                <w:lang w:val="en-US"/>
              </w:rPr>
              <w:t>a</w:t>
            </w:r>
            <w:r w:rsidRPr="00B6777E">
              <w:rPr>
                <w:rFonts w:ascii="Arial" w:hAnsi="Arial" w:cs="Arial"/>
                <w:lang w:val="en-US"/>
              </w:rPr>
              <w:t>, µg/mL</w:t>
            </w:r>
          </w:p>
          <w:p w14:paraId="306B7928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Mean (SD), µg/mL</w:t>
            </w:r>
          </w:p>
          <w:p w14:paraId="2613D34B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Median (min, max), µg/mL</w:t>
            </w:r>
          </w:p>
        </w:tc>
        <w:tc>
          <w:tcPr>
            <w:tcW w:w="3504" w:type="dxa"/>
          </w:tcPr>
          <w:p w14:paraId="619D9CF7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108</w:t>
            </w:r>
          </w:p>
          <w:p w14:paraId="769B9CD3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19.0 (69.1)</w:t>
            </w:r>
          </w:p>
          <w:p w14:paraId="4ADC3679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21.9 (10.1)</w:t>
            </w:r>
          </w:p>
          <w:p w14:paraId="7D22A87B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22.0 (0.7, 51.8)</w:t>
            </w:r>
          </w:p>
        </w:tc>
        <w:tc>
          <w:tcPr>
            <w:tcW w:w="3505" w:type="dxa"/>
          </w:tcPr>
          <w:p w14:paraId="35A65F6F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105</w:t>
            </w:r>
          </w:p>
          <w:p w14:paraId="4AA7FCC4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20.3 (56.6)</w:t>
            </w:r>
          </w:p>
          <w:p w14:paraId="2998C412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23.0 (10.7)</w:t>
            </w:r>
          </w:p>
          <w:p w14:paraId="64A6AA59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22.2 (4.0, 56.4)</w:t>
            </w:r>
          </w:p>
        </w:tc>
      </w:tr>
      <w:tr w:rsidR="00094BC2" w:rsidRPr="00B6777E" w14:paraId="24DB560A" w14:textId="77777777" w:rsidTr="00377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14A9A2E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Week 24 (end of treatment)</w:t>
            </w:r>
          </w:p>
        </w:tc>
        <w:tc>
          <w:tcPr>
            <w:tcW w:w="3504" w:type="dxa"/>
          </w:tcPr>
          <w:p w14:paraId="6609A9E1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n</w:t>
            </w:r>
          </w:p>
          <w:p w14:paraId="1BC70E68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Geometric mean (CV,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6777E">
              <w:rPr>
                <w:rFonts w:ascii="Arial" w:hAnsi="Arial" w:cs="Arial"/>
                <w:lang w:val="en-US"/>
              </w:rPr>
              <w:t>%)</w:t>
            </w:r>
            <w:r w:rsidRPr="00B6777E">
              <w:rPr>
                <w:rFonts w:ascii="Arial" w:hAnsi="Arial" w:cs="Arial"/>
                <w:vertAlign w:val="superscript"/>
                <w:lang w:val="en-US"/>
              </w:rPr>
              <w:t>a</w:t>
            </w:r>
            <w:r w:rsidRPr="00B6777E">
              <w:rPr>
                <w:rFonts w:ascii="Arial" w:hAnsi="Arial" w:cs="Arial"/>
                <w:lang w:val="en-US"/>
              </w:rPr>
              <w:t>, µg/mL</w:t>
            </w:r>
          </w:p>
          <w:p w14:paraId="3E807450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Mean (SD), µg/mL</w:t>
            </w:r>
          </w:p>
          <w:p w14:paraId="60FAF44E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Median (min, max), µg/mL</w:t>
            </w:r>
          </w:p>
        </w:tc>
        <w:tc>
          <w:tcPr>
            <w:tcW w:w="3504" w:type="dxa"/>
          </w:tcPr>
          <w:p w14:paraId="167B4CF9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109</w:t>
            </w:r>
          </w:p>
          <w:p w14:paraId="1344B0DF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19.6 (58.3)</w:t>
            </w:r>
          </w:p>
          <w:p w14:paraId="4D420845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22.2 (9.9)</w:t>
            </w:r>
          </w:p>
          <w:p w14:paraId="79440DD0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22.4 (4.3, 49.0)</w:t>
            </w:r>
          </w:p>
        </w:tc>
        <w:tc>
          <w:tcPr>
            <w:tcW w:w="3505" w:type="dxa"/>
          </w:tcPr>
          <w:p w14:paraId="42D2E118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105</w:t>
            </w:r>
          </w:p>
          <w:p w14:paraId="2F122B5D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19.9 (54.3)</w:t>
            </w:r>
          </w:p>
          <w:p w14:paraId="671659DC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22.3 (9.7)</w:t>
            </w:r>
          </w:p>
          <w:p w14:paraId="5F824D46" w14:textId="77777777" w:rsidR="00094BC2" w:rsidRPr="00B6777E" w:rsidRDefault="00094BC2" w:rsidP="0037722F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21.4 (3.0, 46.9)</w:t>
            </w:r>
          </w:p>
        </w:tc>
      </w:tr>
      <w:tr w:rsidR="00094BC2" w:rsidRPr="00B6777E" w14:paraId="43CB8284" w14:textId="77777777" w:rsidTr="0037722F">
        <w:trPr>
          <w:trHeight w:val="1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D808EC9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lastRenderedPageBreak/>
              <w:t xml:space="preserve">Week 36 (final week of </w:t>
            </w:r>
          </w:p>
          <w:p w14:paraId="17F25DA2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B6777E">
              <w:rPr>
                <w:rFonts w:ascii="Arial" w:hAnsi="Arial" w:cs="Arial"/>
                <w:b w:val="0"/>
                <w:bCs w:val="0"/>
                <w:lang w:val="en-US"/>
              </w:rPr>
              <w:t>follow-up)</w:t>
            </w:r>
          </w:p>
        </w:tc>
        <w:tc>
          <w:tcPr>
            <w:tcW w:w="3504" w:type="dxa"/>
          </w:tcPr>
          <w:p w14:paraId="47FED490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n</w:t>
            </w:r>
          </w:p>
          <w:p w14:paraId="162D6172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vertAlign w:val="superscript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Geometric mean (CV,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6777E">
              <w:rPr>
                <w:rFonts w:ascii="Arial" w:hAnsi="Arial" w:cs="Arial"/>
                <w:lang w:val="en-US"/>
              </w:rPr>
              <w:t>%)</w:t>
            </w:r>
            <w:r w:rsidRPr="00B6777E">
              <w:rPr>
                <w:rFonts w:ascii="Arial" w:hAnsi="Arial" w:cs="Arial"/>
                <w:vertAlign w:val="superscript"/>
                <w:lang w:val="en-US"/>
              </w:rPr>
              <w:t>a</w:t>
            </w:r>
            <w:r w:rsidRPr="00B6777E">
              <w:rPr>
                <w:rFonts w:ascii="Arial" w:hAnsi="Arial" w:cs="Arial"/>
                <w:lang w:val="en-US"/>
              </w:rPr>
              <w:t>, µg/mL</w:t>
            </w:r>
          </w:p>
          <w:p w14:paraId="660010AD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Mean (SD), µg/mL</w:t>
            </w:r>
          </w:p>
          <w:p w14:paraId="2B8CBAE1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Median (min, max), µg/mL</w:t>
            </w:r>
          </w:p>
        </w:tc>
        <w:tc>
          <w:tcPr>
            <w:tcW w:w="3504" w:type="dxa"/>
          </w:tcPr>
          <w:p w14:paraId="50EA1125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103</w:t>
            </w:r>
          </w:p>
          <w:p w14:paraId="3EA09641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1.8 (132.3)</w:t>
            </w:r>
          </w:p>
          <w:p w14:paraId="31B0FEFA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2.7 (2.2)</w:t>
            </w:r>
          </w:p>
          <w:p w14:paraId="6E327B9C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2.2 (0.05, 11.8)</w:t>
            </w:r>
          </w:p>
        </w:tc>
        <w:tc>
          <w:tcPr>
            <w:tcW w:w="3505" w:type="dxa"/>
          </w:tcPr>
          <w:p w14:paraId="21BCF1C1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98</w:t>
            </w:r>
          </w:p>
          <w:p w14:paraId="68934A1C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2.1 (115.3)</w:t>
            </w:r>
          </w:p>
          <w:p w14:paraId="758EFB92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2.9 (2.4)</w:t>
            </w:r>
          </w:p>
          <w:p w14:paraId="0956035B" w14:textId="77777777" w:rsidR="00094BC2" w:rsidRPr="00B6777E" w:rsidRDefault="00094BC2" w:rsidP="0037722F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B6777E">
              <w:rPr>
                <w:rFonts w:ascii="Arial" w:hAnsi="Arial" w:cs="Arial"/>
                <w:lang w:val="en-US"/>
              </w:rPr>
              <w:t>2.2 (0.09, 15.9)</w:t>
            </w:r>
          </w:p>
        </w:tc>
      </w:tr>
    </w:tbl>
    <w:bookmarkEnd w:id="0"/>
    <w:p w14:paraId="715ACE3A" w14:textId="77777777" w:rsidR="00094BC2" w:rsidRPr="00B6777E" w:rsidRDefault="00094BC2" w:rsidP="00094BC2">
      <w:pPr>
        <w:spacing w:after="0" w:line="480" w:lineRule="auto"/>
        <w:rPr>
          <w:rFonts w:ascii="Arial" w:hAnsi="Arial" w:cs="Arial"/>
          <w:lang w:val="en-US"/>
        </w:rPr>
      </w:pPr>
      <w:proofErr w:type="spellStart"/>
      <w:r w:rsidRPr="00B6777E">
        <w:rPr>
          <w:rFonts w:ascii="Arial" w:hAnsi="Arial" w:cs="Arial"/>
          <w:vertAlign w:val="superscript"/>
          <w:lang w:val="en-US"/>
        </w:rPr>
        <w:t>a</w:t>
      </w:r>
      <w:r w:rsidRPr="00B6777E">
        <w:rPr>
          <w:rFonts w:ascii="Arial" w:hAnsi="Arial" w:cs="Arial"/>
          <w:lang w:val="en-US"/>
        </w:rPr>
        <w:t>Calculated</w:t>
      </w:r>
      <w:proofErr w:type="spellEnd"/>
      <w:r w:rsidRPr="00B6777E">
        <w:rPr>
          <w:rFonts w:ascii="Arial" w:hAnsi="Arial" w:cs="Arial"/>
          <w:lang w:val="en-US"/>
        </w:rPr>
        <w:t xml:space="preserve"> using log-transformed data.</w:t>
      </w:r>
    </w:p>
    <w:p w14:paraId="43A683D3" w14:textId="77777777" w:rsidR="00094BC2" w:rsidRPr="00B6777E" w:rsidRDefault="00094BC2" w:rsidP="00094BC2">
      <w:pPr>
        <w:spacing w:after="0" w:line="480" w:lineRule="auto"/>
        <w:rPr>
          <w:rFonts w:ascii="Arial" w:hAnsi="Arial" w:cs="Arial"/>
          <w:lang w:val="en-US"/>
        </w:rPr>
      </w:pPr>
      <w:r w:rsidRPr="005F074D">
        <w:rPr>
          <w:rFonts w:ascii="Arial" w:hAnsi="Arial" w:cs="Arial"/>
          <w:b/>
          <w:bCs/>
          <w:lang w:val="en-US"/>
        </w:rPr>
        <w:t>Abbreviations:</w:t>
      </w:r>
      <w:r>
        <w:rPr>
          <w:rFonts w:ascii="Arial" w:hAnsi="Arial" w:cs="Arial"/>
          <w:lang w:val="en-US"/>
        </w:rPr>
        <w:t xml:space="preserve"> </w:t>
      </w:r>
      <w:r w:rsidRPr="00B6777E">
        <w:rPr>
          <w:rFonts w:ascii="Arial" w:hAnsi="Arial" w:cs="Arial"/>
          <w:lang w:val="en-US"/>
        </w:rPr>
        <w:t>AI, autoinjector; APFS accessorized pre</w:t>
      </w:r>
      <w:r>
        <w:rPr>
          <w:rFonts w:ascii="Arial" w:hAnsi="Arial" w:cs="Arial"/>
          <w:lang w:val="en-US"/>
        </w:rPr>
        <w:t>-</w:t>
      </w:r>
      <w:r w:rsidRPr="00B6777E">
        <w:rPr>
          <w:rFonts w:ascii="Arial" w:hAnsi="Arial" w:cs="Arial"/>
          <w:lang w:val="en-US"/>
        </w:rPr>
        <w:t xml:space="preserve">filled syringe; CV, coefficient of variation; </w:t>
      </w:r>
      <w:r>
        <w:rPr>
          <w:rFonts w:ascii="Arial" w:hAnsi="Arial" w:cs="Arial"/>
          <w:lang w:val="en-US"/>
        </w:rPr>
        <w:t xml:space="preserve">max, maximum; min, minimum; </w:t>
      </w:r>
      <w:r w:rsidRPr="00B6777E">
        <w:rPr>
          <w:rFonts w:ascii="Arial" w:hAnsi="Arial" w:cs="Arial"/>
          <w:lang w:val="en-US"/>
        </w:rPr>
        <w:t>Q4W, every 4 weeks; SD, standard deviation</w:t>
      </w:r>
      <w:r>
        <w:rPr>
          <w:rFonts w:ascii="Arial" w:hAnsi="Arial" w:cs="Arial"/>
          <w:lang w:val="en-US"/>
        </w:rPr>
        <w:t>.</w:t>
      </w:r>
    </w:p>
    <w:p w14:paraId="661C2020" w14:textId="77777777" w:rsidR="00094BC2" w:rsidRPr="00B6777E" w:rsidRDefault="00094BC2" w:rsidP="00094BC2">
      <w:pPr>
        <w:spacing w:after="0" w:line="480" w:lineRule="auto"/>
        <w:rPr>
          <w:rFonts w:ascii="Arial" w:hAnsi="Arial" w:cs="Arial"/>
          <w:lang w:val="en-US"/>
        </w:rPr>
        <w:sectPr w:rsidR="00094BC2" w:rsidRPr="00B6777E" w:rsidSect="00E351F5">
          <w:pgSz w:w="16838" w:h="11906" w:orient="landscape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600949BC" w14:textId="77777777" w:rsidR="00094BC2" w:rsidRPr="00B6777E" w:rsidRDefault="00094BC2" w:rsidP="00094BC2">
      <w:pPr>
        <w:spacing w:after="0" w:line="48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lastRenderedPageBreak/>
        <w:t xml:space="preserve">Supplementary </w:t>
      </w:r>
      <w:r w:rsidRPr="00B6777E">
        <w:rPr>
          <w:rFonts w:ascii="Arial" w:hAnsi="Arial" w:cs="Arial"/>
          <w:b/>
          <w:bCs/>
          <w:lang w:val="en-US"/>
        </w:rPr>
        <w:t xml:space="preserve">Table 4 </w:t>
      </w:r>
      <w:r w:rsidRPr="00A73D80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DA</w:t>
      </w:r>
      <w:r w:rsidRPr="00A73D8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R</w:t>
      </w:r>
      <w:r w:rsidRPr="00A73D80">
        <w:rPr>
          <w:rFonts w:ascii="Arial" w:hAnsi="Arial" w:cs="Arial"/>
          <w:lang w:val="en-US"/>
        </w:rPr>
        <w:t xml:space="preserve">esponses to </w:t>
      </w:r>
      <w:r>
        <w:rPr>
          <w:rFonts w:ascii="Arial" w:hAnsi="Arial" w:cs="Arial"/>
          <w:lang w:val="en-US"/>
        </w:rPr>
        <w:t>T</w:t>
      </w:r>
      <w:r w:rsidRPr="00A73D80">
        <w:rPr>
          <w:rFonts w:ascii="Arial" w:hAnsi="Arial" w:cs="Arial"/>
          <w:lang w:val="en-US"/>
        </w:rPr>
        <w:t xml:space="preserve">ezepelumab </w:t>
      </w:r>
      <w:r>
        <w:rPr>
          <w:rFonts w:ascii="Arial" w:hAnsi="Arial" w:cs="Arial"/>
          <w:lang w:val="en-US"/>
        </w:rPr>
        <w:t>A</w:t>
      </w:r>
      <w:r w:rsidRPr="00A73D80">
        <w:rPr>
          <w:rFonts w:ascii="Arial" w:hAnsi="Arial" w:cs="Arial"/>
          <w:lang w:val="en-US"/>
        </w:rPr>
        <w:t xml:space="preserve">dministration </w:t>
      </w:r>
      <w:r>
        <w:rPr>
          <w:rFonts w:ascii="Arial" w:hAnsi="Arial" w:cs="Arial"/>
          <w:lang w:val="en-US"/>
        </w:rPr>
        <w:t>V</w:t>
      </w:r>
      <w:r w:rsidRPr="00A73D80">
        <w:rPr>
          <w:rFonts w:ascii="Arial" w:hAnsi="Arial" w:cs="Arial"/>
          <w:lang w:val="en-US"/>
        </w:rPr>
        <w:t>ia APFS or AI</w:t>
      </w:r>
    </w:p>
    <w:tbl>
      <w:tblPr>
        <w:tblStyle w:val="TableGrid"/>
        <w:tblW w:w="9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284"/>
        <w:gridCol w:w="2815"/>
      </w:tblGrid>
      <w:tr w:rsidR="00094BC2" w:rsidRPr="00B6777E" w14:paraId="679D49AB" w14:textId="77777777" w:rsidTr="0037722F">
        <w:trPr>
          <w:trHeight w:val="706"/>
        </w:trPr>
        <w:tc>
          <w:tcPr>
            <w:tcW w:w="3225" w:type="dxa"/>
            <w:tcBorders>
              <w:top w:val="single" w:sz="4" w:space="0" w:color="auto"/>
              <w:bottom w:val="single" w:sz="4" w:space="0" w:color="auto"/>
            </w:tcBorders>
          </w:tcPr>
          <w:p w14:paraId="5F5E9087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3284" w:type="dxa"/>
            <w:tcBorders>
              <w:top w:val="single" w:sz="4" w:space="0" w:color="auto"/>
              <w:bottom w:val="single" w:sz="4" w:space="0" w:color="auto"/>
            </w:tcBorders>
          </w:tcPr>
          <w:p w14:paraId="49DB8613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6777E">
              <w:rPr>
                <w:rFonts w:ascii="Arial" w:hAnsi="Arial" w:cs="Arial"/>
                <w:b/>
                <w:bCs/>
                <w:szCs w:val="24"/>
                <w:lang w:val="en-US"/>
              </w:rPr>
              <w:t>APFS</w:t>
            </w:r>
          </w:p>
          <w:p w14:paraId="05B36A7C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6777E">
              <w:rPr>
                <w:rFonts w:ascii="Arial" w:hAnsi="Arial" w:cs="Arial"/>
                <w:b/>
                <w:bCs/>
                <w:szCs w:val="24"/>
                <w:lang w:val="en-US"/>
              </w:rPr>
              <w:t>(n=111)</w:t>
            </w:r>
          </w:p>
        </w:tc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</w:tcPr>
          <w:p w14:paraId="4F08D9E2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6777E">
              <w:rPr>
                <w:rFonts w:ascii="Arial" w:hAnsi="Arial" w:cs="Arial"/>
                <w:b/>
                <w:bCs/>
                <w:szCs w:val="24"/>
                <w:lang w:val="en-US"/>
              </w:rPr>
              <w:t>AI</w:t>
            </w:r>
          </w:p>
          <w:p w14:paraId="219B8DD8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B6777E">
              <w:rPr>
                <w:rFonts w:ascii="Arial" w:hAnsi="Arial" w:cs="Arial"/>
                <w:b/>
                <w:bCs/>
                <w:szCs w:val="24"/>
                <w:lang w:val="en-US"/>
              </w:rPr>
              <w:t>(n=105)</w:t>
            </w:r>
          </w:p>
        </w:tc>
      </w:tr>
      <w:tr w:rsidR="00094BC2" w:rsidRPr="00B6777E" w14:paraId="17778EFF" w14:textId="77777777" w:rsidTr="0037722F">
        <w:trPr>
          <w:trHeight w:val="733"/>
        </w:trPr>
        <w:tc>
          <w:tcPr>
            <w:tcW w:w="3225" w:type="dxa"/>
            <w:tcBorders>
              <w:top w:val="single" w:sz="4" w:space="0" w:color="auto"/>
            </w:tcBorders>
          </w:tcPr>
          <w:p w14:paraId="182019CA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Any ADA-positive (ADA prevalence)</w:t>
            </w:r>
            <w:r w:rsidRPr="00B6777E">
              <w:rPr>
                <w:rFonts w:ascii="Arial" w:hAnsi="Arial" w:cs="Arial"/>
                <w:szCs w:val="24"/>
                <w:vertAlign w:val="superscript"/>
                <w:lang w:val="en-US"/>
              </w:rPr>
              <w:t xml:space="preserve">a 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14:paraId="228A06BE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815" w:type="dxa"/>
            <w:tcBorders>
              <w:top w:val="single" w:sz="4" w:space="0" w:color="auto"/>
            </w:tcBorders>
          </w:tcPr>
          <w:p w14:paraId="24316EE2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94BC2" w:rsidRPr="00B6777E" w14:paraId="0D29D40F" w14:textId="77777777" w:rsidTr="0037722F">
        <w:trPr>
          <w:trHeight w:val="378"/>
        </w:trPr>
        <w:tc>
          <w:tcPr>
            <w:tcW w:w="3225" w:type="dxa"/>
          </w:tcPr>
          <w:p w14:paraId="60B59DA2" w14:textId="77777777" w:rsidR="00094BC2" w:rsidRPr="00B6777E" w:rsidRDefault="00094BC2" w:rsidP="0037722F">
            <w:pPr>
              <w:spacing w:line="480" w:lineRule="auto"/>
              <w:ind w:left="180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n/N (%)</w:t>
            </w:r>
          </w:p>
        </w:tc>
        <w:tc>
          <w:tcPr>
            <w:tcW w:w="3284" w:type="dxa"/>
          </w:tcPr>
          <w:p w14:paraId="326D3741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2/111 (1.8)</w:t>
            </w:r>
          </w:p>
        </w:tc>
        <w:tc>
          <w:tcPr>
            <w:tcW w:w="2815" w:type="dxa"/>
          </w:tcPr>
          <w:p w14:paraId="22ED8591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11/105 (10.5)</w:t>
            </w:r>
          </w:p>
        </w:tc>
      </w:tr>
      <w:tr w:rsidR="00094BC2" w:rsidRPr="00B6777E" w14:paraId="70577B01" w14:textId="77777777" w:rsidTr="0037722F">
        <w:trPr>
          <w:trHeight w:val="886"/>
        </w:trPr>
        <w:tc>
          <w:tcPr>
            <w:tcW w:w="3225" w:type="dxa"/>
          </w:tcPr>
          <w:p w14:paraId="18B908C3" w14:textId="77777777" w:rsidR="00094BC2" w:rsidRPr="00B6777E" w:rsidRDefault="00094BC2" w:rsidP="0037722F">
            <w:pPr>
              <w:spacing w:line="480" w:lineRule="auto"/>
              <w:ind w:left="180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Maximum titer</w:t>
            </w:r>
            <w:r>
              <w:rPr>
                <w:rFonts w:ascii="Arial" w:hAnsi="Arial" w:cs="Arial"/>
                <w:szCs w:val="24"/>
                <w:lang w:val="en-US"/>
              </w:rPr>
              <w:t>,</w:t>
            </w:r>
            <w:r w:rsidRPr="00B6777E">
              <w:rPr>
                <w:rFonts w:ascii="Arial" w:hAnsi="Arial" w:cs="Arial"/>
                <w:szCs w:val="24"/>
                <w:lang w:val="en-US"/>
              </w:rPr>
              <w:t xml:space="preserve"> median </w:t>
            </w:r>
          </w:p>
          <w:p w14:paraId="0D91D4FE" w14:textId="77777777" w:rsidR="00094BC2" w:rsidRPr="00B6777E" w:rsidRDefault="00094BC2" w:rsidP="0037722F">
            <w:pPr>
              <w:spacing w:line="480" w:lineRule="auto"/>
              <w:ind w:left="180"/>
              <w:rPr>
                <w:rFonts w:ascii="Arial" w:hAnsi="Arial" w:cs="Arial"/>
                <w:szCs w:val="24"/>
                <w:vertAlign w:val="superscript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(min, max)</w:t>
            </w:r>
            <w:r w:rsidRPr="00B6777E">
              <w:rPr>
                <w:rFonts w:ascii="Arial" w:hAnsi="Arial" w:cs="Arial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3284" w:type="dxa"/>
          </w:tcPr>
          <w:p w14:paraId="2EA4D7EF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67.2 (67.2, 67.2)</w:t>
            </w:r>
          </w:p>
        </w:tc>
        <w:tc>
          <w:tcPr>
            <w:tcW w:w="2815" w:type="dxa"/>
          </w:tcPr>
          <w:p w14:paraId="04FCC67E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67.2 (67.2, 537.6)</w:t>
            </w:r>
          </w:p>
        </w:tc>
      </w:tr>
      <w:tr w:rsidR="00094BC2" w:rsidRPr="00B6777E" w14:paraId="3C78AB82" w14:textId="77777777" w:rsidTr="0037722F">
        <w:trPr>
          <w:trHeight w:val="672"/>
        </w:trPr>
        <w:tc>
          <w:tcPr>
            <w:tcW w:w="3225" w:type="dxa"/>
          </w:tcPr>
          <w:p w14:paraId="6716CE25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Treatment-emergent ADA-positive (ADA incidence)</w:t>
            </w:r>
            <w:r w:rsidRPr="00B6777E">
              <w:rPr>
                <w:rFonts w:ascii="Arial" w:hAnsi="Arial" w:cs="Arial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3284" w:type="dxa"/>
          </w:tcPr>
          <w:p w14:paraId="70EF5A26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815" w:type="dxa"/>
          </w:tcPr>
          <w:p w14:paraId="2962558C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94BC2" w:rsidRPr="00B6777E" w14:paraId="626C2085" w14:textId="77777777" w:rsidTr="0037722F">
        <w:trPr>
          <w:trHeight w:val="378"/>
        </w:trPr>
        <w:tc>
          <w:tcPr>
            <w:tcW w:w="3225" w:type="dxa"/>
          </w:tcPr>
          <w:p w14:paraId="7C587749" w14:textId="77777777" w:rsidR="00094BC2" w:rsidRPr="00B6777E" w:rsidRDefault="00094BC2" w:rsidP="0037722F">
            <w:pPr>
              <w:spacing w:line="480" w:lineRule="auto"/>
              <w:ind w:left="180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n/N (%)</w:t>
            </w:r>
          </w:p>
        </w:tc>
        <w:tc>
          <w:tcPr>
            <w:tcW w:w="3284" w:type="dxa"/>
          </w:tcPr>
          <w:p w14:paraId="68E51C49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2/111 (1.8)</w:t>
            </w:r>
          </w:p>
        </w:tc>
        <w:tc>
          <w:tcPr>
            <w:tcW w:w="2815" w:type="dxa"/>
          </w:tcPr>
          <w:p w14:paraId="387B0499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8/105 (7.6)</w:t>
            </w:r>
          </w:p>
        </w:tc>
      </w:tr>
      <w:tr w:rsidR="00094BC2" w:rsidRPr="00B6777E" w14:paraId="7E8B4066" w14:textId="77777777" w:rsidTr="0037722F">
        <w:trPr>
          <w:trHeight w:val="814"/>
        </w:trPr>
        <w:tc>
          <w:tcPr>
            <w:tcW w:w="3225" w:type="dxa"/>
          </w:tcPr>
          <w:p w14:paraId="69287E55" w14:textId="77777777" w:rsidR="00094BC2" w:rsidRPr="00B6777E" w:rsidRDefault="00094BC2" w:rsidP="0037722F">
            <w:pPr>
              <w:spacing w:line="480" w:lineRule="auto"/>
              <w:ind w:left="180"/>
              <w:rPr>
                <w:rFonts w:ascii="Arial" w:hAnsi="Arial" w:cs="Arial"/>
                <w:szCs w:val="24"/>
                <w:vertAlign w:val="superscript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Maximum titer</w:t>
            </w:r>
            <w:r>
              <w:rPr>
                <w:rFonts w:ascii="Arial" w:hAnsi="Arial" w:cs="Arial"/>
                <w:szCs w:val="24"/>
                <w:lang w:val="en-US"/>
              </w:rPr>
              <w:t>,</w:t>
            </w:r>
            <w:r w:rsidRPr="00B6777E">
              <w:rPr>
                <w:rFonts w:ascii="Arial" w:hAnsi="Arial" w:cs="Arial"/>
                <w:szCs w:val="24"/>
                <w:lang w:val="en-US"/>
              </w:rPr>
              <w:t xml:space="preserve"> median (min, max)</w:t>
            </w:r>
            <w:r w:rsidRPr="00B6777E">
              <w:rPr>
                <w:rFonts w:ascii="Arial" w:hAnsi="Arial" w:cs="Arial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3284" w:type="dxa"/>
          </w:tcPr>
          <w:p w14:paraId="518371EC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67.2 (67.2, 67.2)</w:t>
            </w:r>
          </w:p>
        </w:tc>
        <w:tc>
          <w:tcPr>
            <w:tcW w:w="2815" w:type="dxa"/>
          </w:tcPr>
          <w:p w14:paraId="3AB64BEB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67.2 (67.2, 268.8)</w:t>
            </w:r>
          </w:p>
        </w:tc>
      </w:tr>
      <w:tr w:rsidR="00094BC2" w:rsidRPr="00B6777E" w14:paraId="26CB6BD1" w14:textId="77777777" w:rsidTr="0037722F">
        <w:trPr>
          <w:trHeight w:val="737"/>
        </w:trPr>
        <w:tc>
          <w:tcPr>
            <w:tcW w:w="3225" w:type="dxa"/>
          </w:tcPr>
          <w:p w14:paraId="3F327494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Treatment-induced ADA-</w:t>
            </w:r>
            <w:proofErr w:type="spellStart"/>
            <w:r w:rsidRPr="00B6777E">
              <w:rPr>
                <w:rFonts w:ascii="Arial" w:hAnsi="Arial" w:cs="Arial"/>
                <w:szCs w:val="24"/>
                <w:lang w:val="en-US"/>
              </w:rPr>
              <w:t>positive</w:t>
            </w:r>
            <w:r w:rsidRPr="00B6777E">
              <w:rPr>
                <w:rFonts w:ascii="Arial" w:hAnsi="Arial" w:cs="Arial"/>
                <w:szCs w:val="24"/>
                <w:vertAlign w:val="superscript"/>
                <w:lang w:val="en-US"/>
              </w:rPr>
              <w:t>d</w:t>
            </w:r>
            <w:proofErr w:type="spellEnd"/>
          </w:p>
        </w:tc>
        <w:tc>
          <w:tcPr>
            <w:tcW w:w="3284" w:type="dxa"/>
          </w:tcPr>
          <w:p w14:paraId="0DAF1E6C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815" w:type="dxa"/>
          </w:tcPr>
          <w:p w14:paraId="122EC1BF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94BC2" w:rsidRPr="00B6777E" w14:paraId="629F1F32" w14:textId="77777777" w:rsidTr="0037722F">
        <w:trPr>
          <w:trHeight w:val="395"/>
        </w:trPr>
        <w:tc>
          <w:tcPr>
            <w:tcW w:w="3225" w:type="dxa"/>
          </w:tcPr>
          <w:p w14:paraId="64F409F0" w14:textId="77777777" w:rsidR="00094BC2" w:rsidRPr="00B6777E" w:rsidRDefault="00094BC2" w:rsidP="0037722F">
            <w:pPr>
              <w:spacing w:line="480" w:lineRule="auto"/>
              <w:ind w:left="180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n/N (%)</w:t>
            </w:r>
          </w:p>
        </w:tc>
        <w:tc>
          <w:tcPr>
            <w:tcW w:w="3284" w:type="dxa"/>
          </w:tcPr>
          <w:p w14:paraId="012E344D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2/111 (1.8)</w:t>
            </w:r>
          </w:p>
        </w:tc>
        <w:tc>
          <w:tcPr>
            <w:tcW w:w="2815" w:type="dxa"/>
          </w:tcPr>
          <w:p w14:paraId="649927F7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8/105 (7.6)</w:t>
            </w:r>
          </w:p>
        </w:tc>
      </w:tr>
      <w:tr w:rsidR="00094BC2" w:rsidRPr="00B6777E" w14:paraId="76370C5A" w14:textId="77777777" w:rsidTr="0037722F">
        <w:trPr>
          <w:trHeight w:val="828"/>
        </w:trPr>
        <w:tc>
          <w:tcPr>
            <w:tcW w:w="3225" w:type="dxa"/>
          </w:tcPr>
          <w:p w14:paraId="0D7CBF1F" w14:textId="77777777" w:rsidR="00094BC2" w:rsidRPr="00B6777E" w:rsidRDefault="00094BC2" w:rsidP="0037722F">
            <w:pPr>
              <w:spacing w:line="480" w:lineRule="auto"/>
              <w:ind w:left="180"/>
              <w:rPr>
                <w:rFonts w:ascii="Arial" w:hAnsi="Arial" w:cs="Arial"/>
                <w:szCs w:val="24"/>
                <w:vertAlign w:val="superscript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Maximum titer</w:t>
            </w:r>
            <w:r>
              <w:rPr>
                <w:rFonts w:ascii="Arial" w:hAnsi="Arial" w:cs="Arial"/>
                <w:szCs w:val="24"/>
                <w:lang w:val="en-US"/>
              </w:rPr>
              <w:t>,</w:t>
            </w:r>
            <w:r w:rsidRPr="00B6777E">
              <w:rPr>
                <w:rFonts w:ascii="Arial" w:hAnsi="Arial" w:cs="Arial"/>
                <w:szCs w:val="24"/>
                <w:lang w:val="en-US"/>
              </w:rPr>
              <w:t xml:space="preserve"> median (min, max)</w:t>
            </w:r>
            <w:r w:rsidRPr="00B6777E">
              <w:rPr>
                <w:rFonts w:ascii="Arial" w:hAnsi="Arial" w:cs="Arial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3284" w:type="dxa"/>
          </w:tcPr>
          <w:p w14:paraId="05BCC8B4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67.2 (67.2, 67.2)</w:t>
            </w:r>
          </w:p>
        </w:tc>
        <w:tc>
          <w:tcPr>
            <w:tcW w:w="2815" w:type="dxa"/>
          </w:tcPr>
          <w:p w14:paraId="366C5CF6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67.2 (67.2, 268.8)</w:t>
            </w:r>
          </w:p>
        </w:tc>
      </w:tr>
      <w:tr w:rsidR="00094BC2" w:rsidRPr="00B6777E" w14:paraId="54483250" w14:textId="77777777" w:rsidTr="0037722F">
        <w:trPr>
          <w:trHeight w:val="804"/>
        </w:trPr>
        <w:tc>
          <w:tcPr>
            <w:tcW w:w="3225" w:type="dxa"/>
          </w:tcPr>
          <w:p w14:paraId="38E1C15F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Treatment-boosted ADA-</w:t>
            </w:r>
            <w:proofErr w:type="spellStart"/>
            <w:r w:rsidRPr="00B6777E">
              <w:rPr>
                <w:rFonts w:ascii="Arial" w:hAnsi="Arial" w:cs="Arial"/>
                <w:szCs w:val="24"/>
                <w:lang w:val="en-US"/>
              </w:rPr>
              <w:t>positive</w:t>
            </w:r>
            <w:r w:rsidRPr="00B6777E">
              <w:rPr>
                <w:rFonts w:ascii="Arial" w:hAnsi="Arial" w:cs="Arial"/>
                <w:szCs w:val="24"/>
                <w:vertAlign w:val="superscript"/>
                <w:lang w:val="en-US"/>
              </w:rPr>
              <w:t>e</w:t>
            </w:r>
            <w:proofErr w:type="spellEnd"/>
          </w:p>
        </w:tc>
        <w:tc>
          <w:tcPr>
            <w:tcW w:w="3284" w:type="dxa"/>
          </w:tcPr>
          <w:p w14:paraId="47C429E9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815" w:type="dxa"/>
          </w:tcPr>
          <w:p w14:paraId="4B88A5A9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094BC2" w:rsidRPr="00B6777E" w14:paraId="69437884" w14:textId="77777777" w:rsidTr="0037722F">
        <w:trPr>
          <w:trHeight w:val="378"/>
        </w:trPr>
        <w:tc>
          <w:tcPr>
            <w:tcW w:w="3225" w:type="dxa"/>
            <w:tcBorders>
              <w:bottom w:val="single" w:sz="4" w:space="0" w:color="auto"/>
            </w:tcBorders>
          </w:tcPr>
          <w:p w14:paraId="70BF12CF" w14:textId="77777777" w:rsidR="00094BC2" w:rsidRPr="00B6777E" w:rsidRDefault="00094BC2" w:rsidP="0037722F">
            <w:pPr>
              <w:spacing w:line="480" w:lineRule="auto"/>
              <w:ind w:left="180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n/N (%)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6D4170AE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0</w:t>
            </w: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028CA931" w14:textId="77777777" w:rsidR="00094BC2" w:rsidRPr="00B6777E" w:rsidRDefault="00094BC2" w:rsidP="0037722F">
            <w:pPr>
              <w:spacing w:line="480" w:lineRule="auto"/>
              <w:rPr>
                <w:rFonts w:ascii="Arial" w:hAnsi="Arial" w:cs="Arial"/>
                <w:szCs w:val="24"/>
                <w:lang w:val="en-US"/>
              </w:rPr>
            </w:pPr>
            <w:r w:rsidRPr="00B6777E">
              <w:rPr>
                <w:rFonts w:ascii="Arial" w:hAnsi="Arial" w:cs="Arial"/>
                <w:szCs w:val="24"/>
                <w:lang w:val="en-US"/>
              </w:rPr>
              <w:t>0</w:t>
            </w:r>
          </w:p>
        </w:tc>
      </w:tr>
    </w:tbl>
    <w:p w14:paraId="5C73573D" w14:textId="77777777" w:rsidR="00094BC2" w:rsidRDefault="00094BC2" w:rsidP="00094BC2">
      <w:pPr>
        <w:spacing w:after="0" w:line="480" w:lineRule="auto"/>
        <w:rPr>
          <w:rFonts w:ascii="Arial" w:hAnsi="Arial" w:cs="Arial"/>
          <w:lang w:val="en-US"/>
        </w:rPr>
      </w:pPr>
      <w:proofErr w:type="spellStart"/>
      <w:r w:rsidRPr="00B6777E">
        <w:rPr>
          <w:rFonts w:ascii="Arial" w:hAnsi="Arial" w:cs="Arial"/>
          <w:vertAlign w:val="superscript"/>
          <w:lang w:val="en-US"/>
        </w:rPr>
        <w:t>a</w:t>
      </w:r>
      <w:r w:rsidRPr="00B6777E">
        <w:rPr>
          <w:rFonts w:ascii="Arial" w:hAnsi="Arial" w:cs="Arial"/>
          <w:lang w:val="en-US"/>
        </w:rPr>
        <w:t>Defined</w:t>
      </w:r>
      <w:proofErr w:type="spellEnd"/>
      <w:r w:rsidRPr="00B6777E">
        <w:rPr>
          <w:rFonts w:ascii="Arial" w:hAnsi="Arial" w:cs="Arial"/>
          <w:lang w:val="en-US"/>
        </w:rPr>
        <w:t xml:space="preserve"> as ADA</w:t>
      </w:r>
      <w:r>
        <w:rPr>
          <w:rFonts w:ascii="Arial" w:hAnsi="Arial" w:cs="Arial"/>
          <w:lang w:val="en-US"/>
        </w:rPr>
        <w:t xml:space="preserve"> </w:t>
      </w:r>
      <w:r w:rsidRPr="00B6777E">
        <w:rPr>
          <w:rFonts w:ascii="Arial" w:hAnsi="Arial" w:cs="Arial"/>
          <w:lang w:val="en-US"/>
        </w:rPr>
        <w:t xml:space="preserve">positive at baseline </w:t>
      </w:r>
      <w:r>
        <w:rPr>
          <w:rFonts w:ascii="Arial" w:hAnsi="Arial" w:cs="Arial"/>
          <w:lang w:val="en-US"/>
        </w:rPr>
        <w:t>and/</w:t>
      </w:r>
      <w:r w:rsidRPr="00B6777E">
        <w:rPr>
          <w:rFonts w:ascii="Arial" w:hAnsi="Arial" w:cs="Arial"/>
          <w:lang w:val="en-US"/>
        </w:rPr>
        <w:t>or post-baseline.</w:t>
      </w:r>
      <w:r w:rsidRPr="00B6777E">
        <w:rPr>
          <w:lang w:val="en-US"/>
        </w:rPr>
        <w:t xml:space="preserve"> </w:t>
      </w:r>
      <w:r w:rsidRPr="00B6777E">
        <w:rPr>
          <w:rFonts w:ascii="Arial" w:hAnsi="Arial" w:cs="Arial"/>
          <w:lang w:val="en-US"/>
        </w:rPr>
        <w:t>ADA prevalence was the proportion of participants test</w:t>
      </w:r>
      <w:r>
        <w:rPr>
          <w:rFonts w:ascii="Arial" w:hAnsi="Arial" w:cs="Arial"/>
          <w:lang w:val="en-US"/>
        </w:rPr>
        <w:t>ing</w:t>
      </w:r>
      <w:r w:rsidRPr="00B6777E">
        <w:rPr>
          <w:rFonts w:ascii="Arial" w:hAnsi="Arial" w:cs="Arial"/>
          <w:lang w:val="en-US"/>
        </w:rPr>
        <w:t xml:space="preserve"> positive for ADAs at any time. </w:t>
      </w:r>
    </w:p>
    <w:p w14:paraId="4FE6B698" w14:textId="77777777" w:rsidR="00094BC2" w:rsidRDefault="00094BC2" w:rsidP="00094BC2">
      <w:pPr>
        <w:spacing w:after="0" w:line="480" w:lineRule="auto"/>
        <w:rPr>
          <w:rFonts w:ascii="Arial" w:hAnsi="Arial" w:cs="Arial"/>
          <w:lang w:val="en-US"/>
        </w:rPr>
      </w:pPr>
      <w:proofErr w:type="spellStart"/>
      <w:r w:rsidRPr="00B6777E">
        <w:rPr>
          <w:rFonts w:ascii="Arial" w:hAnsi="Arial" w:cs="Arial"/>
          <w:vertAlign w:val="superscript"/>
          <w:lang w:val="en-US"/>
        </w:rPr>
        <w:t>b</w:t>
      </w:r>
      <w:r w:rsidRPr="00B6777E">
        <w:rPr>
          <w:rFonts w:ascii="Arial" w:hAnsi="Arial" w:cs="Arial"/>
          <w:lang w:val="en-US"/>
        </w:rPr>
        <w:t>Titer</w:t>
      </w:r>
      <w:r>
        <w:rPr>
          <w:rFonts w:ascii="Arial" w:hAnsi="Arial" w:cs="Arial"/>
          <w:lang w:val="en-US"/>
        </w:rPr>
        <w:t>s</w:t>
      </w:r>
      <w:proofErr w:type="spellEnd"/>
      <w:r w:rsidRPr="00B6777E">
        <w:rPr>
          <w:rFonts w:ascii="Arial" w:hAnsi="Arial" w:cs="Arial"/>
          <w:lang w:val="en-US"/>
        </w:rPr>
        <w:t xml:space="preserve"> of ADA-positive samples </w:t>
      </w:r>
      <w:r w:rsidRPr="00B6777E">
        <w:rPr>
          <w:rFonts w:ascii="Calibri" w:hAnsi="Calibri" w:cs="Calibri"/>
          <w:lang w:val="en-US"/>
        </w:rPr>
        <w:t>≤</w:t>
      </w:r>
      <w:r w:rsidRPr="00B6777E">
        <w:rPr>
          <w:rFonts w:ascii="Arial" w:hAnsi="Arial" w:cs="Arial"/>
          <w:lang w:val="en-US"/>
        </w:rPr>
        <w:t xml:space="preserve">67.2 (limit of detection) are reported as 67.2. </w:t>
      </w:r>
    </w:p>
    <w:p w14:paraId="60F7D396" w14:textId="77777777" w:rsidR="00094BC2" w:rsidRDefault="00094BC2" w:rsidP="00094BC2">
      <w:pPr>
        <w:spacing w:after="0" w:line="480" w:lineRule="auto"/>
        <w:rPr>
          <w:rFonts w:ascii="Arial" w:hAnsi="Arial" w:cs="Arial"/>
          <w:lang w:val="en-US"/>
        </w:rPr>
      </w:pPr>
      <w:proofErr w:type="spellStart"/>
      <w:r w:rsidRPr="00B6777E">
        <w:rPr>
          <w:rFonts w:ascii="Arial" w:hAnsi="Arial" w:cs="Arial"/>
          <w:vertAlign w:val="superscript"/>
          <w:lang w:val="en-US"/>
        </w:rPr>
        <w:t>c</w:t>
      </w:r>
      <w:r w:rsidRPr="00B6777E">
        <w:rPr>
          <w:rFonts w:ascii="Arial" w:hAnsi="Arial" w:cs="Arial"/>
          <w:lang w:val="en-US"/>
        </w:rPr>
        <w:t>Defined</w:t>
      </w:r>
      <w:proofErr w:type="spellEnd"/>
      <w:r w:rsidRPr="00B6777E">
        <w:rPr>
          <w:rFonts w:ascii="Arial" w:hAnsi="Arial" w:cs="Arial"/>
          <w:lang w:val="en-US"/>
        </w:rPr>
        <w:t xml:space="preserve"> as either treatment-induced ADA</w:t>
      </w:r>
      <w:r>
        <w:rPr>
          <w:rFonts w:ascii="Arial" w:hAnsi="Arial" w:cs="Arial"/>
          <w:lang w:val="en-US"/>
        </w:rPr>
        <w:t xml:space="preserve"> </w:t>
      </w:r>
      <w:r w:rsidRPr="00B6777E">
        <w:rPr>
          <w:rFonts w:ascii="Arial" w:hAnsi="Arial" w:cs="Arial"/>
          <w:lang w:val="en-US"/>
        </w:rPr>
        <w:t>positive or treatment-boosted ADA</w:t>
      </w:r>
      <w:r>
        <w:rPr>
          <w:rFonts w:ascii="Arial" w:hAnsi="Arial" w:cs="Arial"/>
          <w:lang w:val="en-US"/>
        </w:rPr>
        <w:t xml:space="preserve"> </w:t>
      </w:r>
      <w:r w:rsidRPr="00B6777E">
        <w:rPr>
          <w:rFonts w:ascii="Arial" w:hAnsi="Arial" w:cs="Arial"/>
          <w:lang w:val="en-US"/>
        </w:rPr>
        <w:t xml:space="preserve">positive. ADA incidence was the proportion of treatment-emergent ADA-positive patients. </w:t>
      </w:r>
    </w:p>
    <w:p w14:paraId="1E7D10B0" w14:textId="77777777" w:rsidR="00094BC2" w:rsidRDefault="00094BC2" w:rsidP="00094BC2">
      <w:pPr>
        <w:spacing w:after="0" w:line="480" w:lineRule="auto"/>
        <w:rPr>
          <w:rFonts w:ascii="Arial" w:hAnsi="Arial" w:cs="Arial"/>
          <w:lang w:val="en-US"/>
        </w:rPr>
      </w:pPr>
      <w:proofErr w:type="spellStart"/>
      <w:r w:rsidRPr="00B6777E">
        <w:rPr>
          <w:rFonts w:ascii="Arial" w:hAnsi="Arial" w:cs="Arial"/>
          <w:vertAlign w:val="superscript"/>
          <w:lang w:val="en-US"/>
        </w:rPr>
        <w:t>d</w:t>
      </w:r>
      <w:r w:rsidRPr="00B6777E">
        <w:rPr>
          <w:rFonts w:ascii="Arial" w:hAnsi="Arial" w:cs="Arial"/>
          <w:lang w:val="en-US"/>
        </w:rPr>
        <w:t>Defined</w:t>
      </w:r>
      <w:proofErr w:type="spellEnd"/>
      <w:r w:rsidRPr="00B6777E">
        <w:rPr>
          <w:rFonts w:ascii="Arial" w:hAnsi="Arial" w:cs="Arial"/>
          <w:lang w:val="en-US"/>
        </w:rPr>
        <w:t xml:space="preserve"> as ADA</w:t>
      </w:r>
      <w:r>
        <w:rPr>
          <w:rFonts w:ascii="Arial" w:hAnsi="Arial" w:cs="Arial"/>
          <w:lang w:val="en-US"/>
        </w:rPr>
        <w:t xml:space="preserve"> </w:t>
      </w:r>
      <w:r w:rsidRPr="00B6777E">
        <w:rPr>
          <w:rFonts w:ascii="Arial" w:hAnsi="Arial" w:cs="Arial"/>
          <w:lang w:val="en-US"/>
        </w:rPr>
        <w:t>negative at baseline and ADA</w:t>
      </w:r>
      <w:r>
        <w:rPr>
          <w:rFonts w:ascii="Arial" w:hAnsi="Arial" w:cs="Arial"/>
          <w:lang w:val="en-US"/>
        </w:rPr>
        <w:t xml:space="preserve"> </w:t>
      </w:r>
      <w:r w:rsidRPr="00B6777E">
        <w:rPr>
          <w:rFonts w:ascii="Arial" w:hAnsi="Arial" w:cs="Arial"/>
          <w:lang w:val="en-US"/>
        </w:rPr>
        <w:t xml:space="preserve">positive post-baseline. </w:t>
      </w:r>
    </w:p>
    <w:p w14:paraId="3EF5F8B1" w14:textId="77777777" w:rsidR="00094BC2" w:rsidRDefault="00094BC2" w:rsidP="00094BC2">
      <w:pPr>
        <w:spacing w:after="0" w:line="480" w:lineRule="auto"/>
        <w:rPr>
          <w:rFonts w:ascii="Arial" w:hAnsi="Arial" w:cs="Arial"/>
          <w:lang w:val="en-US"/>
        </w:rPr>
      </w:pPr>
      <w:proofErr w:type="spellStart"/>
      <w:r w:rsidRPr="00B6777E">
        <w:rPr>
          <w:rFonts w:ascii="Arial" w:hAnsi="Arial" w:cs="Arial"/>
          <w:vertAlign w:val="superscript"/>
          <w:lang w:val="en-US"/>
        </w:rPr>
        <w:lastRenderedPageBreak/>
        <w:t>e</w:t>
      </w:r>
      <w:r w:rsidRPr="00B6777E">
        <w:rPr>
          <w:rFonts w:ascii="Arial" w:hAnsi="Arial" w:cs="Arial"/>
          <w:lang w:val="en-US"/>
        </w:rPr>
        <w:t>Defined</w:t>
      </w:r>
      <w:proofErr w:type="spellEnd"/>
      <w:r w:rsidRPr="00B6777E">
        <w:rPr>
          <w:rFonts w:ascii="Arial" w:hAnsi="Arial" w:cs="Arial"/>
          <w:lang w:val="en-US"/>
        </w:rPr>
        <w:t xml:space="preserve"> as ADA</w:t>
      </w:r>
      <w:r>
        <w:rPr>
          <w:rFonts w:ascii="Arial" w:hAnsi="Arial" w:cs="Arial"/>
          <w:lang w:val="en-US"/>
        </w:rPr>
        <w:t xml:space="preserve"> </w:t>
      </w:r>
      <w:r w:rsidRPr="00B6777E">
        <w:rPr>
          <w:rFonts w:ascii="Arial" w:hAnsi="Arial" w:cs="Arial"/>
          <w:lang w:val="en-US"/>
        </w:rPr>
        <w:t xml:space="preserve">positive at baseline and the baseline ADA titer was boosted to </w:t>
      </w:r>
      <w:r>
        <w:rPr>
          <w:rFonts w:ascii="Arial" w:hAnsi="Arial" w:cs="Arial"/>
          <w:lang w:val="en-US"/>
        </w:rPr>
        <w:t>four</w:t>
      </w:r>
      <w:r w:rsidRPr="00B6777E">
        <w:rPr>
          <w:rFonts w:ascii="Arial" w:hAnsi="Arial" w:cs="Arial"/>
          <w:lang w:val="en-US"/>
        </w:rPr>
        <w:t xml:space="preserve">fold or </w:t>
      </w:r>
      <w:r>
        <w:rPr>
          <w:rFonts w:ascii="Arial" w:hAnsi="Arial" w:cs="Arial"/>
          <w:lang w:val="en-US"/>
        </w:rPr>
        <w:t>greater</w:t>
      </w:r>
      <w:r w:rsidRPr="00B6777E">
        <w:rPr>
          <w:rFonts w:ascii="Arial" w:hAnsi="Arial" w:cs="Arial"/>
          <w:lang w:val="en-US"/>
        </w:rPr>
        <w:t xml:space="preserve"> after tezepelumab administration.</w:t>
      </w:r>
      <w:r w:rsidRPr="00B6777E">
        <w:rPr>
          <w:rFonts w:ascii="Arial" w:hAnsi="Arial" w:cs="Arial"/>
          <w:lang w:val="en-US"/>
        </w:rPr>
        <w:br/>
      </w:r>
      <w:r w:rsidRPr="00B97DBC">
        <w:rPr>
          <w:rFonts w:ascii="Arial" w:hAnsi="Arial" w:cs="Arial"/>
          <w:b/>
          <w:bCs/>
          <w:lang w:val="en-US"/>
        </w:rPr>
        <w:t>Abbreviations:</w:t>
      </w:r>
      <w:r>
        <w:rPr>
          <w:rFonts w:ascii="Arial" w:hAnsi="Arial" w:cs="Arial"/>
          <w:lang w:val="en-US"/>
        </w:rPr>
        <w:t xml:space="preserve"> </w:t>
      </w:r>
      <w:r w:rsidRPr="00B6777E">
        <w:rPr>
          <w:rFonts w:ascii="Arial" w:hAnsi="Arial" w:cs="Arial"/>
          <w:lang w:val="en-US"/>
        </w:rPr>
        <w:t>ADA, antidrug antibody; AI, autoinjector; APFS, accessorized pre</w:t>
      </w:r>
      <w:r>
        <w:rPr>
          <w:rFonts w:ascii="Arial" w:hAnsi="Arial" w:cs="Arial"/>
          <w:lang w:val="en-US"/>
        </w:rPr>
        <w:t>-</w:t>
      </w:r>
      <w:r w:rsidRPr="00B6777E">
        <w:rPr>
          <w:rFonts w:ascii="Arial" w:hAnsi="Arial" w:cs="Arial"/>
          <w:lang w:val="en-US"/>
        </w:rPr>
        <w:t>filled syringe.</w:t>
      </w:r>
    </w:p>
    <w:p w14:paraId="7D528673" w14:textId="77777777" w:rsidR="00094BC2" w:rsidRPr="00B6777E" w:rsidRDefault="00094BC2" w:rsidP="00094BC2">
      <w:pPr>
        <w:spacing w:after="0" w:line="480" w:lineRule="auto"/>
        <w:rPr>
          <w:rFonts w:ascii="Arial" w:hAnsi="Arial" w:cs="Arial"/>
          <w:b/>
          <w:bCs/>
          <w:lang w:val="en-US"/>
        </w:rPr>
      </w:pPr>
      <w:r w:rsidRPr="00B6777E">
        <w:rPr>
          <w:rFonts w:ascii="Arial" w:hAnsi="Arial" w:cs="Arial"/>
          <w:lang w:val="en-US"/>
        </w:rPr>
        <w:br w:type="page"/>
      </w:r>
    </w:p>
    <w:p w14:paraId="61FCD60C" w14:textId="77777777" w:rsidR="00094BC2" w:rsidRPr="00D1199B" w:rsidRDefault="00094BC2" w:rsidP="00094BC2">
      <w:pPr>
        <w:rPr>
          <w:rFonts w:ascii="Arial" w:hAnsi="Arial" w:cs="Arial"/>
          <w:b/>
          <w:bCs/>
          <w:lang w:val="en-US"/>
        </w:rPr>
      </w:pPr>
      <w:r w:rsidRPr="00B6777E">
        <w:rPr>
          <w:rFonts w:ascii="Arial" w:hAnsi="Arial" w:cs="Arial"/>
          <w:lang w:val="en-US"/>
        </w:rPr>
        <w:lastRenderedPageBreak/>
        <w:t xml:space="preserve"> </w:t>
      </w:r>
      <w:r w:rsidRPr="00D1199B">
        <w:rPr>
          <w:noProof/>
        </w:rPr>
        <w:drawing>
          <wp:inline distT="0" distB="0" distL="0" distR="0" wp14:anchorId="75C5F974" wp14:editId="46FFD9AA">
            <wp:extent cx="5731510" cy="4166235"/>
            <wp:effectExtent l="0" t="0" r="254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C7655" w14:textId="77777777" w:rsidR="00094BC2" w:rsidRPr="00B6777E" w:rsidRDefault="00094BC2" w:rsidP="00094BC2">
      <w:pPr>
        <w:jc w:val="center"/>
        <w:rPr>
          <w:rFonts w:ascii="Arial" w:hAnsi="Arial" w:cs="Arial"/>
          <w:i/>
          <w:iCs/>
          <w:lang w:val="en-US"/>
        </w:rPr>
      </w:pPr>
    </w:p>
    <w:p w14:paraId="62446AE7" w14:textId="77777777" w:rsidR="00094BC2" w:rsidRPr="00B6777E" w:rsidRDefault="00094BC2" w:rsidP="00094BC2">
      <w:pPr>
        <w:spacing w:after="0" w:line="480" w:lineRule="auto"/>
        <w:rPr>
          <w:rFonts w:ascii="Arial" w:hAnsi="Arial" w:cs="Arial"/>
          <w:lang w:val="en-US"/>
        </w:rPr>
      </w:pPr>
      <w:r w:rsidRPr="00755A24">
        <w:rPr>
          <w:rFonts w:ascii="Arial" w:hAnsi="Arial" w:cs="Arial"/>
          <w:b/>
          <w:bCs/>
          <w:lang w:val="en-US"/>
        </w:rPr>
        <w:t xml:space="preserve">Supplementary </w:t>
      </w:r>
      <w:r w:rsidRPr="00B6777E">
        <w:rPr>
          <w:rFonts w:ascii="Arial" w:hAnsi="Arial" w:cs="Arial"/>
          <w:b/>
          <w:bCs/>
          <w:lang w:val="en-US"/>
        </w:rPr>
        <w:t>Figure 1</w:t>
      </w:r>
      <w:r w:rsidRPr="00B6777E">
        <w:rPr>
          <w:rFonts w:ascii="Arial" w:hAnsi="Arial" w:cs="Arial"/>
          <w:lang w:val="en-US"/>
        </w:rPr>
        <w:t xml:space="preserve"> Schematic drawing of (</w:t>
      </w:r>
      <w:r w:rsidRPr="00755A24">
        <w:rPr>
          <w:rFonts w:ascii="Arial" w:hAnsi="Arial" w:cs="Arial"/>
          <w:b/>
          <w:bCs/>
          <w:lang w:val="en-US"/>
        </w:rPr>
        <w:t>A</w:t>
      </w:r>
      <w:r w:rsidRPr="00B6777E">
        <w:rPr>
          <w:rFonts w:ascii="Arial" w:hAnsi="Arial" w:cs="Arial"/>
          <w:lang w:val="en-US"/>
        </w:rPr>
        <w:t>) accessorized pre</w:t>
      </w:r>
      <w:r>
        <w:rPr>
          <w:rFonts w:ascii="Arial" w:hAnsi="Arial" w:cs="Arial"/>
          <w:lang w:val="en-US"/>
        </w:rPr>
        <w:t>-</w:t>
      </w:r>
      <w:r w:rsidRPr="00B6777E">
        <w:rPr>
          <w:rFonts w:ascii="Arial" w:hAnsi="Arial" w:cs="Arial"/>
          <w:lang w:val="en-US"/>
        </w:rPr>
        <w:t>filled syringe and (</w:t>
      </w:r>
      <w:r w:rsidRPr="00755A24">
        <w:rPr>
          <w:rFonts w:ascii="Arial" w:hAnsi="Arial" w:cs="Arial"/>
          <w:b/>
          <w:bCs/>
          <w:lang w:val="en-US"/>
        </w:rPr>
        <w:t>B</w:t>
      </w:r>
      <w:r w:rsidRPr="00B6777E">
        <w:rPr>
          <w:rFonts w:ascii="Arial" w:hAnsi="Arial" w:cs="Arial"/>
          <w:lang w:val="en-US"/>
        </w:rPr>
        <w:t xml:space="preserve">) </w:t>
      </w:r>
      <w:r>
        <w:rPr>
          <w:rFonts w:ascii="Arial" w:hAnsi="Arial" w:cs="Arial"/>
          <w:lang w:val="en-US"/>
        </w:rPr>
        <w:t>autoinjector</w:t>
      </w:r>
      <w:r w:rsidRPr="00B6777E">
        <w:rPr>
          <w:rFonts w:ascii="Arial" w:hAnsi="Arial" w:cs="Arial"/>
          <w:lang w:val="en-US"/>
        </w:rPr>
        <w:t>.</w:t>
      </w:r>
    </w:p>
    <w:p w14:paraId="5D29B12F" w14:textId="77777777" w:rsidR="009C75EB" w:rsidRDefault="009C75EB"/>
    <w:sectPr w:rsidR="009C75EB" w:rsidSect="00E351F5"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72BD5"/>
    <w:multiLevelType w:val="hybridMultilevel"/>
    <w:tmpl w:val="773A6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AC4948"/>
    <w:multiLevelType w:val="hybridMultilevel"/>
    <w:tmpl w:val="07A0D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C2"/>
    <w:rsid w:val="00094BC2"/>
    <w:rsid w:val="009C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CED4"/>
  <w15:chartTrackingRefBased/>
  <w15:docId w15:val="{77862E6E-B185-4BBF-895D-DB6E284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94BC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94BC2"/>
  </w:style>
  <w:style w:type="table" w:styleId="TableGrid">
    <w:name w:val="Table Grid"/>
    <w:basedOn w:val="TableNormal"/>
    <w:uiPriority w:val="39"/>
    <w:rsid w:val="00094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094BC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9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DC0CDF-E694-4725-8808-D647F10FEA06}"/>
</file>

<file path=customXml/itemProps2.xml><?xml version="1.0" encoding="utf-8"?>
<ds:datastoreItem xmlns:ds="http://schemas.openxmlformats.org/officeDocument/2006/customXml" ds:itemID="{CC68518F-F694-4684-A94C-E67BB2069150}"/>
</file>

<file path=customXml/itemProps3.xml><?xml version="1.0" encoding="utf-8"?>
<ds:datastoreItem xmlns:ds="http://schemas.openxmlformats.org/officeDocument/2006/customXml" ds:itemID="{8463D906-86D7-449F-B758-F5E6E85AC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Oxford PharmaGenesis</dc:creator>
  <cp:keywords/>
  <dc:description/>
  <cp:lastModifiedBy>Oxford PharmaGenesis</cp:lastModifiedBy>
  <cp:revision>1</cp:revision>
  <dcterms:created xsi:type="dcterms:W3CDTF">2021-03-24T12:10:00Z</dcterms:created>
  <dcterms:modified xsi:type="dcterms:W3CDTF">2021-03-24T12:11:00Z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