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18103E" w14:textId="6B399451" w:rsidR="001551A4" w:rsidRDefault="001551A4" w:rsidP="00346DD6">
      <w:pPr>
        <w:widowControl/>
        <w:wordWrap/>
        <w:autoSpaceDE/>
        <w:autoSpaceDN/>
        <w:spacing w:after="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Supplementary materials</w:t>
      </w:r>
    </w:p>
    <w:p w14:paraId="1AFBDBF1" w14:textId="4B317169" w:rsidR="001551A4" w:rsidRDefault="001551A4" w:rsidP="00346DD6">
      <w:pPr>
        <w:widowControl/>
        <w:wordWrap/>
        <w:autoSpaceDE/>
        <w:autoSpaceDN/>
        <w:spacing w:after="60"/>
        <w:rPr>
          <w:rFonts w:ascii="Arial" w:hAnsi="Arial" w:cs="Arial"/>
          <w:b/>
        </w:rPr>
      </w:pPr>
    </w:p>
    <w:p w14:paraId="42D8A036" w14:textId="30BD51ED" w:rsidR="001551A4" w:rsidRDefault="001551A4" w:rsidP="00346DD6">
      <w:pPr>
        <w:widowControl/>
        <w:wordWrap/>
        <w:autoSpaceDE/>
        <w:autoSpaceDN/>
        <w:spacing w:after="60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drawing>
          <wp:inline distT="0" distB="0" distL="0" distR="0" wp14:anchorId="0B871402" wp14:editId="6A53ED23">
            <wp:extent cx="5724525" cy="14763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1F563" w14:textId="77777777" w:rsidR="001551A4" w:rsidRDefault="001551A4" w:rsidP="00346DD6">
      <w:pPr>
        <w:widowControl/>
        <w:wordWrap/>
        <w:autoSpaceDE/>
        <w:autoSpaceDN/>
        <w:spacing w:after="60"/>
        <w:rPr>
          <w:rFonts w:ascii="Arial" w:hAnsi="Arial" w:cs="Arial"/>
          <w:b/>
        </w:rPr>
      </w:pPr>
    </w:p>
    <w:p w14:paraId="6F2DA904" w14:textId="7033C60E" w:rsidR="007C7A4F" w:rsidRPr="00346DD6" w:rsidRDefault="007C7A4F" w:rsidP="00346DD6">
      <w:pPr>
        <w:widowControl/>
        <w:wordWrap/>
        <w:autoSpaceDE/>
        <w:autoSpaceDN/>
        <w:spacing w:after="60"/>
        <w:rPr>
          <w:rFonts w:ascii="Arial" w:hAnsi="Arial" w:cs="Arial"/>
        </w:rPr>
      </w:pPr>
      <w:r w:rsidRPr="00346DD6">
        <w:rPr>
          <w:rFonts w:ascii="Arial" w:hAnsi="Arial" w:cs="Arial"/>
          <w:b/>
        </w:rPr>
        <w:t>Supplementary Figure</w:t>
      </w:r>
      <w:r w:rsidR="00D72750" w:rsidRPr="00346DD6">
        <w:rPr>
          <w:rFonts w:ascii="Arial" w:hAnsi="Arial" w:cs="Arial"/>
          <w:b/>
        </w:rPr>
        <w:t xml:space="preserve"> </w:t>
      </w:r>
      <w:r w:rsidRPr="00346DD6">
        <w:rPr>
          <w:rFonts w:ascii="Arial" w:hAnsi="Arial" w:cs="Arial"/>
          <w:b/>
        </w:rPr>
        <w:t>1</w:t>
      </w:r>
      <w:r w:rsidR="000B7D63">
        <w:rPr>
          <w:rFonts w:ascii="Arial" w:hAnsi="Arial" w:cs="Arial"/>
          <w:b/>
        </w:rPr>
        <w:t>:</w:t>
      </w:r>
      <w:r w:rsidRPr="00346DD6">
        <w:rPr>
          <w:rFonts w:ascii="Arial" w:hAnsi="Arial" w:cs="Arial"/>
          <w:b/>
        </w:rPr>
        <w:t xml:space="preserve"> Immunocytochemical analysis of cortical neuron to assess the H</w:t>
      </w:r>
      <w:r w:rsidRPr="00346DD6">
        <w:rPr>
          <w:rFonts w:ascii="Arial" w:hAnsi="Arial" w:cs="Arial"/>
          <w:b/>
          <w:vertAlign w:val="subscript"/>
        </w:rPr>
        <w:t>2</w:t>
      </w:r>
      <w:r w:rsidRPr="00346DD6">
        <w:rPr>
          <w:rFonts w:ascii="Arial" w:hAnsi="Arial" w:cs="Arial"/>
          <w:b/>
        </w:rPr>
        <w:t>O</w:t>
      </w:r>
      <w:r w:rsidRPr="00346DD6">
        <w:rPr>
          <w:rFonts w:ascii="Arial" w:hAnsi="Arial" w:cs="Arial"/>
          <w:b/>
          <w:vertAlign w:val="subscript"/>
        </w:rPr>
        <w:t xml:space="preserve">2 </w:t>
      </w:r>
      <w:r w:rsidRPr="00346DD6">
        <w:rPr>
          <w:rFonts w:ascii="Arial" w:hAnsi="Arial" w:cs="Arial"/>
          <w:b/>
        </w:rPr>
        <w:t xml:space="preserve">optimal concentration and incubation period. </w:t>
      </w:r>
      <w:r w:rsidRPr="00346DD6">
        <w:rPr>
          <w:rFonts w:ascii="Arial" w:hAnsi="Arial" w:cs="Arial"/>
        </w:rPr>
        <w:t>Representative immunocytochemical images showing Tuj1 (green) in cortical neurons treated with 100 or 500 μM H</w:t>
      </w:r>
      <w:r w:rsidRPr="00346DD6">
        <w:rPr>
          <w:rFonts w:ascii="Arial" w:hAnsi="Arial" w:cs="Arial"/>
          <w:vertAlign w:val="subscript"/>
        </w:rPr>
        <w:t>2</w:t>
      </w:r>
      <w:r w:rsidRPr="00346DD6">
        <w:rPr>
          <w:rFonts w:ascii="Arial" w:hAnsi="Arial" w:cs="Arial"/>
        </w:rPr>
        <w:t>O</w:t>
      </w:r>
      <w:r w:rsidRPr="00346DD6">
        <w:rPr>
          <w:rFonts w:ascii="Arial" w:hAnsi="Arial" w:cs="Arial"/>
          <w:vertAlign w:val="subscript"/>
        </w:rPr>
        <w:t>2</w:t>
      </w:r>
      <w:r w:rsidRPr="00346DD6">
        <w:rPr>
          <w:rFonts w:ascii="Arial" w:hAnsi="Arial" w:cs="Arial"/>
        </w:rPr>
        <w:t xml:space="preserve"> for 30 min or 1 h. White scale bar = 200 µm.</w:t>
      </w:r>
    </w:p>
    <w:p w14:paraId="23125C5C" w14:textId="77777777" w:rsidR="00475456" w:rsidRPr="00346DD6" w:rsidRDefault="007C7A4F" w:rsidP="00475456">
      <w:pPr>
        <w:widowControl/>
        <w:wordWrap/>
        <w:autoSpaceDE/>
        <w:rPr>
          <w:rFonts w:ascii="Arial" w:hAnsi="Arial" w:cs="Arial"/>
          <w:b/>
        </w:rPr>
      </w:pPr>
      <w:r w:rsidRPr="00346DD6">
        <w:rPr>
          <w:rFonts w:ascii="Arial" w:hAnsi="Arial" w:cs="Arial"/>
        </w:rPr>
        <w:br w:type="page"/>
      </w:r>
      <w:r w:rsidR="00475456" w:rsidRPr="00346DD6">
        <w:rPr>
          <w:rFonts w:ascii="Arial" w:hAnsi="Arial" w:cs="Arial"/>
          <w:noProof/>
        </w:rPr>
        <w:lastRenderedPageBreak/>
        <w:drawing>
          <wp:inline distT="0" distB="0" distL="0" distR="0" wp14:anchorId="614ECCD3" wp14:editId="2714B5E9">
            <wp:extent cx="5467350" cy="2270494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640" cy="227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456" w:rsidRPr="00346DD6">
        <w:rPr>
          <w:rFonts w:ascii="Arial" w:hAnsi="Arial" w:cs="Arial"/>
          <w:b/>
        </w:rPr>
        <w:t xml:space="preserve"> </w:t>
      </w:r>
    </w:p>
    <w:p w14:paraId="67A29543" w14:textId="59343B76" w:rsidR="00475456" w:rsidRPr="00346DD6" w:rsidRDefault="00475456" w:rsidP="00346DD6">
      <w:pPr>
        <w:widowControl/>
        <w:wordWrap/>
        <w:autoSpaceDE/>
        <w:spacing w:afterLines="60" w:after="144"/>
        <w:rPr>
          <w:rFonts w:ascii="Arial" w:hAnsi="Arial" w:cs="Arial"/>
        </w:rPr>
      </w:pPr>
      <w:r w:rsidRPr="00346DD6">
        <w:rPr>
          <w:rFonts w:ascii="Arial" w:hAnsi="Arial" w:cs="Arial"/>
          <w:b/>
        </w:rPr>
        <w:t>Supplementary Figure 2</w:t>
      </w:r>
      <w:r w:rsidR="000B7D63">
        <w:rPr>
          <w:rFonts w:ascii="Arial" w:hAnsi="Arial" w:cs="Arial"/>
          <w:b/>
        </w:rPr>
        <w:t>:</w:t>
      </w:r>
      <w:r w:rsidRPr="00346DD6">
        <w:rPr>
          <w:rFonts w:ascii="Arial" w:hAnsi="Arial" w:cs="Arial"/>
          <w:b/>
        </w:rPr>
        <w:t xml:space="preserve"> Assessment of the formation the NLRP3</w:t>
      </w:r>
      <w:r w:rsidR="005A1AF0" w:rsidRPr="00346DD6">
        <w:rPr>
          <w:rFonts w:ascii="Arial" w:hAnsi="Arial" w:cs="Arial"/>
          <w:b/>
        </w:rPr>
        <w:t>-ASC</w:t>
      </w:r>
      <w:r w:rsidRPr="00346DD6">
        <w:rPr>
          <w:rFonts w:ascii="Arial" w:hAnsi="Arial" w:cs="Arial"/>
          <w:b/>
        </w:rPr>
        <w:t xml:space="preserve"> complex by double staining with NLRP3 (red) and ASC (green). </w:t>
      </w:r>
      <w:r w:rsidRPr="00346DD6">
        <w:rPr>
          <w:rFonts w:ascii="Arial" w:hAnsi="Arial" w:cs="Arial"/>
        </w:rPr>
        <w:t>Representative immunocytochemical images showing NLRP3 and ASC staining in cortical neurons treated with 10, 25, and 50 µg/mL of LLT with H</w:t>
      </w:r>
      <w:r w:rsidRPr="00346DD6">
        <w:rPr>
          <w:rFonts w:ascii="Arial" w:hAnsi="Arial" w:cs="Arial"/>
          <w:vertAlign w:val="subscript"/>
        </w:rPr>
        <w:t>2</w:t>
      </w:r>
      <w:r w:rsidRPr="00346DD6">
        <w:rPr>
          <w:rFonts w:ascii="Arial" w:hAnsi="Arial" w:cs="Arial"/>
        </w:rPr>
        <w:t>O</w:t>
      </w:r>
      <w:r w:rsidRPr="00346DD6">
        <w:rPr>
          <w:rFonts w:ascii="Arial" w:hAnsi="Arial" w:cs="Arial"/>
          <w:vertAlign w:val="subscript"/>
        </w:rPr>
        <w:t>2</w:t>
      </w:r>
      <w:r w:rsidRPr="00346DD6">
        <w:rPr>
          <w:rFonts w:ascii="Arial" w:hAnsi="Arial" w:cs="Arial"/>
        </w:rPr>
        <w:t xml:space="preserve"> exposure. White scale bar = 50 µm, yellow scale bar = 5 µm.</w:t>
      </w:r>
    </w:p>
    <w:p w14:paraId="44FD23FA" w14:textId="6345253F" w:rsidR="00475456" w:rsidRPr="00346DD6" w:rsidRDefault="00475456" w:rsidP="00475456">
      <w:pPr>
        <w:widowControl/>
        <w:wordWrap/>
        <w:autoSpaceDE/>
        <w:autoSpaceDN/>
        <w:rPr>
          <w:rFonts w:ascii="Arial" w:hAnsi="Arial" w:cs="Arial"/>
        </w:rPr>
      </w:pPr>
    </w:p>
    <w:p w14:paraId="2C1D2310" w14:textId="126DFD0E" w:rsidR="00475456" w:rsidRPr="00346DD6" w:rsidRDefault="00475456">
      <w:pPr>
        <w:widowControl/>
        <w:wordWrap/>
        <w:autoSpaceDE/>
        <w:autoSpaceDN/>
        <w:rPr>
          <w:rFonts w:ascii="Arial" w:hAnsi="Arial" w:cs="Arial"/>
        </w:rPr>
      </w:pPr>
      <w:r w:rsidRPr="00346DD6">
        <w:rPr>
          <w:rFonts w:ascii="Arial" w:hAnsi="Arial" w:cs="Arial"/>
        </w:rPr>
        <w:br w:type="page"/>
      </w:r>
    </w:p>
    <w:p w14:paraId="325F906C" w14:textId="77777777" w:rsidR="00CE20DC" w:rsidRPr="00346DD6" w:rsidRDefault="00475456" w:rsidP="00CE20DC">
      <w:pPr>
        <w:widowControl/>
        <w:wordWrap/>
        <w:autoSpaceDE/>
        <w:autoSpaceDN/>
        <w:rPr>
          <w:rFonts w:ascii="Arial" w:hAnsi="Arial" w:cs="Arial"/>
          <w:b/>
        </w:rPr>
      </w:pPr>
      <w:r w:rsidRPr="00346DD6">
        <w:rPr>
          <w:rFonts w:ascii="Arial" w:eastAsia="Gulim" w:hAnsi="Arial" w:cs="Arial"/>
          <w:noProof/>
          <w:kern w:val="0"/>
          <w:sz w:val="22"/>
          <w:szCs w:val="35"/>
          <w:lang w:val="en"/>
        </w:rPr>
        <w:drawing>
          <wp:anchor distT="0" distB="0" distL="114300" distR="114300" simplePos="0" relativeHeight="251658240" behindDoc="0" locked="0" layoutInCell="1" allowOverlap="1" wp14:anchorId="71858718" wp14:editId="6BC38954">
            <wp:simplePos x="0" y="0"/>
            <wp:positionH relativeFrom="margin">
              <wp:align>center</wp:align>
            </wp:positionH>
            <wp:positionV relativeFrom="paragraph">
              <wp:posOffset>135807</wp:posOffset>
            </wp:positionV>
            <wp:extent cx="3978322" cy="1570158"/>
            <wp:effectExtent l="0" t="0" r="3175" b="0"/>
            <wp:wrapTopAndBottom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322" cy="157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D523F3" w14:textId="047A36C9" w:rsidR="00475456" w:rsidRPr="00346DD6" w:rsidRDefault="00475456" w:rsidP="00346DD6">
      <w:pPr>
        <w:widowControl/>
        <w:wordWrap/>
        <w:autoSpaceDE/>
        <w:autoSpaceDN/>
        <w:spacing w:afterLines="60" w:after="144"/>
        <w:rPr>
          <w:rFonts w:ascii="Arial" w:hAnsi="Arial" w:cs="Arial"/>
          <w:b/>
        </w:rPr>
      </w:pPr>
      <w:r w:rsidRPr="00346DD6">
        <w:rPr>
          <w:rFonts w:ascii="Arial" w:hAnsi="Arial" w:cs="Arial"/>
          <w:b/>
        </w:rPr>
        <w:t>Supplementary Figure 3</w:t>
      </w:r>
      <w:r w:rsidR="000B7D63">
        <w:rPr>
          <w:rFonts w:ascii="Arial" w:hAnsi="Arial" w:cs="Arial"/>
          <w:b/>
        </w:rPr>
        <w:t>:</w:t>
      </w:r>
      <w:r w:rsidRPr="00346DD6">
        <w:rPr>
          <w:rFonts w:ascii="Arial" w:hAnsi="Arial" w:cs="Arial"/>
          <w:b/>
        </w:rPr>
        <w:t xml:space="preserve"> </w:t>
      </w:r>
      <w:r w:rsidR="005C55E8" w:rsidRPr="00346DD6">
        <w:rPr>
          <w:rFonts w:ascii="Arial" w:hAnsi="Arial" w:cs="Arial"/>
          <w:b/>
        </w:rPr>
        <w:t>Immunoprecipitation</w:t>
      </w:r>
      <w:r w:rsidR="00CE20DC" w:rsidRPr="00346DD6">
        <w:rPr>
          <w:rFonts w:ascii="Arial" w:hAnsi="Arial" w:cs="Arial"/>
          <w:b/>
        </w:rPr>
        <w:t xml:space="preserve"> (IP)</w:t>
      </w:r>
      <w:r w:rsidR="005C55E8" w:rsidRPr="00346DD6">
        <w:rPr>
          <w:rFonts w:ascii="Arial" w:hAnsi="Arial" w:cs="Arial"/>
          <w:b/>
        </w:rPr>
        <w:t xml:space="preserve"> assay to determine the </w:t>
      </w:r>
      <w:r w:rsidR="00CE20DC" w:rsidRPr="00346DD6">
        <w:rPr>
          <w:rFonts w:ascii="Arial" w:hAnsi="Arial" w:cs="Arial"/>
          <w:b/>
        </w:rPr>
        <w:t xml:space="preserve">NLRP3 (135 </w:t>
      </w:r>
      <w:proofErr w:type="spellStart"/>
      <w:r w:rsidR="00CE20DC" w:rsidRPr="00346DD6">
        <w:rPr>
          <w:rFonts w:ascii="Arial" w:hAnsi="Arial" w:cs="Arial"/>
          <w:b/>
        </w:rPr>
        <w:t>kDa</w:t>
      </w:r>
      <w:proofErr w:type="spellEnd"/>
      <w:r w:rsidR="00CE20DC" w:rsidRPr="00346DD6">
        <w:rPr>
          <w:rFonts w:ascii="Arial" w:hAnsi="Arial" w:cs="Arial"/>
          <w:b/>
        </w:rPr>
        <w:t xml:space="preserve">) and Caspase-1 (pro-forms, 48 </w:t>
      </w:r>
      <w:proofErr w:type="spellStart"/>
      <w:r w:rsidR="00CE20DC" w:rsidRPr="00346DD6">
        <w:rPr>
          <w:rFonts w:ascii="Arial" w:hAnsi="Arial" w:cs="Arial"/>
          <w:b/>
        </w:rPr>
        <w:t>kDa</w:t>
      </w:r>
      <w:proofErr w:type="spellEnd"/>
      <w:r w:rsidR="00CE20DC" w:rsidRPr="00346DD6">
        <w:rPr>
          <w:rFonts w:ascii="Arial" w:hAnsi="Arial" w:cs="Arial"/>
          <w:b/>
        </w:rPr>
        <w:t xml:space="preserve">) interaction with ASC (22 </w:t>
      </w:r>
      <w:proofErr w:type="spellStart"/>
      <w:r w:rsidR="00CE20DC" w:rsidRPr="00346DD6">
        <w:rPr>
          <w:rFonts w:ascii="Arial" w:hAnsi="Arial" w:cs="Arial"/>
          <w:b/>
        </w:rPr>
        <w:t>kDa</w:t>
      </w:r>
      <w:proofErr w:type="spellEnd"/>
      <w:r w:rsidR="00CE20DC" w:rsidRPr="00346DD6">
        <w:rPr>
          <w:rFonts w:ascii="Arial" w:hAnsi="Arial" w:cs="Arial"/>
          <w:b/>
        </w:rPr>
        <w:t>) in cell lysate from cortical neurons</w:t>
      </w:r>
      <w:bookmarkStart w:id="0" w:name="_Hlk68074667"/>
      <w:r w:rsidR="00CE20DC" w:rsidRPr="00346DD6">
        <w:rPr>
          <w:rFonts w:ascii="Arial" w:hAnsi="Arial" w:cs="Arial"/>
          <w:b/>
        </w:rPr>
        <w:t>.</w:t>
      </w:r>
      <w:r w:rsidR="00CE20DC" w:rsidRPr="00346DD6">
        <w:rPr>
          <w:rFonts w:ascii="Arial" w:hAnsi="Arial" w:cs="Arial"/>
          <w:color w:val="131413"/>
          <w:kern w:val="0"/>
          <w:szCs w:val="20"/>
        </w:rPr>
        <w:t xml:space="preserve"> </w:t>
      </w:r>
      <w:r w:rsidR="00591E5D" w:rsidRPr="00346DD6">
        <w:rPr>
          <w:rFonts w:ascii="Arial" w:hAnsi="Arial" w:cs="Arial"/>
          <w:color w:val="131413"/>
          <w:kern w:val="0"/>
          <w:szCs w:val="20"/>
        </w:rPr>
        <w:t>Non-antibody group was used as a loading control.</w:t>
      </w:r>
    </w:p>
    <w:p w14:paraId="2AC00228" w14:textId="77777777" w:rsidR="00475456" w:rsidRPr="00346DD6" w:rsidRDefault="00475456" w:rsidP="00346DD6">
      <w:pPr>
        <w:widowControl/>
        <w:wordWrap/>
        <w:autoSpaceDE/>
        <w:autoSpaceDN/>
        <w:spacing w:afterLines="60" w:after="144"/>
        <w:rPr>
          <w:rFonts w:ascii="Arial" w:hAnsi="Arial" w:cs="Arial"/>
        </w:rPr>
      </w:pPr>
      <w:r w:rsidRPr="00346DD6">
        <w:rPr>
          <w:rFonts w:ascii="Arial" w:hAnsi="Arial" w:cs="Arial"/>
        </w:rPr>
        <w:br w:type="page"/>
      </w:r>
    </w:p>
    <w:bookmarkEnd w:id="0"/>
    <w:p w14:paraId="079FB07E" w14:textId="77777777" w:rsidR="007C7A4F" w:rsidRPr="00346DD6" w:rsidRDefault="007C7A4F" w:rsidP="00342603">
      <w:pPr>
        <w:rPr>
          <w:rFonts w:ascii="Arial" w:hAnsi="Arial" w:cs="Arial"/>
          <w:b/>
          <w:bCs/>
        </w:rPr>
      </w:pPr>
      <w:r w:rsidRPr="00346DD6">
        <w:rPr>
          <w:rFonts w:ascii="Arial" w:hAnsi="Arial" w:cs="Arial"/>
          <w:noProof/>
        </w:rPr>
        <w:drawing>
          <wp:inline distT="0" distB="0" distL="0" distR="0" wp14:anchorId="142A5956" wp14:editId="37B1F157">
            <wp:extent cx="5720715" cy="2516505"/>
            <wp:effectExtent l="0" t="0" r="0" b="0"/>
            <wp:docPr id="1" name="그림 1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ure S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2979C" w14:textId="72A1408A" w:rsidR="00914783" w:rsidRPr="00346DD6" w:rsidRDefault="00A93556" w:rsidP="00346DD6">
      <w:pPr>
        <w:spacing w:afterLines="60" w:after="144"/>
        <w:rPr>
          <w:rFonts w:ascii="Arial" w:hAnsi="Arial" w:cs="Arial"/>
        </w:rPr>
      </w:pPr>
      <w:r w:rsidRPr="00346DD6">
        <w:rPr>
          <w:rFonts w:ascii="Arial" w:hAnsi="Arial" w:cs="Arial"/>
          <w:b/>
          <w:bCs/>
        </w:rPr>
        <w:t>Supplementary Figure</w:t>
      </w:r>
      <w:r w:rsidR="00D72750" w:rsidRPr="00346DD6">
        <w:rPr>
          <w:rFonts w:ascii="Arial" w:hAnsi="Arial" w:cs="Arial"/>
          <w:b/>
          <w:bCs/>
        </w:rPr>
        <w:t xml:space="preserve"> </w:t>
      </w:r>
      <w:r w:rsidR="00475456" w:rsidRPr="00346DD6">
        <w:rPr>
          <w:rFonts w:ascii="Arial" w:hAnsi="Arial" w:cs="Arial"/>
          <w:b/>
          <w:bCs/>
        </w:rPr>
        <w:t>4</w:t>
      </w:r>
      <w:r w:rsidR="000B7D63">
        <w:rPr>
          <w:rFonts w:ascii="Arial" w:hAnsi="Arial" w:cs="Arial"/>
          <w:b/>
          <w:bCs/>
        </w:rPr>
        <w:t>:</w:t>
      </w:r>
      <w:r w:rsidRPr="00346DD6">
        <w:rPr>
          <w:rFonts w:ascii="Arial" w:hAnsi="Arial" w:cs="Arial"/>
          <w:b/>
          <w:bCs/>
        </w:rPr>
        <w:t xml:space="preserve"> </w:t>
      </w:r>
      <w:r w:rsidR="00342603" w:rsidRPr="00346DD6">
        <w:rPr>
          <w:rFonts w:ascii="Arial" w:hAnsi="Arial" w:cs="Arial"/>
          <w:b/>
          <w:bCs/>
        </w:rPr>
        <w:t>BDNF and NGF Flow cytometry analysis of cortical neuron treated with 10, 25 and 50 µg/ml of LLT without H</w:t>
      </w:r>
      <w:r w:rsidR="00342603" w:rsidRPr="00346DD6">
        <w:rPr>
          <w:rFonts w:ascii="Arial" w:hAnsi="Arial" w:cs="Arial"/>
          <w:b/>
          <w:bCs/>
          <w:vertAlign w:val="subscript"/>
        </w:rPr>
        <w:t>2</w:t>
      </w:r>
      <w:r w:rsidR="00342603" w:rsidRPr="00346DD6">
        <w:rPr>
          <w:rFonts w:ascii="Arial" w:hAnsi="Arial" w:cs="Arial"/>
          <w:b/>
          <w:bCs/>
        </w:rPr>
        <w:t>O</w:t>
      </w:r>
      <w:r w:rsidR="00342603" w:rsidRPr="00346DD6">
        <w:rPr>
          <w:rFonts w:ascii="Arial" w:hAnsi="Arial" w:cs="Arial"/>
          <w:b/>
          <w:bCs/>
          <w:vertAlign w:val="subscript"/>
        </w:rPr>
        <w:t>2</w:t>
      </w:r>
      <w:r w:rsidR="00342603" w:rsidRPr="00346DD6">
        <w:rPr>
          <w:rFonts w:ascii="Arial" w:hAnsi="Arial" w:cs="Arial"/>
          <w:b/>
          <w:bCs/>
        </w:rPr>
        <w:t xml:space="preserve"> exposure</w:t>
      </w:r>
      <w:r w:rsidR="00342603" w:rsidRPr="00346DD6">
        <w:rPr>
          <w:rFonts w:ascii="Arial" w:hAnsi="Arial" w:cs="Arial"/>
        </w:rPr>
        <w:t xml:space="preserve">. </w:t>
      </w:r>
      <w:r w:rsidR="0021249F" w:rsidRPr="00346DD6">
        <w:rPr>
          <w:rFonts w:ascii="Arial" w:hAnsi="Arial" w:cs="Arial"/>
        </w:rPr>
        <w:t>a</w:t>
      </w:r>
      <w:r w:rsidR="00342603" w:rsidRPr="00346DD6">
        <w:rPr>
          <w:rFonts w:ascii="Arial" w:hAnsi="Arial" w:cs="Arial"/>
        </w:rPr>
        <w:t xml:space="preserve">) Representative dot plots graphs showing BDNF expression. </w:t>
      </w:r>
      <w:r w:rsidR="0021249F" w:rsidRPr="00346DD6">
        <w:rPr>
          <w:rFonts w:ascii="Arial" w:hAnsi="Arial" w:cs="Arial"/>
        </w:rPr>
        <w:t>b</w:t>
      </w:r>
      <w:r w:rsidR="00342603" w:rsidRPr="00346DD6">
        <w:rPr>
          <w:rFonts w:ascii="Arial" w:hAnsi="Arial" w:cs="Arial"/>
        </w:rPr>
        <w:t xml:space="preserve">) Quantification of BDNF-positive cells at the single cell level. </w:t>
      </w:r>
      <w:r w:rsidR="0021249F" w:rsidRPr="00346DD6">
        <w:rPr>
          <w:rFonts w:ascii="Arial" w:hAnsi="Arial" w:cs="Arial"/>
        </w:rPr>
        <w:t>c</w:t>
      </w:r>
      <w:r w:rsidR="00342603" w:rsidRPr="00346DD6">
        <w:rPr>
          <w:rFonts w:ascii="Arial" w:hAnsi="Arial" w:cs="Arial"/>
        </w:rPr>
        <w:t xml:space="preserve">) Representative dot plots graphs showing NGF expression. </w:t>
      </w:r>
      <w:r w:rsidR="0021249F" w:rsidRPr="00346DD6">
        <w:rPr>
          <w:rFonts w:ascii="Arial" w:hAnsi="Arial" w:cs="Arial"/>
        </w:rPr>
        <w:t>d</w:t>
      </w:r>
      <w:r w:rsidR="00342603" w:rsidRPr="00346DD6">
        <w:rPr>
          <w:rFonts w:ascii="Arial" w:hAnsi="Arial" w:cs="Arial"/>
        </w:rPr>
        <w:t>) Quantification of NGF-positive cells at the single cell level. Data represent mean ± SEM of six independent experiments. Statistically significant differences compared with blank group by one-way ANOVA with Tukey’s post-hoc test. (*p &lt; 0.05; **p &lt; 0.01; ***p &lt; 0.001).</w:t>
      </w:r>
      <w:r w:rsidRPr="00346DD6">
        <w:rPr>
          <w:rFonts w:ascii="Arial" w:hAnsi="Arial" w:cs="Arial"/>
        </w:rPr>
        <w:br w:type="page"/>
      </w:r>
    </w:p>
    <w:p w14:paraId="59BEFA3C" w14:textId="77777777" w:rsidR="00914783" w:rsidRPr="00346DD6" w:rsidRDefault="001551A4">
      <w:pPr>
        <w:rPr>
          <w:rFonts w:ascii="Arial" w:hAnsi="Arial" w:cs="Arial"/>
        </w:rPr>
      </w:pPr>
      <w:r>
        <w:rPr>
          <w:rFonts w:ascii="Arial" w:hAnsi="Arial" w:cs="Arial"/>
        </w:rPr>
        <w:pict w14:anchorId="408459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0.8pt;height:274.7pt">
            <v:imagedata r:id="rId8" o:title="Figure S2"/>
          </v:shape>
        </w:pict>
      </w:r>
    </w:p>
    <w:p w14:paraId="0E92C357" w14:textId="44301D8A" w:rsidR="0073249C" w:rsidRPr="00346DD6" w:rsidRDefault="0073249C" w:rsidP="00346DD6">
      <w:pPr>
        <w:spacing w:afterLines="60" w:after="144"/>
        <w:rPr>
          <w:rFonts w:ascii="Arial" w:hAnsi="Arial" w:cs="Arial"/>
        </w:rPr>
      </w:pPr>
      <w:r w:rsidRPr="00346DD6">
        <w:rPr>
          <w:rFonts w:ascii="Arial" w:hAnsi="Arial" w:cs="Arial"/>
          <w:b/>
          <w:bCs/>
        </w:rPr>
        <w:t>Supplementary Figure</w:t>
      </w:r>
      <w:r w:rsidR="00D72750" w:rsidRPr="00346DD6">
        <w:rPr>
          <w:rFonts w:ascii="Arial" w:hAnsi="Arial" w:cs="Arial"/>
          <w:b/>
          <w:bCs/>
        </w:rPr>
        <w:t xml:space="preserve"> </w:t>
      </w:r>
      <w:r w:rsidR="00475456" w:rsidRPr="00346DD6">
        <w:rPr>
          <w:rFonts w:ascii="Arial" w:hAnsi="Arial" w:cs="Arial"/>
          <w:b/>
          <w:bCs/>
        </w:rPr>
        <w:t>5</w:t>
      </w:r>
      <w:r w:rsidR="000B7D63">
        <w:rPr>
          <w:rFonts w:ascii="Arial" w:hAnsi="Arial" w:cs="Arial"/>
          <w:b/>
          <w:bCs/>
        </w:rPr>
        <w:t>:</w:t>
      </w:r>
      <w:r w:rsidRPr="00346DD6">
        <w:rPr>
          <w:rFonts w:ascii="Arial" w:hAnsi="Arial" w:cs="Arial"/>
          <w:b/>
          <w:bCs/>
        </w:rPr>
        <w:t xml:space="preserve"> </w:t>
      </w:r>
      <w:r w:rsidR="00342603" w:rsidRPr="00346DD6">
        <w:rPr>
          <w:rFonts w:ascii="Arial" w:hAnsi="Arial" w:cs="Arial"/>
          <w:b/>
          <w:bCs/>
        </w:rPr>
        <w:t>Synaptophysin</w:t>
      </w:r>
      <w:r w:rsidRPr="00346DD6">
        <w:rPr>
          <w:rFonts w:ascii="Arial" w:hAnsi="Arial" w:cs="Arial"/>
          <w:b/>
          <w:bCs/>
        </w:rPr>
        <w:t xml:space="preserve"> Flow cytometry analysis of cortical neuron </w:t>
      </w:r>
      <w:r w:rsidR="00342603" w:rsidRPr="00346DD6">
        <w:rPr>
          <w:rFonts w:ascii="Arial" w:hAnsi="Arial" w:cs="Arial"/>
          <w:b/>
          <w:bCs/>
        </w:rPr>
        <w:t>treated with 10, 25 and 50 µg/ml of LLT</w:t>
      </w:r>
      <w:r w:rsidRPr="00346DD6">
        <w:rPr>
          <w:rFonts w:ascii="Arial" w:hAnsi="Arial" w:cs="Arial"/>
          <w:b/>
          <w:bCs/>
        </w:rPr>
        <w:t xml:space="preserve"> without </w:t>
      </w:r>
      <w:r w:rsidR="00342603" w:rsidRPr="00346DD6">
        <w:rPr>
          <w:rFonts w:ascii="Arial" w:hAnsi="Arial" w:cs="Arial"/>
          <w:b/>
          <w:bCs/>
        </w:rPr>
        <w:t>H</w:t>
      </w:r>
      <w:r w:rsidR="00342603" w:rsidRPr="00346DD6">
        <w:rPr>
          <w:rFonts w:ascii="Arial" w:hAnsi="Arial" w:cs="Arial"/>
          <w:b/>
          <w:bCs/>
          <w:vertAlign w:val="subscript"/>
        </w:rPr>
        <w:t>2</w:t>
      </w:r>
      <w:r w:rsidR="00342603" w:rsidRPr="00346DD6">
        <w:rPr>
          <w:rFonts w:ascii="Arial" w:hAnsi="Arial" w:cs="Arial"/>
          <w:b/>
          <w:bCs/>
        </w:rPr>
        <w:t>O</w:t>
      </w:r>
      <w:r w:rsidR="00342603" w:rsidRPr="00346DD6">
        <w:rPr>
          <w:rFonts w:ascii="Arial" w:hAnsi="Arial" w:cs="Arial"/>
          <w:b/>
          <w:bCs/>
          <w:vertAlign w:val="subscript"/>
        </w:rPr>
        <w:t>2</w:t>
      </w:r>
      <w:r w:rsidRPr="00346DD6">
        <w:rPr>
          <w:rFonts w:ascii="Arial" w:hAnsi="Arial" w:cs="Arial"/>
          <w:b/>
          <w:bCs/>
        </w:rPr>
        <w:t xml:space="preserve"> exposure</w:t>
      </w:r>
      <w:r w:rsidRPr="00346DD6">
        <w:rPr>
          <w:rFonts w:ascii="Arial" w:hAnsi="Arial" w:cs="Arial"/>
        </w:rPr>
        <w:t xml:space="preserve">. </w:t>
      </w:r>
      <w:r w:rsidR="0021249F" w:rsidRPr="00346DD6">
        <w:rPr>
          <w:rFonts w:ascii="Arial" w:hAnsi="Arial" w:cs="Arial"/>
        </w:rPr>
        <w:t>a</w:t>
      </w:r>
      <w:r w:rsidR="00342603" w:rsidRPr="00346DD6">
        <w:rPr>
          <w:rFonts w:ascii="Arial" w:hAnsi="Arial" w:cs="Arial"/>
        </w:rPr>
        <w:t xml:space="preserve">) Representative dot plots graphs showing Synaptophysin expression. </w:t>
      </w:r>
      <w:r w:rsidR="0021249F" w:rsidRPr="00346DD6">
        <w:rPr>
          <w:rFonts w:ascii="Arial" w:hAnsi="Arial" w:cs="Arial"/>
        </w:rPr>
        <w:t>b</w:t>
      </w:r>
      <w:r w:rsidR="00342603" w:rsidRPr="00346DD6">
        <w:rPr>
          <w:rFonts w:ascii="Arial" w:hAnsi="Arial" w:cs="Arial"/>
        </w:rPr>
        <w:t>) Quantification of Synaptophysin-positive cells at the single cell level. Data represent mean ± SEM of six independent experiments. Statistically significant differences compared with blank group by one-way ANOVA with Tukey’s post-hoc test. (*p &lt; 0.05; **p &lt; 0.01; ***p &lt; 0.001).</w:t>
      </w:r>
    </w:p>
    <w:p w14:paraId="2F5C9787" w14:textId="77777777" w:rsidR="0073249C" w:rsidRPr="00346DD6" w:rsidRDefault="0073249C" w:rsidP="0073249C">
      <w:pPr>
        <w:widowControl/>
        <w:wordWrap/>
        <w:autoSpaceDE/>
        <w:autoSpaceDN/>
        <w:rPr>
          <w:rFonts w:ascii="Arial" w:hAnsi="Arial" w:cs="Arial"/>
        </w:rPr>
      </w:pPr>
    </w:p>
    <w:sectPr w:rsidR="0073249C" w:rsidRPr="00346DD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algun Gothic">
    <w:altName w:val="맑은 고딕"/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783"/>
    <w:rsid w:val="000928FB"/>
    <w:rsid w:val="000B43A4"/>
    <w:rsid w:val="000B7D63"/>
    <w:rsid w:val="001551A4"/>
    <w:rsid w:val="001C793F"/>
    <w:rsid w:val="0021249F"/>
    <w:rsid w:val="00342603"/>
    <w:rsid w:val="00346DD6"/>
    <w:rsid w:val="00423526"/>
    <w:rsid w:val="00475456"/>
    <w:rsid w:val="00591E5D"/>
    <w:rsid w:val="005A1AF0"/>
    <w:rsid w:val="005C55E8"/>
    <w:rsid w:val="0073249C"/>
    <w:rsid w:val="007C7A4F"/>
    <w:rsid w:val="00914783"/>
    <w:rsid w:val="00A93556"/>
    <w:rsid w:val="00BA6FB7"/>
    <w:rsid w:val="00CE20DC"/>
    <w:rsid w:val="00D72750"/>
    <w:rsid w:val="00EA2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D21567"/>
  <w15:chartTrackingRefBased/>
  <w15:docId w15:val="{9C537D38-B19A-4595-81A3-FC300023D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61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</dc:creator>
  <cp:keywords/>
  <dc:description/>
  <cp:lastModifiedBy>Mel Phimester</cp:lastModifiedBy>
  <cp:revision>2</cp:revision>
  <dcterms:created xsi:type="dcterms:W3CDTF">2021-04-14T03:50:00Z</dcterms:created>
  <dcterms:modified xsi:type="dcterms:W3CDTF">2021-04-14T03:50:00Z</dcterms:modified>
</cp:coreProperties>
</file>