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611" w:rsidRPr="00C112F2" w:rsidRDefault="00755611" w:rsidP="00755611">
      <w:pPr>
        <w:suppressLineNumbers/>
        <w:ind w:left="-709" w:right="-852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C112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Supplement table 1. Prognostic accuracy of SOFA, </w:t>
      </w:r>
      <w:proofErr w:type="spellStart"/>
      <w:r w:rsidRPr="00C112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qSOFA</w:t>
      </w:r>
      <w:proofErr w:type="spellEnd"/>
      <w:r w:rsidRPr="00C112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, and SIRS for 28-day mortality in patients without hypotension on admission or vasopressor treatment.</w:t>
      </w:r>
    </w:p>
    <w:tbl>
      <w:tblPr>
        <w:tblStyle w:val="Tabel-Gitter"/>
        <w:tblW w:w="107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55"/>
        <w:gridCol w:w="1624"/>
        <w:gridCol w:w="1492"/>
        <w:gridCol w:w="1490"/>
        <w:gridCol w:w="1628"/>
        <w:gridCol w:w="1625"/>
        <w:gridCol w:w="1493"/>
      </w:tblGrid>
      <w:tr w:rsidR="00755611" w:rsidRPr="00BF7284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755611" w:rsidRPr="00C112F2" w:rsidTr="00A34B9D">
        <w:trPr>
          <w:trHeight w:val="313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bookmarkStart w:id="0" w:name="_Hlk71279864"/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SOFA </w:t>
            </w:r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≥2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qSOFA</w:t>
            </w:r>
            <w:proofErr w:type="spellEnd"/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≥2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SIRS </w:t>
            </w:r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≥2</w:t>
            </w:r>
          </w:p>
        </w:tc>
      </w:tr>
      <w:bookmarkEnd w:id="0"/>
      <w:tr w:rsidR="00755611" w:rsidRPr="00BF7284" w:rsidTr="00A34B9D">
        <w:trPr>
          <w:trHeight w:val="297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Patients with SBP ≤90 mmHg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(n=61) excluded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Patients treated with vasopressor excluded (n=20)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Patients with SBP ≤90 mmHg</w:t>
            </w:r>
          </w:p>
          <w:p w:rsidR="00755611" w:rsidRPr="00C112F2" w:rsidRDefault="00755611" w:rsidP="00A34B9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(n=61) excluded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Patients treated with vasopressor excluded (n=20)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Patients with SBP ≤90 mmHg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(n=61) excluded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Patients treated with vasopressor excluded (n=20)</w:t>
            </w:r>
          </w:p>
        </w:tc>
      </w:tr>
      <w:tr w:rsidR="00755611" w:rsidRPr="00C112F2" w:rsidTr="00A34B9D">
        <w:trPr>
          <w:trHeight w:val="580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Sensitivity </w:t>
            </w:r>
          </w:p>
          <w:p w:rsidR="00755611" w:rsidRPr="00C112F2" w:rsidRDefault="00755611" w:rsidP="00A34B9D">
            <w:pPr>
              <w:tabs>
                <w:tab w:val="right" w:pos="1817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(95% CI)</w:t>
            </w: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ab/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57.6 (49.1-65.8)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59.6 (51.3-67.5)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13.9 (8.7-20.6)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17.2 (11.6-24.2)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50.0 (41.6-58.4)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51.7 (43.4-59.9)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Specificity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(95% CI)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68.4 (66.2-70.5)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67.6 (65.4-69.7)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93.6 (92.4-94.7)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92.4 (91.1-93.6)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51.6 (49.3-53.9)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51.7 (49.4-54.0)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PPV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(95% CI)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12.5 (10.1-15.2)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12.9 (10.5-15.6)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14.5 (9.1-21.5)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15.5 (10.4-21.8)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7.5 (5.9 – 9.3)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7.9 (6.3-9.8)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NPV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(95% CI)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95.4 (94.1-96-4)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95.4 (94.1-96.5)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93.3 (92.0-94.4)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93.3 (92.0-94.4)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92.9 (91.2-94.4)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93.0 (91.3-94.5)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Likelihood ratio (+)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1.8(1.6-2.1)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1.8 (1.6-2.1)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2.2 (1.4-3.4)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2.2 (1.6-3.4)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1.03 (0.9-1.2)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1.1 (0.9-1.3)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Likelihood ratio (-)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 (0.5-0.8)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 (0.5-0.7)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0.92 (0.9-1.0)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0.9 (0.8-1.0)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1.0 (0.8-1.2)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0.9 (0.8-1.1)</w:t>
            </w:r>
          </w:p>
        </w:tc>
      </w:tr>
      <w:tr w:rsidR="00755611" w:rsidRPr="00C112F2" w:rsidTr="00A34B9D">
        <w:trPr>
          <w:trHeight w:val="31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  SOFA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qSOFA</w:t>
            </w:r>
            <w:proofErr w:type="spellEnd"/>
            <w:r w:rsidRPr="00C112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 xml:space="preserve">   SIRS </w:t>
            </w:r>
          </w:p>
        </w:tc>
      </w:tr>
      <w:tr w:rsidR="00755611" w:rsidRPr="00C112F2" w:rsidTr="00A34B9D">
        <w:trPr>
          <w:trHeight w:val="49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AUROC</w:t>
            </w:r>
          </w:p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(95% CI)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0.67 (0.62-0.71)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0.67 (0.63-0.72)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0.61 (0.56-0.65)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0.61 (0.57-0.66)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0.50 (0.45-0.55)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611" w:rsidRPr="00C112F2" w:rsidRDefault="00755611" w:rsidP="00A34B9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0.51 (0.47-0.55)</w:t>
            </w:r>
          </w:p>
        </w:tc>
      </w:tr>
    </w:tbl>
    <w:p w:rsidR="00755611" w:rsidRDefault="00755611" w:rsidP="00755611">
      <w:pPr>
        <w:suppressLineNumbers/>
        <w:ind w:left="-709" w:right="-141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112F2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 xml:space="preserve">Abbreviations: AUROC: </w:t>
      </w:r>
      <w:r w:rsidRPr="00C112F2">
        <w:rPr>
          <w:rFonts w:ascii="Times New Roman" w:eastAsia="FrutigerLTPro-LightCn" w:hAnsi="Times New Roman" w:cs="Times New Roman"/>
          <w:color w:val="000000"/>
          <w:sz w:val="20"/>
          <w:szCs w:val="20"/>
          <w:lang w:val="en-US"/>
        </w:rPr>
        <w:t>Area under the receiver operating characteristic curve</w:t>
      </w:r>
      <w:r w:rsidRPr="00C112F2">
        <w:rPr>
          <w:rFonts w:ascii="Times New Roman" w:hAnsi="Times New Roman" w:cs="Times New Roman"/>
          <w:bCs/>
          <w:color w:val="000000"/>
          <w:sz w:val="20"/>
          <w:szCs w:val="20"/>
          <w:lang w:val="en-US"/>
        </w:rPr>
        <w:t xml:space="preserve">; </w:t>
      </w:r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CI, confidence interval; NPV, Negative predictive </w:t>
      </w:r>
    </w:p>
    <w:p w:rsidR="00755611" w:rsidRDefault="00755611" w:rsidP="00755611">
      <w:pPr>
        <w:suppressLineNumbers/>
        <w:ind w:left="-709" w:right="-1419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value; PPV, Positive predictive value; </w:t>
      </w:r>
      <w:proofErr w:type="spellStart"/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>qSOFA</w:t>
      </w:r>
      <w:proofErr w:type="spellEnd"/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, quick sequential organ failure assessment; SBP, systolic blood pressure; SIRS, </w:t>
      </w:r>
      <w:proofErr w:type="spellStart"/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>syste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lang w:val="en-US"/>
        </w:rPr>
        <w:t>-</w:t>
      </w:r>
    </w:p>
    <w:p w:rsidR="00755611" w:rsidRPr="00C112F2" w:rsidRDefault="00755611" w:rsidP="00755611">
      <w:pPr>
        <w:suppressLineNumbers/>
        <w:ind w:left="-709" w:right="-1419"/>
        <w:rPr>
          <w:rFonts w:ascii="Times New Roman" w:hAnsi="Times New Roman" w:cs="Times New Roman"/>
          <w:b/>
          <w:color w:val="000000"/>
          <w:sz w:val="18"/>
          <w:szCs w:val="18"/>
          <w:vertAlign w:val="superscript"/>
          <w:lang w:val="en-US"/>
        </w:rPr>
      </w:pPr>
      <w:bookmarkStart w:id="1" w:name="_GoBack"/>
      <w:bookmarkEnd w:id="1"/>
      <w:r w:rsidRPr="00C112F2">
        <w:rPr>
          <w:rFonts w:ascii="Times New Roman" w:hAnsi="Times New Roman" w:cs="Times New Roman"/>
          <w:color w:val="000000"/>
          <w:sz w:val="20"/>
          <w:szCs w:val="20"/>
          <w:lang w:val="en-US"/>
        </w:rPr>
        <w:t>mic inflammatory response syndrome; SOFA, systemic inflammatory response syndrome.</w:t>
      </w:r>
    </w:p>
    <w:p w:rsidR="00AC5B38" w:rsidRPr="00755611" w:rsidRDefault="00AC5B38">
      <w:pPr>
        <w:rPr>
          <w:lang w:val="en-US"/>
        </w:rPr>
      </w:pPr>
    </w:p>
    <w:sectPr w:rsidR="00AC5B38" w:rsidRPr="0075561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LTPro-LightCn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611"/>
    <w:rsid w:val="002852C7"/>
    <w:rsid w:val="00755611"/>
    <w:rsid w:val="00AC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4E75"/>
  <w15:chartTrackingRefBased/>
  <w15:docId w15:val="{0D492514-1129-4B4F-96D5-FF67961D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611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755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755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7556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Finn Erland Nielsen</dc:creator>
  <cp:keywords/>
  <dc:description/>
  <cp:lastModifiedBy>Finn Erland Nielsen</cp:lastModifiedBy>
  <cp:revision>1</cp:revision>
  <dcterms:created xsi:type="dcterms:W3CDTF">2021-05-12T03:20:00Z</dcterms:created>
  <dcterms:modified xsi:type="dcterms:W3CDTF">2021-05-12T03:22:00Z</dcterms:modified>
</cp:coreProperties>
</file>