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D9B" w:rsidRPr="00C112F2" w:rsidRDefault="00335D9B" w:rsidP="00335D9B">
      <w:pPr>
        <w:suppressLineNumbers/>
        <w:rPr>
          <w:color w:val="000000"/>
          <w:sz w:val="28"/>
          <w:szCs w:val="28"/>
          <w:lang w:val="en-US"/>
        </w:rPr>
      </w:pPr>
      <w:r w:rsidRPr="00C112F2">
        <w:rPr>
          <w:rFonts w:ascii="Times New Roman" w:hAnsi="Times New Roman" w:cs="Times New Roman"/>
          <w:b/>
          <w:color w:val="000000"/>
          <w:sz w:val="28"/>
          <w:szCs w:val="28"/>
          <w:lang w:val="en-US"/>
        </w:rPr>
        <w:t>Appendix 2. Adjustments for chronic diseases.</w:t>
      </w:r>
    </w:p>
    <w:p w:rsidR="00335D9B" w:rsidRPr="00C112F2" w:rsidRDefault="00335D9B" w:rsidP="00335D9B">
      <w:pPr>
        <w:suppressLineNumbers/>
        <w:spacing w:line="360" w:lineRule="auto"/>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The chronic disorders of all patients were registered and categorized according to the </w:t>
      </w:r>
      <w:proofErr w:type="spellStart"/>
      <w:r w:rsidRPr="00C112F2">
        <w:rPr>
          <w:rFonts w:ascii="Times New Roman" w:hAnsi="Times New Roman" w:cs="Times New Roman"/>
          <w:color w:val="000000"/>
          <w:sz w:val="24"/>
          <w:szCs w:val="24"/>
          <w:lang w:val="en-US"/>
        </w:rPr>
        <w:t>Charlson</w:t>
      </w:r>
      <w:proofErr w:type="spellEnd"/>
      <w:r w:rsidRPr="00C112F2">
        <w:rPr>
          <w:rFonts w:ascii="Times New Roman" w:hAnsi="Times New Roman" w:cs="Times New Roman"/>
          <w:color w:val="000000"/>
          <w:sz w:val="24"/>
          <w:szCs w:val="24"/>
          <w:lang w:val="en-US"/>
        </w:rPr>
        <w:t xml:space="preserve"> Comorbidity Index classification. The patients had a baseline Sequential Organ Failure Assessment (SOFA) score of zero on admission unless the patients had acute or chronic diseases. The variables in the SOFA score were adjusted based on known comorbidities that could have impacted the SOFA calculation. The adjustment criteria for the following variables were chosen based on the clinical experience and consensus among the authors: pO2, creatinine, bilirubin, and Glasgow Coma Scale (GCS). </w:t>
      </w:r>
    </w:p>
    <w:p w:rsidR="00335D9B" w:rsidRPr="00C112F2" w:rsidRDefault="00335D9B" w:rsidP="00335D9B">
      <w:pPr>
        <w:suppressLineNumbers/>
        <w:spacing w:line="360" w:lineRule="auto"/>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The adjustments were applied to the patients with chronic lung, liver, and kidney diseases </w:t>
      </w:r>
      <w:r w:rsidR="00644093">
        <w:rPr>
          <w:rFonts w:ascii="Times New Roman" w:hAnsi="Times New Roman" w:cs="Times New Roman"/>
          <w:color w:val="000000"/>
          <w:sz w:val="24"/>
          <w:szCs w:val="24"/>
          <w:lang w:val="en-US"/>
        </w:rPr>
        <w:t xml:space="preserve">and dementia, </w:t>
      </w:r>
      <w:r w:rsidRPr="00C112F2">
        <w:rPr>
          <w:rFonts w:ascii="Times New Roman" w:hAnsi="Times New Roman" w:cs="Times New Roman"/>
          <w:color w:val="000000"/>
          <w:sz w:val="24"/>
          <w:szCs w:val="24"/>
          <w:lang w:val="en-US"/>
        </w:rPr>
        <w:t xml:space="preserve">which required lower values of pO2 and GCS, and higher values of bilirubin and creatinine at baseline, respectively, </w:t>
      </w:r>
      <w:bookmarkStart w:id="0" w:name="_GoBack"/>
      <w:bookmarkEnd w:id="0"/>
      <w:r w:rsidRPr="00C112F2">
        <w:rPr>
          <w:rFonts w:ascii="Times New Roman" w:hAnsi="Times New Roman" w:cs="Times New Roman"/>
          <w:color w:val="000000"/>
          <w:sz w:val="24"/>
          <w:szCs w:val="24"/>
          <w:lang w:val="en-US"/>
        </w:rPr>
        <w:t>to achieve an increased baseline SOFA score (</w:t>
      </w:r>
      <w:proofErr w:type="spellStart"/>
      <w:r w:rsidRPr="00C112F2">
        <w:rPr>
          <w:rFonts w:ascii="Times New Roman" w:hAnsi="Times New Roman" w:cs="Times New Roman"/>
          <w:color w:val="000000"/>
          <w:sz w:val="24"/>
          <w:szCs w:val="24"/>
          <w:lang w:val="en-US"/>
        </w:rPr>
        <w:t>eg</w:t>
      </w:r>
      <w:proofErr w:type="spellEnd"/>
      <w:r w:rsidRPr="00C112F2">
        <w:rPr>
          <w:rFonts w:ascii="Times New Roman" w:hAnsi="Times New Roman" w:cs="Times New Roman"/>
          <w:color w:val="000000"/>
          <w:sz w:val="24"/>
          <w:szCs w:val="24"/>
          <w:lang w:val="en-US"/>
        </w:rPr>
        <w:t xml:space="preserve"> patients with known mild kidney disease had a baseline SOFA score of one if the creatinine value was Creatinine ≥ 130</w:t>
      </w:r>
      <w:r>
        <w:rPr>
          <w:rFonts w:ascii="Times New Roman" w:hAnsi="Times New Roman" w:cs="Times New Roman"/>
          <w:color w:val="000000"/>
          <w:sz w:val="24"/>
          <w:szCs w:val="24"/>
          <w:lang w:val="en-US"/>
        </w:rPr>
        <w:t>). P</w:t>
      </w:r>
      <w:r w:rsidRPr="00C112F2">
        <w:rPr>
          <w:rFonts w:ascii="Times New Roman" w:hAnsi="Times New Roman" w:cs="Times New Roman"/>
          <w:color w:val="000000"/>
          <w:sz w:val="24"/>
          <w:szCs w:val="24"/>
          <w:lang w:val="en-US"/>
        </w:rPr>
        <w:t>atients with dementia had a baseline score of 1.</w:t>
      </w:r>
    </w:p>
    <w:p w:rsidR="00335D9B" w:rsidRPr="00C112F2" w:rsidRDefault="00335D9B" w:rsidP="00335D9B">
      <w:pPr>
        <w:suppressLineNumbers/>
        <w:spacing w:line="360" w:lineRule="auto"/>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We have adjusted the baseline SOFA score for 307 patients. If no adjustments were performed, a total of 129 patients would incorrectly have been classified as septic patients with a SOFA score ≥2. </w:t>
      </w:r>
    </w:p>
    <w:p w:rsidR="00335D9B" w:rsidRPr="00C112F2" w:rsidRDefault="00335D9B" w:rsidP="00335D9B">
      <w:pPr>
        <w:suppressLineNumbers/>
        <w:spacing w:line="360" w:lineRule="auto"/>
        <w:rPr>
          <w:b/>
          <w:color w:val="000000"/>
          <w:sz w:val="28"/>
          <w:szCs w:val="28"/>
          <w:lang w:val="en-US"/>
        </w:rPr>
      </w:pPr>
    </w:p>
    <w:p w:rsidR="00335D9B" w:rsidRPr="00C112F2" w:rsidRDefault="00335D9B" w:rsidP="00335D9B">
      <w:pPr>
        <w:suppressLineNumbers/>
        <w:spacing w:line="360" w:lineRule="auto"/>
        <w:rPr>
          <w:rFonts w:ascii="Times New Roman" w:hAnsi="Times New Roman" w:cs="Times New Roman"/>
          <w:color w:val="000000"/>
          <w:sz w:val="28"/>
          <w:szCs w:val="28"/>
          <w:lang w:val="en-US"/>
        </w:rPr>
      </w:pPr>
      <w:r w:rsidRPr="00C112F2">
        <w:rPr>
          <w:b/>
          <w:color w:val="000000"/>
          <w:sz w:val="28"/>
          <w:szCs w:val="28"/>
          <w:lang w:val="en-US"/>
        </w:rPr>
        <w:t>Adjustment criteria for chronic lung disease</w:t>
      </w:r>
      <w:r w:rsidRPr="00C112F2">
        <w:rPr>
          <w:color w:val="000000"/>
          <w:sz w:val="28"/>
          <w:szCs w:val="28"/>
          <w:lang w:val="en-US"/>
        </w:rPr>
        <w:t>.</w:t>
      </w:r>
    </w:p>
    <w:tbl>
      <w:tblPr>
        <w:tblStyle w:val="Tabel-Gitter"/>
        <w:tblW w:w="0" w:type="auto"/>
        <w:tblLook w:val="04A0" w:firstRow="1" w:lastRow="0" w:firstColumn="1" w:lastColumn="0" w:noHBand="0" w:noVBand="1"/>
      </w:tblPr>
      <w:tblGrid>
        <w:gridCol w:w="2121"/>
        <w:gridCol w:w="3686"/>
        <w:gridCol w:w="3821"/>
      </w:tblGrid>
      <w:tr w:rsidR="00335D9B" w:rsidRPr="00C112F2" w:rsidTr="00A34B9D">
        <w:tc>
          <w:tcPr>
            <w:tcW w:w="2121"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Unadjusted criteria</w:t>
            </w:r>
            <w:r w:rsidRPr="00C112F2">
              <w:rPr>
                <w:rFonts w:ascii="Times New Roman" w:hAnsi="Times New Roman" w:cs="Times New Roman"/>
                <w:color w:val="000000"/>
                <w:sz w:val="24"/>
                <w:szCs w:val="24"/>
                <w:vertAlign w:val="superscript"/>
                <w:lang w:val="en-US"/>
              </w:rPr>
              <w:t>1</w:t>
            </w:r>
            <w:r w:rsidRPr="00C112F2">
              <w:rPr>
                <w:rFonts w:ascii="Times New Roman" w:hAnsi="Times New Roman" w:cs="Times New Roman"/>
                <w:color w:val="000000"/>
                <w:sz w:val="24"/>
                <w:szCs w:val="24"/>
                <w:lang w:val="en-US"/>
              </w:rPr>
              <w:t xml:space="preserve"> </w:t>
            </w:r>
          </w:p>
        </w:tc>
        <w:tc>
          <w:tcPr>
            <w:tcW w:w="3821"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Adjustment criteria</w:t>
            </w:r>
            <w:r w:rsidRPr="00C112F2">
              <w:rPr>
                <w:rFonts w:ascii="Times New Roman" w:hAnsi="Times New Roman" w:cs="Times New Roman"/>
                <w:color w:val="000000"/>
                <w:sz w:val="24"/>
                <w:szCs w:val="24"/>
                <w:vertAlign w:val="superscript"/>
                <w:lang w:val="en-US"/>
              </w:rPr>
              <w:t>2</w:t>
            </w:r>
            <w:r w:rsidRPr="00C112F2">
              <w:rPr>
                <w:rFonts w:ascii="Times New Roman" w:hAnsi="Times New Roman" w:cs="Times New Roman"/>
                <w:color w:val="000000"/>
                <w:sz w:val="24"/>
                <w:szCs w:val="24"/>
                <w:lang w:val="en-US"/>
              </w:rPr>
              <w:t xml:space="preserve"> </w:t>
            </w:r>
          </w:p>
          <w:p w:rsidR="00335D9B" w:rsidRPr="00C112F2" w:rsidRDefault="00335D9B" w:rsidP="00A34B9D">
            <w:pPr>
              <w:autoSpaceDE w:val="0"/>
              <w:autoSpaceDN w:val="0"/>
              <w:adjustRightInd w:val="0"/>
              <w:rPr>
                <w:rFonts w:ascii="Times New Roman" w:hAnsi="Times New Roman" w:cs="Times New Roman"/>
                <w:color w:val="000000"/>
                <w:sz w:val="24"/>
                <w:szCs w:val="24"/>
                <w:vertAlign w:val="superscript"/>
                <w:lang w:val="en-US"/>
              </w:rPr>
            </w:pPr>
          </w:p>
        </w:tc>
      </w:tr>
      <w:tr w:rsidR="00335D9B" w:rsidRPr="00C112F2"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1</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pO2 ≤ 10.6 mmHg</w:t>
            </w:r>
          </w:p>
        </w:tc>
        <w:tc>
          <w:tcPr>
            <w:tcW w:w="38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pO2 ≤ 9 mmHg or saturation ≤ 92% </w:t>
            </w:r>
          </w:p>
        </w:tc>
      </w:tr>
      <w:tr w:rsidR="00335D9B" w:rsidRPr="00644093"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2</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pO2 ≤ 8 mmHg or </w:t>
            </w:r>
          </w:p>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Oxygen saturation ≤ 95% and oxygen supplement of ≥ 2 l/min</w:t>
            </w:r>
          </w:p>
        </w:tc>
        <w:tc>
          <w:tcPr>
            <w:tcW w:w="38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pO2 ≤ 6.4 mmHg or </w:t>
            </w:r>
          </w:p>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Oxygen saturation ≤ 95% and oxygen supplement of ≥ 2 l/min</w:t>
            </w:r>
          </w:p>
        </w:tc>
      </w:tr>
      <w:tr w:rsidR="00335D9B" w:rsidRPr="00C112F2"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3</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lang w:val="en-US"/>
              </w:rPr>
              <w:t>Respiratory support</w:t>
            </w:r>
          </w:p>
        </w:tc>
        <w:tc>
          <w:tcPr>
            <w:tcW w:w="3821" w:type="dxa"/>
            <w:vMerge w:val="restart"/>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ind w:left="19"/>
              <w:jc w:val="center"/>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Remain unadjusted</w:t>
            </w:r>
          </w:p>
        </w:tc>
      </w:tr>
      <w:tr w:rsidR="00335D9B" w:rsidRPr="00C112F2"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4</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lang w:val="en-US"/>
              </w:rPr>
              <w:t>Respiratory support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5D9B" w:rsidRPr="00C112F2" w:rsidRDefault="00335D9B" w:rsidP="00A34B9D">
            <w:pPr>
              <w:rPr>
                <w:rFonts w:ascii="Times New Roman" w:eastAsiaTheme="minorEastAsia" w:hAnsi="Times New Roman" w:cs="Times New Roman"/>
                <w:color w:val="000000"/>
                <w:sz w:val="24"/>
                <w:szCs w:val="24"/>
                <w:lang w:val="en-US"/>
              </w:rPr>
            </w:pPr>
          </w:p>
        </w:tc>
      </w:tr>
    </w:tbl>
    <w:p w:rsidR="00335D9B" w:rsidRPr="00C112F2" w:rsidRDefault="00335D9B" w:rsidP="00335D9B">
      <w:pPr>
        <w:suppressLineNumbers/>
        <w:spacing w:after="0" w:line="240" w:lineRule="auto"/>
        <w:rPr>
          <w:rFonts w:ascii="Times New Roman" w:eastAsiaTheme="minorEastAsia"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1</w:t>
      </w:r>
      <w:r w:rsidRPr="00C112F2">
        <w:rPr>
          <w:rFonts w:ascii="Times New Roman" w:hAnsi="Times New Roman" w:cs="Times New Roman"/>
          <w:color w:val="000000"/>
          <w:sz w:val="18"/>
          <w:szCs w:val="18"/>
          <w:lang w:val="en-US"/>
        </w:rPr>
        <w:t xml:space="preserve">Unadjusted criteria for the SOFA score (Appendix 1) in patients without any chronic disease. </w:t>
      </w:r>
    </w:p>
    <w:p w:rsidR="00335D9B" w:rsidRPr="00C112F2" w:rsidRDefault="00335D9B" w:rsidP="00335D9B">
      <w:pPr>
        <w:suppressLineNumbers/>
        <w:spacing w:after="0" w:line="240" w:lineRule="auto"/>
        <w:rPr>
          <w:rFonts w:ascii="Times New Roman"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2</w:t>
      </w:r>
      <w:r w:rsidRPr="00C112F2">
        <w:rPr>
          <w:rFonts w:ascii="Times New Roman" w:hAnsi="Times New Roman" w:cs="Times New Roman"/>
          <w:color w:val="000000"/>
          <w:sz w:val="18"/>
          <w:szCs w:val="18"/>
          <w:lang w:val="en-US"/>
        </w:rPr>
        <w:t xml:space="preserve">Adjustment criteria for SOFA score in patients with a history of chronic pulmonary disease. </w:t>
      </w:r>
    </w:p>
    <w:p w:rsidR="00335D9B" w:rsidRPr="00C112F2" w:rsidRDefault="00335D9B" w:rsidP="00335D9B">
      <w:pPr>
        <w:suppressLineNumbers/>
        <w:spacing w:after="0" w:line="240" w:lineRule="auto"/>
        <w:rPr>
          <w:rFonts w:ascii="Times New Roman" w:hAnsi="Times New Roman" w:cs="Times New Roman"/>
          <w:color w:val="000000"/>
          <w:sz w:val="18"/>
          <w:szCs w:val="18"/>
          <w:lang w:val="en-US"/>
        </w:rPr>
      </w:pPr>
    </w:p>
    <w:p w:rsidR="00335D9B" w:rsidRPr="00C112F2" w:rsidRDefault="00335D9B" w:rsidP="00335D9B">
      <w:pPr>
        <w:suppressLineNumbers/>
        <w:spacing w:after="0" w:line="240" w:lineRule="auto"/>
        <w:rPr>
          <w:b/>
          <w:color w:val="000000"/>
          <w:sz w:val="28"/>
          <w:szCs w:val="28"/>
          <w:lang w:val="en-US"/>
        </w:rPr>
      </w:pPr>
    </w:p>
    <w:p w:rsidR="00335D9B" w:rsidRDefault="00335D9B" w:rsidP="00335D9B">
      <w:pPr>
        <w:suppressLineNumbers/>
        <w:spacing w:after="0" w:line="240" w:lineRule="auto"/>
        <w:rPr>
          <w:b/>
          <w:color w:val="000000"/>
          <w:sz w:val="28"/>
          <w:szCs w:val="28"/>
          <w:lang w:val="en-US"/>
        </w:rPr>
      </w:pPr>
    </w:p>
    <w:p w:rsidR="00335D9B" w:rsidRDefault="00335D9B" w:rsidP="00335D9B">
      <w:pPr>
        <w:suppressLineNumbers/>
        <w:spacing w:after="0" w:line="240" w:lineRule="auto"/>
        <w:rPr>
          <w:b/>
          <w:color w:val="000000"/>
          <w:sz w:val="28"/>
          <w:szCs w:val="28"/>
          <w:lang w:val="en-US"/>
        </w:rPr>
      </w:pPr>
    </w:p>
    <w:p w:rsidR="00335D9B" w:rsidRDefault="00335D9B" w:rsidP="00335D9B">
      <w:pPr>
        <w:suppressLineNumbers/>
        <w:spacing w:after="0" w:line="240" w:lineRule="auto"/>
        <w:rPr>
          <w:b/>
          <w:color w:val="000000"/>
          <w:sz w:val="28"/>
          <w:szCs w:val="28"/>
          <w:lang w:val="en-US"/>
        </w:rPr>
      </w:pPr>
    </w:p>
    <w:p w:rsidR="00335D9B" w:rsidRDefault="00335D9B" w:rsidP="00335D9B">
      <w:pPr>
        <w:suppressLineNumbers/>
        <w:spacing w:after="0" w:line="240" w:lineRule="auto"/>
        <w:rPr>
          <w:b/>
          <w:color w:val="000000"/>
          <w:sz w:val="28"/>
          <w:szCs w:val="28"/>
          <w:lang w:val="en-US"/>
        </w:rPr>
      </w:pPr>
    </w:p>
    <w:p w:rsidR="00335D9B" w:rsidRDefault="00335D9B" w:rsidP="00335D9B">
      <w:pPr>
        <w:suppressLineNumbers/>
        <w:spacing w:after="0" w:line="240" w:lineRule="auto"/>
        <w:rPr>
          <w:b/>
          <w:color w:val="000000"/>
          <w:sz w:val="28"/>
          <w:szCs w:val="28"/>
          <w:lang w:val="en-US"/>
        </w:rPr>
      </w:pPr>
    </w:p>
    <w:p w:rsidR="00335D9B" w:rsidRDefault="00335D9B" w:rsidP="00335D9B">
      <w:pPr>
        <w:suppressLineNumbers/>
        <w:spacing w:after="0" w:line="240" w:lineRule="auto"/>
        <w:rPr>
          <w:b/>
          <w:color w:val="000000"/>
          <w:sz w:val="28"/>
          <w:szCs w:val="28"/>
          <w:lang w:val="en-US"/>
        </w:rPr>
      </w:pPr>
    </w:p>
    <w:p w:rsidR="00335D9B" w:rsidRPr="00C112F2" w:rsidRDefault="00335D9B" w:rsidP="00335D9B">
      <w:pPr>
        <w:suppressLineNumbers/>
        <w:spacing w:after="0" w:line="240" w:lineRule="auto"/>
        <w:rPr>
          <w:rFonts w:ascii="Times New Roman" w:hAnsi="Times New Roman" w:cs="Times New Roman"/>
          <w:b/>
          <w:color w:val="000000"/>
          <w:sz w:val="28"/>
          <w:szCs w:val="28"/>
          <w:lang w:val="en-US"/>
        </w:rPr>
      </w:pPr>
      <w:r w:rsidRPr="00C112F2">
        <w:rPr>
          <w:b/>
          <w:color w:val="000000"/>
          <w:sz w:val="28"/>
          <w:szCs w:val="28"/>
          <w:lang w:val="en-US"/>
        </w:rPr>
        <w:lastRenderedPageBreak/>
        <w:t xml:space="preserve">Adjustment criteria for chronic mild and moderate/severe kidney diseases. </w:t>
      </w:r>
    </w:p>
    <w:tbl>
      <w:tblPr>
        <w:tblStyle w:val="Tabel-Gitter"/>
        <w:tblW w:w="9918" w:type="dxa"/>
        <w:tblLook w:val="04A0" w:firstRow="1" w:lastRow="0" w:firstColumn="1" w:lastColumn="0" w:noHBand="0" w:noVBand="1"/>
      </w:tblPr>
      <w:tblGrid>
        <w:gridCol w:w="1980"/>
        <w:gridCol w:w="1984"/>
        <w:gridCol w:w="2410"/>
        <w:gridCol w:w="3544"/>
      </w:tblGrid>
      <w:tr w:rsidR="00335D9B" w:rsidRPr="00644093" w:rsidTr="00A34B9D">
        <w:trPr>
          <w:trHeight w:val="777"/>
        </w:trPr>
        <w:tc>
          <w:tcPr>
            <w:tcW w:w="1980"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p>
        </w:tc>
        <w:tc>
          <w:tcPr>
            <w:tcW w:w="198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Unadjusted criteria</w:t>
            </w:r>
            <w:r w:rsidRPr="00C112F2">
              <w:rPr>
                <w:rFonts w:ascii="Times New Roman" w:hAnsi="Times New Roman" w:cs="Times New Roman"/>
                <w:color w:val="000000"/>
                <w:sz w:val="24"/>
                <w:szCs w:val="24"/>
                <w:vertAlign w:val="superscript"/>
                <w:lang w:val="en-US"/>
              </w:rPr>
              <w:t>1</w:t>
            </w:r>
          </w:p>
        </w:tc>
        <w:tc>
          <w:tcPr>
            <w:tcW w:w="241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Adjustment criteria for mild kidney disease</w:t>
            </w:r>
            <w:r w:rsidRPr="00C112F2">
              <w:rPr>
                <w:rFonts w:ascii="Times New Roman" w:hAnsi="Times New Roman" w:cs="Times New Roman"/>
                <w:color w:val="000000"/>
                <w:sz w:val="24"/>
                <w:szCs w:val="24"/>
                <w:vertAlign w:val="superscript"/>
                <w:lang w:val="en-US"/>
              </w:rPr>
              <w:t>2</w:t>
            </w:r>
          </w:p>
        </w:tc>
        <w:tc>
          <w:tcPr>
            <w:tcW w:w="3544"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vertAlign w:val="superscript"/>
                <w:lang w:val="en-US"/>
              </w:rPr>
            </w:pPr>
            <w:r w:rsidRPr="00C112F2">
              <w:rPr>
                <w:rFonts w:ascii="Times New Roman" w:hAnsi="Times New Roman" w:cs="Times New Roman"/>
                <w:color w:val="000000"/>
                <w:sz w:val="24"/>
                <w:szCs w:val="24"/>
                <w:lang w:val="en-US"/>
              </w:rPr>
              <w:t>Adjustment criteria for moderate/severe kidney disease</w:t>
            </w:r>
            <w:r w:rsidRPr="00C112F2">
              <w:rPr>
                <w:rFonts w:ascii="Times New Roman" w:hAnsi="Times New Roman" w:cs="Times New Roman"/>
                <w:color w:val="000000"/>
                <w:sz w:val="24"/>
                <w:szCs w:val="24"/>
                <w:vertAlign w:val="superscript"/>
                <w:lang w:val="en-US"/>
              </w:rPr>
              <w:t>3</w:t>
            </w:r>
          </w:p>
          <w:p w:rsidR="00335D9B" w:rsidRPr="00C112F2" w:rsidRDefault="00335D9B" w:rsidP="00A34B9D">
            <w:pPr>
              <w:autoSpaceDE w:val="0"/>
              <w:autoSpaceDN w:val="0"/>
              <w:adjustRightInd w:val="0"/>
              <w:rPr>
                <w:rFonts w:ascii="Times New Roman" w:hAnsi="Times New Roman" w:cs="Times New Roman"/>
                <w:color w:val="000000"/>
                <w:sz w:val="24"/>
                <w:szCs w:val="24"/>
                <w:vertAlign w:val="superscript"/>
                <w:lang w:val="en-US"/>
              </w:rPr>
            </w:pPr>
          </w:p>
        </w:tc>
      </w:tr>
      <w:tr w:rsidR="00335D9B" w:rsidRPr="00C112F2" w:rsidTr="00A34B9D">
        <w:tc>
          <w:tcPr>
            <w:tcW w:w="198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1</w:t>
            </w:r>
          </w:p>
        </w:tc>
        <w:tc>
          <w:tcPr>
            <w:tcW w:w="198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110</w:t>
            </w:r>
          </w:p>
        </w:tc>
        <w:tc>
          <w:tcPr>
            <w:tcW w:w="241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130</w:t>
            </w:r>
          </w:p>
        </w:tc>
        <w:tc>
          <w:tcPr>
            <w:tcW w:w="354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265</w:t>
            </w:r>
          </w:p>
        </w:tc>
      </w:tr>
      <w:tr w:rsidR="00335D9B" w:rsidRPr="00C112F2" w:rsidTr="00A34B9D">
        <w:tc>
          <w:tcPr>
            <w:tcW w:w="198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2</w:t>
            </w:r>
          </w:p>
        </w:tc>
        <w:tc>
          <w:tcPr>
            <w:tcW w:w="198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171</w:t>
            </w:r>
          </w:p>
        </w:tc>
        <w:tc>
          <w:tcPr>
            <w:tcW w:w="241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191</w:t>
            </w:r>
          </w:p>
        </w:tc>
        <w:tc>
          <w:tcPr>
            <w:tcW w:w="354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326</w:t>
            </w:r>
          </w:p>
        </w:tc>
      </w:tr>
      <w:tr w:rsidR="00335D9B" w:rsidRPr="00C112F2" w:rsidTr="00A34B9D">
        <w:tc>
          <w:tcPr>
            <w:tcW w:w="198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3</w:t>
            </w:r>
          </w:p>
        </w:tc>
        <w:tc>
          <w:tcPr>
            <w:tcW w:w="198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300</w:t>
            </w:r>
          </w:p>
        </w:tc>
        <w:tc>
          <w:tcPr>
            <w:tcW w:w="241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320</w:t>
            </w:r>
          </w:p>
        </w:tc>
        <w:tc>
          <w:tcPr>
            <w:tcW w:w="354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455</w:t>
            </w:r>
          </w:p>
        </w:tc>
      </w:tr>
      <w:tr w:rsidR="00335D9B" w:rsidRPr="00C112F2" w:rsidTr="00A34B9D">
        <w:tc>
          <w:tcPr>
            <w:tcW w:w="198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4</w:t>
            </w:r>
          </w:p>
        </w:tc>
        <w:tc>
          <w:tcPr>
            <w:tcW w:w="198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441</w:t>
            </w:r>
          </w:p>
        </w:tc>
        <w:tc>
          <w:tcPr>
            <w:tcW w:w="2410"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421</w:t>
            </w:r>
          </w:p>
        </w:tc>
        <w:tc>
          <w:tcPr>
            <w:tcW w:w="354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Creatinine ≥ 556</w:t>
            </w:r>
          </w:p>
        </w:tc>
      </w:tr>
    </w:tbl>
    <w:p w:rsidR="00335D9B" w:rsidRPr="00C112F2" w:rsidRDefault="00335D9B" w:rsidP="00335D9B">
      <w:pPr>
        <w:suppressLineNumbers/>
        <w:spacing w:after="0" w:line="240" w:lineRule="auto"/>
        <w:rPr>
          <w:rFonts w:ascii="Times New Roman" w:eastAsiaTheme="minorEastAsia"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1</w:t>
      </w:r>
      <w:r w:rsidRPr="00C112F2">
        <w:rPr>
          <w:rFonts w:ascii="Times New Roman" w:hAnsi="Times New Roman" w:cs="Times New Roman"/>
          <w:color w:val="000000"/>
          <w:sz w:val="18"/>
          <w:szCs w:val="18"/>
          <w:lang w:val="en-US"/>
        </w:rPr>
        <w:t xml:space="preserve">Unadjusted criteria for the SOFA score (Appendix 1) in patients without any chronic disease. </w:t>
      </w:r>
    </w:p>
    <w:p w:rsidR="00335D9B" w:rsidRPr="00C112F2" w:rsidRDefault="00335D9B" w:rsidP="00335D9B">
      <w:pPr>
        <w:suppressLineNumbers/>
        <w:spacing w:after="0" w:line="240" w:lineRule="auto"/>
        <w:rPr>
          <w:rFonts w:ascii="Times New Roman"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2</w:t>
      </w:r>
      <w:r w:rsidRPr="00C112F2">
        <w:rPr>
          <w:rFonts w:ascii="Times New Roman" w:hAnsi="Times New Roman" w:cs="Times New Roman"/>
          <w:color w:val="000000"/>
          <w:sz w:val="18"/>
          <w:szCs w:val="18"/>
          <w:lang w:val="en-US"/>
        </w:rPr>
        <w:t xml:space="preserve">Adjustment criteria for the SOFA score in patients with a history of mild kidney disease. </w:t>
      </w:r>
    </w:p>
    <w:p w:rsidR="00335D9B" w:rsidRPr="00C112F2" w:rsidRDefault="00335D9B" w:rsidP="00335D9B">
      <w:pPr>
        <w:suppressLineNumbers/>
        <w:rPr>
          <w:rFonts w:ascii="Times New Roman"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3</w:t>
      </w:r>
      <w:r w:rsidRPr="00C112F2">
        <w:rPr>
          <w:rFonts w:ascii="Times New Roman" w:hAnsi="Times New Roman" w:cs="Times New Roman"/>
          <w:color w:val="000000"/>
          <w:sz w:val="18"/>
          <w:szCs w:val="18"/>
          <w:lang w:val="en-US"/>
        </w:rPr>
        <w:t xml:space="preserve">Adjustment criteria for the SOFA score in patients with a history of moderate/severe kidney disease. </w:t>
      </w:r>
    </w:p>
    <w:p w:rsidR="00335D9B" w:rsidRPr="00C112F2" w:rsidRDefault="00335D9B" w:rsidP="00335D9B">
      <w:pPr>
        <w:suppressLineNumbers/>
        <w:rPr>
          <w:rFonts w:ascii="Times New Roman" w:hAnsi="Times New Roman" w:cs="Times New Roman"/>
          <w:color w:val="000000"/>
          <w:sz w:val="18"/>
          <w:szCs w:val="18"/>
          <w:lang w:val="en-US"/>
        </w:rPr>
      </w:pPr>
    </w:p>
    <w:p w:rsidR="00335D9B" w:rsidRPr="00C112F2" w:rsidRDefault="00335D9B" w:rsidP="00335D9B">
      <w:pPr>
        <w:pStyle w:val="Listeafsnit"/>
        <w:suppressLineNumbers/>
        <w:spacing w:after="0" w:line="240" w:lineRule="auto"/>
        <w:ind w:left="0"/>
        <w:rPr>
          <w:rFonts w:ascii="Times New Roman" w:hAnsi="Times New Roman" w:cs="Times New Roman"/>
          <w:b/>
          <w:color w:val="000000"/>
          <w:sz w:val="28"/>
          <w:szCs w:val="28"/>
          <w:lang w:val="en-US"/>
        </w:rPr>
      </w:pPr>
      <w:r w:rsidRPr="00C112F2">
        <w:rPr>
          <w:b/>
          <w:color w:val="000000"/>
          <w:sz w:val="28"/>
          <w:szCs w:val="28"/>
          <w:lang w:val="en-US"/>
        </w:rPr>
        <w:t>Adjustment criteria for chronic mild and moderate/severe liver diseases.</w:t>
      </w:r>
    </w:p>
    <w:tbl>
      <w:tblPr>
        <w:tblStyle w:val="Tabel-Gitter"/>
        <w:tblW w:w="0" w:type="auto"/>
        <w:tblLook w:val="04A0" w:firstRow="1" w:lastRow="0" w:firstColumn="1" w:lastColumn="0" w:noHBand="0" w:noVBand="1"/>
      </w:tblPr>
      <w:tblGrid>
        <w:gridCol w:w="2407"/>
        <w:gridCol w:w="2124"/>
        <w:gridCol w:w="1985"/>
        <w:gridCol w:w="3112"/>
      </w:tblGrid>
      <w:tr w:rsidR="00335D9B" w:rsidRPr="00644093" w:rsidTr="00A34B9D">
        <w:tc>
          <w:tcPr>
            <w:tcW w:w="2407"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p>
        </w:tc>
        <w:tc>
          <w:tcPr>
            <w:tcW w:w="212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Unadjusted criteria</w:t>
            </w:r>
            <w:r w:rsidRPr="00C112F2">
              <w:rPr>
                <w:rFonts w:ascii="Times New Roman" w:hAnsi="Times New Roman" w:cs="Times New Roman"/>
                <w:color w:val="000000"/>
                <w:sz w:val="24"/>
                <w:szCs w:val="24"/>
                <w:vertAlign w:val="superscript"/>
                <w:lang w:val="en-US"/>
              </w:rPr>
              <w:t>1</w:t>
            </w:r>
          </w:p>
        </w:tc>
        <w:tc>
          <w:tcPr>
            <w:tcW w:w="1985"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Adjustment criteria for mild liver disease</w:t>
            </w:r>
            <w:r w:rsidRPr="00C112F2">
              <w:rPr>
                <w:rFonts w:ascii="Times New Roman" w:hAnsi="Times New Roman" w:cs="Times New Roman"/>
                <w:color w:val="000000"/>
                <w:sz w:val="24"/>
                <w:szCs w:val="24"/>
                <w:vertAlign w:val="superscript"/>
                <w:lang w:val="en-US"/>
              </w:rPr>
              <w:t>2</w:t>
            </w:r>
          </w:p>
        </w:tc>
        <w:tc>
          <w:tcPr>
            <w:tcW w:w="3112"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vertAlign w:val="superscript"/>
                <w:lang w:val="en-US"/>
              </w:rPr>
            </w:pPr>
            <w:r w:rsidRPr="00C112F2">
              <w:rPr>
                <w:rFonts w:ascii="Times New Roman" w:hAnsi="Times New Roman" w:cs="Times New Roman"/>
                <w:color w:val="000000"/>
                <w:sz w:val="24"/>
                <w:szCs w:val="24"/>
                <w:lang w:val="en-US"/>
              </w:rPr>
              <w:t>Adjustment criteria for moderate/severe liver disease</w:t>
            </w:r>
            <w:r w:rsidRPr="00C112F2">
              <w:rPr>
                <w:rFonts w:ascii="Times New Roman" w:hAnsi="Times New Roman" w:cs="Times New Roman"/>
                <w:color w:val="000000"/>
                <w:sz w:val="24"/>
                <w:szCs w:val="24"/>
                <w:vertAlign w:val="superscript"/>
                <w:lang w:val="en-US"/>
              </w:rPr>
              <w:t>3</w:t>
            </w:r>
          </w:p>
          <w:p w:rsidR="00335D9B" w:rsidRPr="00C112F2" w:rsidRDefault="00335D9B" w:rsidP="00A34B9D">
            <w:pPr>
              <w:autoSpaceDE w:val="0"/>
              <w:autoSpaceDN w:val="0"/>
              <w:adjustRightInd w:val="0"/>
              <w:rPr>
                <w:rFonts w:ascii="Times New Roman" w:hAnsi="Times New Roman" w:cs="Times New Roman"/>
                <w:color w:val="000000"/>
                <w:sz w:val="24"/>
                <w:szCs w:val="24"/>
                <w:vertAlign w:val="superscript"/>
                <w:lang w:val="en-US"/>
              </w:rPr>
            </w:pPr>
          </w:p>
        </w:tc>
      </w:tr>
      <w:tr w:rsidR="00335D9B" w:rsidRPr="00C112F2" w:rsidTr="00A34B9D">
        <w:tc>
          <w:tcPr>
            <w:tcW w:w="2407"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1</w:t>
            </w:r>
          </w:p>
        </w:tc>
        <w:tc>
          <w:tcPr>
            <w:tcW w:w="212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20</w:t>
            </w:r>
          </w:p>
        </w:tc>
        <w:tc>
          <w:tcPr>
            <w:tcW w:w="1985"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30</w:t>
            </w:r>
          </w:p>
        </w:tc>
        <w:tc>
          <w:tcPr>
            <w:tcW w:w="3112"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40</w:t>
            </w:r>
          </w:p>
        </w:tc>
      </w:tr>
      <w:tr w:rsidR="00335D9B" w:rsidRPr="00C112F2" w:rsidTr="00A34B9D">
        <w:tc>
          <w:tcPr>
            <w:tcW w:w="2407"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2</w:t>
            </w:r>
          </w:p>
        </w:tc>
        <w:tc>
          <w:tcPr>
            <w:tcW w:w="212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33</w:t>
            </w:r>
          </w:p>
        </w:tc>
        <w:tc>
          <w:tcPr>
            <w:tcW w:w="1985"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43</w:t>
            </w:r>
          </w:p>
        </w:tc>
        <w:tc>
          <w:tcPr>
            <w:tcW w:w="3112"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53</w:t>
            </w:r>
          </w:p>
        </w:tc>
      </w:tr>
      <w:tr w:rsidR="00335D9B" w:rsidRPr="00C112F2" w:rsidTr="00A34B9D">
        <w:tc>
          <w:tcPr>
            <w:tcW w:w="2407"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3</w:t>
            </w:r>
          </w:p>
        </w:tc>
        <w:tc>
          <w:tcPr>
            <w:tcW w:w="212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102</w:t>
            </w:r>
          </w:p>
        </w:tc>
        <w:tc>
          <w:tcPr>
            <w:tcW w:w="1985"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112</w:t>
            </w:r>
          </w:p>
        </w:tc>
        <w:tc>
          <w:tcPr>
            <w:tcW w:w="3112"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122</w:t>
            </w:r>
          </w:p>
        </w:tc>
      </w:tr>
      <w:tr w:rsidR="00335D9B" w:rsidRPr="00C112F2" w:rsidTr="00A34B9D">
        <w:tc>
          <w:tcPr>
            <w:tcW w:w="2407"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4</w:t>
            </w:r>
          </w:p>
        </w:tc>
        <w:tc>
          <w:tcPr>
            <w:tcW w:w="2124"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205</w:t>
            </w:r>
          </w:p>
        </w:tc>
        <w:tc>
          <w:tcPr>
            <w:tcW w:w="1985"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215</w:t>
            </w:r>
          </w:p>
        </w:tc>
        <w:tc>
          <w:tcPr>
            <w:tcW w:w="3112"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Bilirubin ≥ 225</w:t>
            </w:r>
          </w:p>
        </w:tc>
      </w:tr>
    </w:tbl>
    <w:p w:rsidR="00335D9B" w:rsidRPr="00C112F2" w:rsidRDefault="00335D9B" w:rsidP="00335D9B">
      <w:pPr>
        <w:suppressLineNumbers/>
        <w:spacing w:after="0" w:line="240" w:lineRule="auto"/>
        <w:rPr>
          <w:rFonts w:ascii="Times New Roman" w:eastAsiaTheme="minorEastAsia"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1</w:t>
      </w:r>
      <w:r w:rsidRPr="00C112F2">
        <w:rPr>
          <w:rFonts w:ascii="Times New Roman" w:hAnsi="Times New Roman" w:cs="Times New Roman"/>
          <w:color w:val="000000"/>
          <w:sz w:val="18"/>
          <w:szCs w:val="18"/>
          <w:lang w:val="en-US"/>
        </w:rPr>
        <w:t xml:space="preserve">Unadjusted criteria for the SOFA score (Appendix 1) in patients without any disease. </w:t>
      </w:r>
    </w:p>
    <w:p w:rsidR="00335D9B" w:rsidRPr="00C112F2" w:rsidRDefault="00335D9B" w:rsidP="00335D9B">
      <w:pPr>
        <w:suppressLineNumbers/>
        <w:spacing w:after="0" w:line="240" w:lineRule="auto"/>
        <w:rPr>
          <w:rFonts w:ascii="Times New Roman"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2</w:t>
      </w:r>
      <w:r w:rsidRPr="00C112F2">
        <w:rPr>
          <w:rFonts w:ascii="Times New Roman" w:hAnsi="Times New Roman" w:cs="Times New Roman"/>
          <w:color w:val="000000"/>
          <w:sz w:val="18"/>
          <w:szCs w:val="18"/>
          <w:lang w:val="en-US"/>
        </w:rPr>
        <w:t xml:space="preserve">Adjustment criteria for the SOFA score in patients with a history of mild liver disease. </w:t>
      </w:r>
    </w:p>
    <w:p w:rsidR="00335D9B" w:rsidRPr="00C112F2" w:rsidRDefault="00335D9B" w:rsidP="00335D9B">
      <w:pPr>
        <w:pStyle w:val="Pa9"/>
        <w:suppressLineNumbers/>
        <w:rPr>
          <w:rFonts w:ascii="Times New Roman" w:hAnsi="Times New Roman" w:cs="Times New Roman"/>
          <w:b/>
          <w:color w:val="000000"/>
          <w:sz w:val="28"/>
          <w:szCs w:val="28"/>
          <w:lang w:val="en-US"/>
        </w:rPr>
      </w:pPr>
      <w:r w:rsidRPr="00C112F2">
        <w:rPr>
          <w:rFonts w:ascii="Times New Roman" w:hAnsi="Times New Roman" w:cs="Times New Roman"/>
          <w:color w:val="000000"/>
          <w:sz w:val="18"/>
          <w:szCs w:val="18"/>
          <w:vertAlign w:val="superscript"/>
          <w:lang w:val="en-US"/>
        </w:rPr>
        <w:t>3</w:t>
      </w:r>
      <w:r w:rsidRPr="00C112F2">
        <w:rPr>
          <w:rFonts w:ascii="Times New Roman" w:hAnsi="Times New Roman" w:cs="Times New Roman"/>
          <w:color w:val="000000"/>
          <w:sz w:val="18"/>
          <w:szCs w:val="18"/>
          <w:lang w:val="en-US"/>
        </w:rPr>
        <w:t>Adjustment criteria for the SOFA score in patients with a history of moderate/severe liver disease.</w:t>
      </w:r>
    </w:p>
    <w:p w:rsidR="00335D9B" w:rsidRPr="00C112F2" w:rsidRDefault="00335D9B" w:rsidP="00335D9B">
      <w:pPr>
        <w:pStyle w:val="Pa9"/>
        <w:suppressLineNumbers/>
        <w:rPr>
          <w:rFonts w:ascii="Times New Roman" w:hAnsi="Times New Roman" w:cs="Times New Roman"/>
          <w:b/>
          <w:color w:val="000000"/>
          <w:sz w:val="28"/>
          <w:szCs w:val="28"/>
          <w:lang w:val="en-US"/>
        </w:rPr>
      </w:pPr>
    </w:p>
    <w:p w:rsidR="00335D9B" w:rsidRPr="00C112F2" w:rsidRDefault="00335D9B" w:rsidP="00335D9B">
      <w:pPr>
        <w:pStyle w:val="Pa9"/>
        <w:suppressLineNumbers/>
        <w:rPr>
          <w:rFonts w:ascii="Times New Roman" w:hAnsi="Times New Roman" w:cs="Times New Roman"/>
          <w:b/>
          <w:color w:val="000000"/>
          <w:sz w:val="28"/>
          <w:szCs w:val="28"/>
          <w:lang w:val="en-US"/>
        </w:rPr>
      </w:pPr>
      <w:r w:rsidRPr="00C112F2">
        <w:rPr>
          <w:rFonts w:ascii="Times New Roman" w:hAnsi="Times New Roman" w:cs="Times New Roman"/>
          <w:b/>
          <w:color w:val="000000"/>
          <w:sz w:val="28"/>
          <w:szCs w:val="28"/>
          <w:lang w:val="en-US"/>
        </w:rPr>
        <w:t>Adjustment criteria for dementia.</w:t>
      </w:r>
    </w:p>
    <w:tbl>
      <w:tblPr>
        <w:tblStyle w:val="Tabel-Gitter"/>
        <w:tblW w:w="0" w:type="auto"/>
        <w:tblLook w:val="04A0" w:firstRow="1" w:lastRow="0" w:firstColumn="1" w:lastColumn="0" w:noHBand="0" w:noVBand="1"/>
      </w:tblPr>
      <w:tblGrid>
        <w:gridCol w:w="2121"/>
        <w:gridCol w:w="3686"/>
        <w:gridCol w:w="3821"/>
      </w:tblGrid>
      <w:tr w:rsidR="00335D9B" w:rsidRPr="00C112F2" w:rsidTr="00A34B9D">
        <w:tc>
          <w:tcPr>
            <w:tcW w:w="2121"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Unadjusted criteria</w:t>
            </w:r>
            <w:r w:rsidRPr="00C112F2">
              <w:rPr>
                <w:rFonts w:ascii="Times New Roman" w:hAnsi="Times New Roman" w:cs="Times New Roman"/>
                <w:color w:val="000000"/>
                <w:sz w:val="24"/>
                <w:szCs w:val="24"/>
                <w:vertAlign w:val="superscript"/>
                <w:lang w:val="en-US"/>
              </w:rPr>
              <w:t>1</w:t>
            </w:r>
          </w:p>
        </w:tc>
        <w:tc>
          <w:tcPr>
            <w:tcW w:w="3821" w:type="dxa"/>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Adjusted criteria</w:t>
            </w:r>
            <w:r w:rsidRPr="00C112F2">
              <w:rPr>
                <w:rFonts w:ascii="Times New Roman" w:hAnsi="Times New Roman" w:cs="Times New Roman"/>
                <w:color w:val="000000"/>
                <w:sz w:val="24"/>
                <w:szCs w:val="24"/>
                <w:vertAlign w:val="superscript"/>
                <w:lang w:val="en-US"/>
              </w:rPr>
              <w:t>2</w:t>
            </w:r>
            <w:r w:rsidRPr="00C112F2">
              <w:rPr>
                <w:rFonts w:ascii="Times New Roman" w:hAnsi="Times New Roman" w:cs="Times New Roman"/>
                <w:color w:val="000000"/>
                <w:sz w:val="24"/>
                <w:szCs w:val="24"/>
                <w:lang w:val="en-US"/>
              </w:rPr>
              <w:t xml:space="preserve"> </w:t>
            </w:r>
          </w:p>
          <w:p w:rsidR="00335D9B" w:rsidRPr="00C112F2" w:rsidRDefault="00335D9B" w:rsidP="00A34B9D">
            <w:pPr>
              <w:autoSpaceDE w:val="0"/>
              <w:autoSpaceDN w:val="0"/>
              <w:adjustRightInd w:val="0"/>
              <w:rPr>
                <w:rFonts w:ascii="Times New Roman" w:hAnsi="Times New Roman" w:cs="Times New Roman"/>
                <w:color w:val="000000"/>
                <w:sz w:val="24"/>
                <w:szCs w:val="24"/>
                <w:vertAlign w:val="superscript"/>
                <w:lang w:val="en-US"/>
              </w:rPr>
            </w:pPr>
          </w:p>
        </w:tc>
      </w:tr>
      <w:tr w:rsidR="00335D9B" w:rsidRPr="00C112F2" w:rsidTr="00A34B9D">
        <w:trPr>
          <w:trHeight w:val="134"/>
        </w:trPr>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1</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lang w:val="en-US"/>
              </w:rPr>
              <w:t>GCS 13-14</w:t>
            </w:r>
          </w:p>
        </w:tc>
        <w:tc>
          <w:tcPr>
            <w:tcW w:w="38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GCS ≤ 13</w:t>
            </w:r>
          </w:p>
        </w:tc>
      </w:tr>
      <w:tr w:rsidR="00335D9B" w:rsidRPr="00C112F2"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2</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lang w:val="en-US"/>
              </w:rPr>
              <w:t>GCS 10-12</w:t>
            </w:r>
          </w:p>
        </w:tc>
        <w:tc>
          <w:tcPr>
            <w:tcW w:w="3821" w:type="dxa"/>
            <w:vMerge w:val="restart"/>
            <w:tcBorders>
              <w:top w:val="single" w:sz="4" w:space="0" w:color="auto"/>
              <w:left w:val="single" w:sz="4" w:space="0" w:color="auto"/>
              <w:bottom w:val="single" w:sz="4" w:space="0" w:color="auto"/>
              <w:right w:val="single" w:sz="4" w:space="0" w:color="auto"/>
            </w:tcBorders>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p>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 xml:space="preserve">Remain unadjusted </w:t>
            </w:r>
          </w:p>
        </w:tc>
      </w:tr>
      <w:tr w:rsidR="00335D9B" w:rsidRPr="00C112F2"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3</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lang w:val="en-US"/>
              </w:rPr>
              <w:t>GCS 6-9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5D9B" w:rsidRPr="00C112F2" w:rsidRDefault="00335D9B" w:rsidP="00A34B9D">
            <w:pPr>
              <w:rPr>
                <w:rFonts w:ascii="Times New Roman" w:eastAsiaTheme="minorEastAsia" w:hAnsi="Times New Roman" w:cs="Times New Roman"/>
                <w:color w:val="000000"/>
                <w:sz w:val="24"/>
                <w:szCs w:val="24"/>
                <w:lang w:val="en-US"/>
              </w:rPr>
            </w:pPr>
          </w:p>
        </w:tc>
      </w:tr>
      <w:tr w:rsidR="00335D9B" w:rsidRPr="00C112F2" w:rsidTr="00A34B9D">
        <w:tc>
          <w:tcPr>
            <w:tcW w:w="2121"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sz w:val="24"/>
                <w:szCs w:val="24"/>
                <w:lang w:val="en-US"/>
              </w:rPr>
              <w:t>SOFA Score = 4</w:t>
            </w:r>
          </w:p>
        </w:tc>
        <w:tc>
          <w:tcPr>
            <w:tcW w:w="3686" w:type="dxa"/>
            <w:tcBorders>
              <w:top w:val="single" w:sz="4" w:space="0" w:color="auto"/>
              <w:left w:val="single" w:sz="4" w:space="0" w:color="auto"/>
              <w:bottom w:val="single" w:sz="4" w:space="0" w:color="auto"/>
              <w:right w:val="single" w:sz="4" w:space="0" w:color="auto"/>
            </w:tcBorders>
            <w:hideMark/>
          </w:tcPr>
          <w:p w:rsidR="00335D9B" w:rsidRPr="00C112F2" w:rsidRDefault="00335D9B" w:rsidP="00A34B9D">
            <w:pPr>
              <w:autoSpaceDE w:val="0"/>
              <w:autoSpaceDN w:val="0"/>
              <w:adjustRightInd w:val="0"/>
              <w:rPr>
                <w:rFonts w:ascii="Times New Roman" w:hAnsi="Times New Roman" w:cs="Times New Roman"/>
                <w:color w:val="000000"/>
                <w:sz w:val="24"/>
                <w:szCs w:val="24"/>
                <w:lang w:val="en-US"/>
              </w:rPr>
            </w:pPr>
            <w:r w:rsidRPr="00C112F2">
              <w:rPr>
                <w:rFonts w:ascii="Times New Roman" w:hAnsi="Times New Roman" w:cs="Times New Roman"/>
                <w:color w:val="000000"/>
                <w:lang w:val="en-US"/>
              </w:rPr>
              <w:t>GCS&lt;6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5D9B" w:rsidRPr="00C112F2" w:rsidRDefault="00335D9B" w:rsidP="00A34B9D">
            <w:pPr>
              <w:rPr>
                <w:rFonts w:ascii="Times New Roman" w:eastAsiaTheme="minorEastAsia" w:hAnsi="Times New Roman" w:cs="Times New Roman"/>
                <w:color w:val="000000"/>
                <w:sz w:val="24"/>
                <w:szCs w:val="24"/>
                <w:lang w:val="en-US"/>
              </w:rPr>
            </w:pPr>
          </w:p>
        </w:tc>
      </w:tr>
    </w:tbl>
    <w:p w:rsidR="00335D9B" w:rsidRPr="00C112F2" w:rsidRDefault="00335D9B" w:rsidP="00335D9B">
      <w:pPr>
        <w:suppressLineNumbers/>
        <w:spacing w:after="0" w:line="240" w:lineRule="auto"/>
        <w:rPr>
          <w:rFonts w:ascii="Times New Roman" w:eastAsiaTheme="minorEastAsia"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1</w:t>
      </w:r>
      <w:r w:rsidRPr="00C112F2">
        <w:rPr>
          <w:rFonts w:ascii="Times New Roman" w:hAnsi="Times New Roman" w:cs="Times New Roman"/>
          <w:color w:val="000000"/>
          <w:sz w:val="18"/>
          <w:szCs w:val="18"/>
          <w:lang w:val="en-US"/>
        </w:rPr>
        <w:t xml:space="preserve">Unadjustment criteria for the SOFA score (Appendix 1) in patients without any chronic disease. </w:t>
      </w:r>
    </w:p>
    <w:p w:rsidR="00335D9B" w:rsidRPr="00C112F2" w:rsidRDefault="00335D9B" w:rsidP="00335D9B">
      <w:pPr>
        <w:suppressLineNumbers/>
        <w:spacing w:after="0" w:line="240" w:lineRule="auto"/>
        <w:rPr>
          <w:rFonts w:ascii="Times New Roman" w:hAnsi="Times New Roman" w:cs="Times New Roman"/>
          <w:color w:val="000000"/>
          <w:sz w:val="18"/>
          <w:szCs w:val="18"/>
          <w:lang w:val="en-US"/>
        </w:rPr>
      </w:pPr>
      <w:r w:rsidRPr="00C112F2">
        <w:rPr>
          <w:rFonts w:ascii="Times New Roman" w:hAnsi="Times New Roman" w:cs="Times New Roman"/>
          <w:color w:val="000000"/>
          <w:sz w:val="18"/>
          <w:szCs w:val="18"/>
          <w:vertAlign w:val="superscript"/>
          <w:lang w:val="en-US"/>
        </w:rPr>
        <w:t>2</w:t>
      </w:r>
      <w:r w:rsidRPr="00C112F2">
        <w:rPr>
          <w:rFonts w:ascii="Times New Roman" w:hAnsi="Times New Roman" w:cs="Times New Roman"/>
          <w:color w:val="000000"/>
          <w:sz w:val="18"/>
          <w:szCs w:val="18"/>
          <w:lang w:val="en-US"/>
        </w:rPr>
        <w:t xml:space="preserve">Adjustment criteria for the SOFA score in patients with a history of dementia. </w:t>
      </w:r>
    </w:p>
    <w:p w:rsidR="00335D9B" w:rsidRPr="00C112F2" w:rsidRDefault="00335D9B" w:rsidP="00335D9B">
      <w:pPr>
        <w:suppressLineNumbers/>
        <w:rPr>
          <w:rFonts w:ascii="Times New Roman" w:hAnsi="Times New Roman" w:cs="Times New Roman"/>
          <w:b/>
          <w:color w:val="000000"/>
          <w:vertAlign w:val="superscript"/>
          <w:lang w:val="en-US"/>
        </w:rPr>
      </w:pPr>
    </w:p>
    <w:p w:rsidR="00335D9B" w:rsidRPr="00C112F2" w:rsidRDefault="00335D9B" w:rsidP="00335D9B">
      <w:pPr>
        <w:suppressLineNumbers/>
        <w:rPr>
          <w:rFonts w:ascii="Times New Roman" w:hAnsi="Times New Roman" w:cs="Times New Roman"/>
          <w:b/>
          <w:color w:val="000000"/>
          <w:sz w:val="18"/>
          <w:szCs w:val="18"/>
          <w:lang w:val="en-US"/>
        </w:rPr>
      </w:pPr>
    </w:p>
    <w:p w:rsidR="00335D9B" w:rsidRPr="00C112F2" w:rsidRDefault="00335D9B" w:rsidP="00335D9B">
      <w:pPr>
        <w:suppressLineNumbers/>
        <w:rPr>
          <w:rFonts w:ascii="Times New Roman" w:hAnsi="Times New Roman" w:cs="Times New Roman"/>
          <w:b/>
          <w:color w:val="000000"/>
          <w:sz w:val="18"/>
          <w:szCs w:val="18"/>
          <w:lang w:val="en-US"/>
        </w:rPr>
      </w:pPr>
    </w:p>
    <w:p w:rsidR="00335D9B" w:rsidRPr="00C112F2" w:rsidRDefault="00335D9B" w:rsidP="00335D9B">
      <w:pPr>
        <w:suppressLineNumbers/>
        <w:rPr>
          <w:rFonts w:ascii="Times New Roman" w:hAnsi="Times New Roman" w:cs="Times New Roman"/>
          <w:b/>
          <w:color w:val="000000"/>
          <w:sz w:val="18"/>
          <w:szCs w:val="18"/>
          <w:lang w:val="en-US"/>
        </w:rPr>
      </w:pPr>
    </w:p>
    <w:p w:rsidR="00335D9B" w:rsidRPr="00C112F2" w:rsidRDefault="00335D9B" w:rsidP="00335D9B">
      <w:pPr>
        <w:suppressLineNumbers/>
        <w:rPr>
          <w:rFonts w:ascii="Times New Roman" w:hAnsi="Times New Roman" w:cs="Times New Roman"/>
          <w:b/>
          <w:color w:val="000000"/>
          <w:sz w:val="18"/>
          <w:szCs w:val="18"/>
          <w:lang w:val="en-US"/>
        </w:rPr>
      </w:pPr>
    </w:p>
    <w:p w:rsidR="00335D9B" w:rsidRPr="00C112F2" w:rsidRDefault="00335D9B" w:rsidP="00335D9B">
      <w:pPr>
        <w:suppressLineNumbers/>
        <w:rPr>
          <w:rFonts w:ascii="Times New Roman" w:hAnsi="Times New Roman" w:cs="Times New Roman"/>
          <w:b/>
          <w:color w:val="000000"/>
          <w:sz w:val="18"/>
          <w:szCs w:val="18"/>
          <w:lang w:val="en-US"/>
        </w:rPr>
      </w:pPr>
    </w:p>
    <w:p w:rsidR="00335D9B" w:rsidRPr="00C112F2" w:rsidRDefault="00335D9B" w:rsidP="00335D9B">
      <w:pPr>
        <w:suppressLineNumbers/>
        <w:rPr>
          <w:rFonts w:ascii="Times New Roman" w:hAnsi="Times New Roman" w:cs="Times New Roman"/>
          <w:b/>
          <w:color w:val="000000"/>
          <w:sz w:val="18"/>
          <w:szCs w:val="18"/>
          <w:lang w:val="en-US"/>
        </w:rPr>
      </w:pPr>
    </w:p>
    <w:p w:rsidR="00335D9B" w:rsidRPr="00C112F2" w:rsidRDefault="00335D9B" w:rsidP="00335D9B">
      <w:pPr>
        <w:suppressLineNumbers/>
        <w:ind w:left="-709" w:right="-852"/>
        <w:rPr>
          <w:rFonts w:ascii="Times New Roman" w:hAnsi="Times New Roman" w:cs="Times New Roman"/>
          <w:b/>
          <w:color w:val="000000"/>
          <w:sz w:val="24"/>
          <w:szCs w:val="24"/>
          <w:lang w:val="en-US"/>
        </w:rPr>
      </w:pPr>
    </w:p>
    <w:p w:rsidR="00AC5B38" w:rsidRPr="00335D9B" w:rsidRDefault="00AC5B38">
      <w:pPr>
        <w:rPr>
          <w:lang w:val="en-US"/>
        </w:rPr>
      </w:pPr>
    </w:p>
    <w:sectPr w:rsidR="00AC5B38" w:rsidRPr="00335D9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DHN G+ Scala">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9B"/>
    <w:rsid w:val="002852C7"/>
    <w:rsid w:val="00335D9B"/>
    <w:rsid w:val="00644093"/>
    <w:rsid w:val="00AC5B3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17E4D"/>
  <w15:chartTrackingRefBased/>
  <w15:docId w15:val="{DC6705FE-9BC4-4678-98F9-9A4F5431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D9B"/>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335D9B"/>
    <w:pPr>
      <w:ind w:left="720"/>
      <w:contextualSpacing/>
    </w:pPr>
  </w:style>
  <w:style w:type="table" w:styleId="Tabel-Gitter">
    <w:name w:val="Table Grid"/>
    <w:basedOn w:val="Tabel-Normal"/>
    <w:uiPriority w:val="39"/>
    <w:rsid w:val="00335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9">
    <w:name w:val="Pa9"/>
    <w:basedOn w:val="Normal"/>
    <w:next w:val="Normal"/>
    <w:uiPriority w:val="99"/>
    <w:rsid w:val="00335D9B"/>
    <w:pPr>
      <w:autoSpaceDE w:val="0"/>
      <w:autoSpaceDN w:val="0"/>
      <w:adjustRightInd w:val="0"/>
      <w:spacing w:after="0" w:line="161" w:lineRule="atLeast"/>
    </w:pPr>
    <w:rPr>
      <w:rFonts w:ascii="NADHN G+ Scala" w:hAnsi="NADHN G+ Scal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531</Words>
  <Characters>3240</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Finn Erland Nielsen</dc:creator>
  <cp:keywords/>
  <dc:description/>
  <cp:lastModifiedBy>Finn Erland Nielsen</cp:lastModifiedBy>
  <cp:revision>2</cp:revision>
  <dcterms:created xsi:type="dcterms:W3CDTF">2021-05-12T07:41:00Z</dcterms:created>
  <dcterms:modified xsi:type="dcterms:W3CDTF">2021-05-12T07:41:00Z</dcterms:modified>
</cp:coreProperties>
</file>