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240"/>
        <w:jc w:val="center"/>
        <w:rPr>
          <w:rFonts w:ascii="Times New Roman" w:hAnsi="Times New Roman" w:eastAsia="宋体" w:cs="Times New Roman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Supplementary material</w:t>
      </w:r>
    </w:p>
    <w:p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Supplementary material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Profiles of derived features</w:t>
      </w:r>
    </w:p>
    <w:tbl>
      <w:tblPr>
        <w:tblStyle w:val="10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418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526" w:type="dxa"/>
          </w:tcPr>
          <w:p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Category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Images for extraction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Number (features)</w:t>
            </w:r>
          </w:p>
        </w:tc>
        <w:tc>
          <w:tcPr>
            <w:tcW w:w="8647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szCs w:val="21"/>
              </w:rPr>
              <w:t>DCE</w:t>
            </w:r>
            <w:r>
              <w:rPr>
                <w:rFonts w:ascii="Times New Roman" w:hAnsi="Times New Roman" w:eastAsia="Arial" w:cs="Times New Roman"/>
                <w:szCs w:val="21"/>
                <w:vertAlign w:val="subscript"/>
              </w:rPr>
              <w:t>shape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postcontrast phase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647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The 1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shape-based features were calculated on the first postcontrast DCE images.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szCs w:val="21"/>
              </w:rPr>
              <w:t>DCE</w:t>
            </w:r>
            <w:r>
              <w:rPr>
                <w:rFonts w:ascii="Times New Roman" w:hAnsi="Times New Roman" w:eastAsia="Arial" w:cs="Times New Roman"/>
                <w:szCs w:val="21"/>
                <w:vertAlign w:val="subscript"/>
              </w:rPr>
              <w:t>texture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Precontrast phase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restart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szCs w:val="21"/>
              </w:rPr>
              <w:t>The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3 texture features (including 18 first order features, 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gray level co-occurrence matrix (GLCM) features, 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gray level run length matrix (GLRLM) features, 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gray level size zone matrix (GLSZM) features, 5 neighboring gray tone difference matrix (NGTDM) features, and 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</w:t>
            </w:r>
            <w:bookmarkStart w:id="0" w:name="OLE_LINK28"/>
            <w:bookmarkStart w:id="1" w:name="OLE_LINK31"/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gray level dependence matrix (GLDM) </w:t>
            </w:r>
            <w:bookmarkEnd w:id="0"/>
            <w:bookmarkEnd w:id="1"/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features were calculated on these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four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 xml:space="preserve"> series image sets to yield 3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Arial" w:cs="Times New Roman"/>
                <w:color w:val="000000"/>
                <w:szCs w:val="21"/>
              </w:rPr>
              <w:t>2 features.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postcontrast phase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postcontrast phase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postcontrast phase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Mean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restart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 Unicode MS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To characterize the textural changes on DCE images over time serials, we measured ten new </w:t>
            </w:r>
            <w:r>
              <w:rPr>
                <w:rFonts w:ascii="Times New Roman" w:hAnsi="Times New Roman" w:eastAsia="Arial" w:cs="Times New Roman"/>
                <w:szCs w:val="21"/>
              </w:rPr>
              <w:t>sequential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features for each texture feature described in group b (supplementary Table S2). The first six features, including mean, variance, kurtosis, skewness, energy, and entropy, were extracted from each individual subject. The other four features, including Kendall-tau-b, conservation, stability, and dispersion, were calculated from the interactive information between the current subject and the remainder of the subjects. Therefore, a total of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 DCE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  <w:r>
              <w:rPr>
                <w:rFonts w:ascii="Times New Roman" w:hAnsi="Times New Roman" w:eastAsia="Arial Unicode MS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features were extracted from 83 texture features.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Variance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Kurtosis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Skewness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Energy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Entropy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Kendall-tau-b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onservation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Stability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26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ispersion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647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201" w:firstLineChars="500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1201" w:firstLineChars="500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Supplementary material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Formulas for the ten new sequential features</w:t>
      </w:r>
    </w:p>
    <w:tbl>
      <w:tblPr>
        <w:tblStyle w:val="10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p denotes patient; t denotes the phase for the DCE image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mean=</m:t>
              </m:r>
              <m:f>
                <m:f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t=1</m:t>
                  </m:r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pt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e>
              </m:nary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variance=</m:t>
                </m:r>
                <m:f>
                  <m:f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t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Cs w:val="21"/>
                      </w:rPr>
                    </m:ctrlPr>
                  </m:naryPr>
                  <m:sub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t=1</m:t>
                    </m:r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Cs w:val="21"/>
                      </w:rPr>
                    </m:ctrlPr>
                  </m:sub>
                  <m:sup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t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Cs w:val="21"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(x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pt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eastAsia="宋体" w:cs="Times New Roman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e>
                            </m:acc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p∙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i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)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 w:cs="Times New Roman"/>
                            <w:i/>
                            <w:kern w:val="0"/>
                            <w:szCs w:val="21"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Cs w:val="21"/>
                      </w:rPr>
                    </m:ctrlPr>
                  </m:e>
                </m:nary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skewness</m:t>
              </m:r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t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t=1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t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pt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e>
                              </m:acc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p∙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)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3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</m:nary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N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t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den>
                              </m:f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t=1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N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t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(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x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pt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eastAsia="宋体" w:cs="Times New Roman"/>
                                                  <w:i/>
                                                  <w:kern w:val="0"/>
                                                  <w:szCs w:val="21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eastAsia="宋体" w:cs="Times New Roman"/>
                                                  <w:kern w:val="0"/>
                                                  <w:szCs w:val="21"/>
                                                </w:rPr>
                                                <m:t>x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宋体" w:cs="Times New Roman"/>
                                                  <w:i/>
                                                  <w:kern w:val="0"/>
                                                  <w:szCs w:val="21"/>
                                                </w:rPr>
                                              </m:ctrlPr>
                                            </m:e>
                                          </m:acc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p∙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)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2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e>
                              </m:nary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p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den>
              </m:f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kurtosis</m:t>
              </m:r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t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naryPr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t=1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t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pt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e>
                              </m:acc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p∙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)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4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</m:nary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deg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N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t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den>
                              </m:f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t=1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ub>
                                <m: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N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t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(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x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pt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̅"/>
                                              <m:ctrlPr>
                                                <w:rPr>
                                                  <w:rFonts w:ascii="Cambria Math" w:hAnsi="Cambria Math" w:eastAsia="宋体" w:cs="Times New Roman"/>
                                                  <w:i/>
                                                  <w:kern w:val="0"/>
                                                  <w:szCs w:val="21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eastAsia="宋体" w:cs="Times New Roman"/>
                                                  <w:kern w:val="0"/>
                                                  <w:szCs w:val="21"/>
                                                </w:rPr>
                                                <m:t>x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eastAsia="宋体" w:cs="Times New Roman"/>
                                                  <w:i/>
                                                  <w:kern w:val="0"/>
                                                  <w:szCs w:val="21"/>
                                                </w:rPr>
                                              </m:ctrlPr>
                                            </m:e>
                                          </m:acc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eastAsia="宋体" w:cs="Times New Roman"/>
                                              <w:kern w:val="0"/>
                                              <w:szCs w:val="21"/>
                                            </w:rPr>
                                            <m:t>p∙</m:t>
                                          </m:r>
                                          <m:ctrlPr>
                                            <w:rPr>
                                              <w:rFonts w:ascii="Cambria Math" w:hAnsi="Cambria Math" w:eastAsia="宋体" w:cs="Times New Roman"/>
                                              <w:i/>
                                              <w:kern w:val="0"/>
                                              <w:szCs w:val="21"/>
                                            </w:rPr>
                                          </m:ctrlP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)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eastAsia="宋体" w:cs="Times New Roman"/>
                                          <w:kern w:val="0"/>
                                          <w:szCs w:val="21"/>
                                        </w:rPr>
                                        <m:t>2</m:t>
                                      </m:r>
                                      <m:ctrlPr>
                                        <w:rPr>
                                          <w:rFonts w:ascii="Cambria Math" w:hAnsi="Cambria Math" w:eastAsia="宋体" w:cs="Times New Roman"/>
                                          <w:i/>
                                          <w:kern w:val="0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e>
                              </m:nary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p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/>
                      <w:kern w:val="0"/>
                      <w:szCs w:val="21"/>
                    </w:rPr>
                  </m:ctrlPr>
                </m:den>
              </m:f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energy=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naryPr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t=1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pt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e>
                    <m:sup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 w:eastAsia="宋体" w:cs="Times New Roman"/>
                          <w:i/>
                          <w:kern w:val="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</m:nary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entropy=-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naryPr>
                  <m:sub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=1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ub>
                  <m:sup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g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p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t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log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d>
                      <m:d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+</m:t>
                        </m:r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ϵ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</m:nary>
              </m:oMath>
            </m:oMathPara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is the first order histogram with 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g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discrete intensity levels, where 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g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is the number of non-zero bins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is the normalized first order histogram and is equal to </w:t>
            </w:r>
            <m:oMath>
              <m:f>
                <m:f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den>
              </m:f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Here, ϵ is an arbitrarily small positive number (≈2.2×</w:t>
            </w:r>
            <m:oMath>
              <m:sSup>
                <m:sSup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10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-16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p>
              </m:sSup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).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bookmarkStart w:id="2" w:name="OLE_LINK30"/>
            <w:bookmarkStart w:id="3" w:name="OLE_LINK29"/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Kendall's tau-b</w:t>
            </w:r>
            <w:bookmarkEnd w:id="2"/>
            <w:bookmarkEnd w:id="3"/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 xml:space="preserve"> </w:t>
            </w: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Kendall's tau-b is a nonparametric measure of association based on the number of concordances and discordances in the paired observations. In this work, Kendall's tau-b was used to measure the </w:t>
            </w:r>
            <w:bookmarkStart w:id="4" w:name="OLE_LINK2"/>
            <w:bookmarkStart w:id="5" w:name="OLE_LINK1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coordinated </w:t>
            </w:r>
            <w:bookmarkEnd w:id="4"/>
            <w:bookmarkEnd w:id="5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consistency of changing features between one patient and the remaining patients.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The consistent coefficient between two patients (p and p’) at two time points (t and t’) was calculated as follows (Equation (1)):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'</m:t>
                      </m:r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'</m:t>
                      </m:r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t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pt</m:t>
                      </m: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         (1)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(p=1, 2,…,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,  p’=p+1,p+2,…,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, t=1,2,…,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,  t’=t+1,t+2,…,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,)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where x is the value of one of the texture features,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is the number of patients, and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is the number of time points. Therefore,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*(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-1)/2 consistent coefficients in total were obtained for each pair of patients. 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The consistent coefficients are subsequently subclassified into four groups, </w:t>
            </w:r>
            <m:oMath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&gt;0,  </m:t>
              </m:r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&lt;0,  </m:t>
              </m:r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=0 and </m:t>
              </m:r>
              <m:r>
                <w:rPr>
                  <w:rFonts w:ascii="Cambria Math" w:hAnsi="Cambria Math" w:eastAsia="宋体" w:cs="Times New Roman"/>
                  <w:kern w:val="0"/>
                  <w:szCs w:val="21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→∞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.   The corresponding number of items is: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&gt;0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 xml:space="preserve"> </m:t>
                  </m:r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&lt;0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 xml:space="preserve"> </m:t>
                  </m:r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=0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→∞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.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Kendall's tau-b was calculated as follows: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τ=</m:t>
                </m:r>
                <m:f>
                  <m:f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&gt;0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&lt;0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&gt;0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&lt;0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=0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)×(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&gt;0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&lt;0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→∞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)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</m:rad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 xml:space="preserve">       (2)</m:t>
                </m:r>
              </m:oMath>
            </m:oMathPara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Conservation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The conservation of patients was calculated as follows: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pp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=1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pt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'</m:t>
                                </m:r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</m:nary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-</m:t>
                        </m:r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=1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pt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=1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N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p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'</m:t>
                                    </m:r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</m:nary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deg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=1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N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pt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p>
                                </m:sSubSup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</m:nary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(</m:t>
                                </m:r>
                                <m:nary>
                                  <m:naryPr>
                                    <m:chr m:val="∑"/>
                                    <m:limLoc m:val="subSup"/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=1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N</m:t>
                                        </m: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t</m:t>
                                        </m: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ub>
                                    </m:sSub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p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x</m:t>
                                        </m: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pt</m:t>
                                        </m: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ub>
                                    </m:sSub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</m:nary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)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</m:rad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deg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N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</m:sSub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=1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N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p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'</m:t>
                                    </m:r>
                                    <m: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t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sup>
                                </m:sSubSup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</m:nary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limLoc m:val="undOvr"/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  <m:t>=1</m:t>
                                        </m:r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ub>
                                      <m:sup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N</m:t>
                                            </m: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t</m:t>
                                            </m: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sub>
                                        </m:sSub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x</m:t>
                                            </m: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p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'</m:t>
                                            </m:r>
                                            <m: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  <m:t>t</m:t>
                                            </m:r>
                                            <m:ctrlPr>
                                              <w:rPr>
                                                <w:rFonts w:ascii="Cambria Math" w:hAnsi="Cambria Math" w:eastAsia="宋体" w:cs="Times New Roman"/>
                                                <w:kern w:val="0"/>
                                                <w:szCs w:val="21"/>
                                              </w:rPr>
                                            </m:ctrlPr>
                                          </m:sub>
                                        </m:sSub>
                                        <m:ctrlPr>
                                          <w:rPr>
                                            <w:rFonts w:ascii="Cambria Math" w:hAnsi="Cambria Math" w:eastAsia="宋体" w:cs="Times New Roman"/>
                                            <w:kern w:val="0"/>
                                            <w:szCs w:val="21"/>
                                          </w:rPr>
                                        </m:ctrlPr>
                                      </m:e>
                                    </m:nary>
                                    <m:ctrlPr>
                                      <w:rPr>
                                        <w:rFonts w:ascii="Cambria Math" w:hAnsi="Cambria Math" w:eastAsia="宋体" w:cs="Times New Roman"/>
                                        <w:kern w:val="0"/>
                                        <w:szCs w:val="21"/>
                                      </w:rPr>
                                    </m:ctrlPr>
                                  </m:e>
                                </m:d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hAnsi="Cambria Math" w:eastAsia="宋体" w:cs="Times New Roman"/>
                                    <w:kern w:val="0"/>
                                    <w:szCs w:val="21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 xml:space="preserve">  (3)</m:t>
                </m:r>
              </m:oMath>
            </m:oMathPara>
          </w:p>
          <w:p>
            <w:pPr>
              <w:widowControl/>
              <w:ind w:firstLine="105" w:firstLineChars="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Here, the absolute value of the Pearson correlation coefficient was used because both positive and negative values indicate that the two patients are relatively conserved. </w:t>
            </w: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Stability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Stability was defined by Equation (4): 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S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pp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max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PCV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PCV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  <m:t>p</m:t>
                            </m:r>
                            <m:ctrlPr>
                              <w:rPr>
                                <w:rFonts w:ascii="Cambria Math" w:hAnsi="Cambria Math" w:eastAsia="宋体" w:cs="Times New Roman"/>
                                <w:kern w:val="0"/>
                                <w:szCs w:val="21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 xml:space="preserve">          (4)</m:t>
                </m:r>
              </m:oMath>
            </m:oMathPara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PCV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(or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PCV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) indicated the percentage of patients whose coefficient of variation (CV) did not exceed the CV of patient 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p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(or 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p'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).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PCV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e>
                  <m:sub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number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of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patients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with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CV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&lt;</m:t>
                    </m:r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CV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p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num>
                  <m:den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total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number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of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 xml:space="preserve"> </m:t>
                    </m:r>
                    <m: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patinets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  <m:t>p</m:t>
                        </m:r>
                        <m:ctrlPr>
                          <w:rPr>
                            <w:rFonts w:ascii="Cambria Math" w:hAnsi="Cambria Math" w:eastAsia="宋体" w:cs="Times New Roman"/>
                            <w:kern w:val="0"/>
                            <w:szCs w:val="21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  <m:t>)</m:t>
                    </m:r>
                    <m:ctrlPr>
                      <w:rPr>
                        <w:rFonts w:ascii="Cambria Math" w:hAnsi="Cambria Math" w:eastAsia="宋体" w:cs="Times New Roman"/>
                        <w:kern w:val="0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  <w:kern w:val="0"/>
                    <w:szCs w:val="21"/>
                  </w:rPr>
                  <m:t xml:space="preserve">   (5)</m:t>
                </m:r>
              </m:oMath>
            </m:oMathPara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8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Dispersion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Let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Max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=max⁡(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,…,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)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Min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=min⁡(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1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,…,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pT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)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Max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func>
                <m:func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max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p'T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</m:func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Min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func>
                <m:func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min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p'T</m:t>
                          </m:r>
                          <m:ctrl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</m:func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We assumed that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Max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was larger than 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Max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,  and the dispersion was defined as follows: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D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  <m:sub>
                  <m: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  <m:t>pp'</m:t>
                  </m: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qArrPr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 xml:space="preserve">0                 if 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Max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'-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Min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Max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p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="宋体" w:cs="Times New Roman"/>
                                  <w:kern w:val="0"/>
                                  <w:szCs w:val="21"/>
                                </w:rPr>
                                <m:t>Min</m:t>
                              </m:r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 w:eastAsia="宋体" w:cs="Times New Roman"/>
                                      <w:kern w:val="0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 w:eastAsia="宋体" w:cs="Times New Roman"/>
                                      <w:i/>
                                      <w:kern w:val="0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 w:eastAsia="宋体" w:cs="Times New Roman"/>
                                  <w:i/>
                                  <w:kern w:val="0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 xml:space="preserve">     if 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  <m:e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 xml:space="preserve">1                if 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Max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  <m:t>≥</m:t>
                      </m:r>
                      <m:sSub>
                        <m:sSubP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Min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 w:cs="Times New Roman"/>
                              <w:kern w:val="0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 w:eastAsia="宋体" w:cs="Times New Roman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eastAsia="宋体" w:cs="Times New Roman"/>
                          <w:kern w:val="0"/>
                          <w:szCs w:val="21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 w:cs="Times New Roman"/>
                      <w:kern w:val="0"/>
                      <w:szCs w:val="21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 w:cs="Times New Roman"/>
                  <w:kern w:val="0"/>
                  <w:szCs w:val="21"/>
                </w:rPr>
                <m:t xml:space="preserve">     </m:t>
              </m:r>
            </m:oMath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(6)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material 3: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The Rad-score Formula of Logistic Regression based on CE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vertAlign w:val="subscript"/>
        </w:rPr>
        <w:t>1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Rad-score1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= 0.4252＋0.14261*X1－0.086037*X2－0.28119*X3＋0.092546*X4＋0.86661*X5－0.88947*X6</w:t>
      </w: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material 4: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The Rad-score Formula of liner SVM based on CE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vertAlign w:val="subscript"/>
        </w:rPr>
        <w:t>m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Rad-score2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= 0.4252＋0.10267*Y1－0.16695*Y2－0.12109*Y3－0.14636*Y4－0.10759*Y5＋0.16895*Y6</w:t>
      </w:r>
    </w:p>
    <w:p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Supplementary material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important featues derived from the CE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1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84"/>
        <w:gridCol w:w="1559"/>
        <w:gridCol w:w="3261"/>
        <w:gridCol w:w="6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 xml:space="preserve">Image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Group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Feature Type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Feature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Definition of the Feature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First Order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Range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The range of gray values in the ROI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First Order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Skewness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the asymmetry of the distribution of values about the Mean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GLCM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Joint Entropy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a measure of the randomness/variability in neighborhood intensity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GLSZM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Size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Zone Variance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measures the variance in zone size volumes for the zones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GLSZM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Large Area Emphasis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a measure of the distribution of large area size zones, with a greater value indicative of more larger size zones and more coarse textures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texture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GLRL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M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Run Length Non-Uniformity</w:t>
            </w:r>
          </w:p>
        </w:tc>
        <w:tc>
          <w:tcPr>
            <w:tcW w:w="6639" w:type="dxa"/>
            <w:shd w:val="clear" w:color="auto" w:fill="auto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measures the similarity of run lengths throughout the image, with a lower value indicating more homogeneity among run lengths in the image</w:t>
            </w:r>
          </w:p>
        </w:tc>
      </w:tr>
    </w:tbl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2"/>
        </w:rPr>
      </w:pP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2"/>
        </w:rPr>
      </w:pPr>
    </w:p>
    <w:p>
      <w:pPr>
        <w:widowControl/>
        <w:spacing w:before="120" w:after="240"/>
        <w:jc w:val="left"/>
        <w:rPr>
          <w:rFonts w:ascii="Times New Roman" w:hAnsi="Times New Roman" w:eastAsia="宋体" w:cs="Times New Roman"/>
          <w:kern w:val="0"/>
          <w:sz w:val="22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Supplementary material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important featues derived from CE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2126"/>
        <w:gridCol w:w="2977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 xml:space="preserve">Image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Group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Feature Type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Feature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Definition of the Feature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Kurtosis_ firstorder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Entropy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specifies the uncertainty/randomness in the image values. It measures the average amount of information required to encode the image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Entropy_ firstorder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90percentile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refers to the 90th percentile voxel value in ROI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8" w:name="_GoBack" w:colFirst="4" w:colLast="4"/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Kurtosis_ GLDM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Small Dependence Low Gray Level Emphasis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Measures the joint distribution of small dependence with lower gray-level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Entropy_ GLCM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6" w:name="OLE_LINK5"/>
            <w:bookmarkStart w:id="7" w:name="OLE_LINK6"/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Cluster Prominenc</w:t>
            </w:r>
            <w:bookmarkEnd w:id="6"/>
            <w:bookmarkEnd w:id="7"/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a measure of the skewness and asymmetry of the GLCM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Dispersion_GLCM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Inverse Difference Moment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a measure of the local homogeneity of an image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1101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Y6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DCE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sequential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ability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_GLRLM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Gray Level Non-Uniformity Normalized</w:t>
            </w:r>
          </w:p>
        </w:tc>
        <w:tc>
          <w:tcPr>
            <w:tcW w:w="7088" w:type="dxa"/>
          </w:tcPr>
          <w:p>
            <w:pPr>
              <w:widowControl/>
              <w:spacing w:before="120" w:after="24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Cs w:val="21"/>
              </w:rPr>
              <w:t>measures the similarity of gray-level intensity values in the image, where a lower GLNN value correlates with a greater similarity in intensity values</w:t>
            </w:r>
          </w:p>
        </w:tc>
      </w:tr>
      <w:bookmarkEnd w:id="8"/>
    </w:tbl>
    <w:p>
      <w:pPr>
        <w:widowControl/>
        <w:spacing w:before="120" w:after="240"/>
        <w:jc w:val="left"/>
        <w:rPr>
          <w:rFonts w:ascii="Times New Roman" w:hAnsi="Times New Roman" w:eastAsia="宋体" w:cs="Times New Roman"/>
          <w:b/>
          <w:bCs/>
          <w:color w:val="FF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Light">
    <w:panose1 w:val="02000000000000000000"/>
    <w:charset w:val="50"/>
    <w:family w:val="auto"/>
    <w:pitch w:val="default"/>
    <w:sig w:usb0="8000002F" w:usb1="0800004A" w:usb2="00000000" w:usb3="00000000" w:csb0="203E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4B2"/>
    <w:multiLevelType w:val="multilevel"/>
    <w:tmpl w:val="2DDD24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e_stylename" w:val="ER1 New"/>
  </w:docVars>
  <w:rsids>
    <w:rsidRoot w:val="000E4097"/>
    <w:rsid w:val="00011229"/>
    <w:rsid w:val="0001280F"/>
    <w:rsid w:val="00027142"/>
    <w:rsid w:val="0003684A"/>
    <w:rsid w:val="000B7B14"/>
    <w:rsid w:val="000E4097"/>
    <w:rsid w:val="00112070"/>
    <w:rsid w:val="001148A8"/>
    <w:rsid w:val="0012070F"/>
    <w:rsid w:val="001236E9"/>
    <w:rsid w:val="00136E21"/>
    <w:rsid w:val="00155363"/>
    <w:rsid w:val="00157808"/>
    <w:rsid w:val="00166B76"/>
    <w:rsid w:val="001A3960"/>
    <w:rsid w:val="00210B2E"/>
    <w:rsid w:val="00242BB4"/>
    <w:rsid w:val="00291AAC"/>
    <w:rsid w:val="002B22DE"/>
    <w:rsid w:val="002D0ED1"/>
    <w:rsid w:val="002E7F90"/>
    <w:rsid w:val="00392158"/>
    <w:rsid w:val="003D5C31"/>
    <w:rsid w:val="003E574A"/>
    <w:rsid w:val="003F0897"/>
    <w:rsid w:val="003F3104"/>
    <w:rsid w:val="00411291"/>
    <w:rsid w:val="004540F0"/>
    <w:rsid w:val="00455C85"/>
    <w:rsid w:val="00474EBF"/>
    <w:rsid w:val="00497912"/>
    <w:rsid w:val="004E1B86"/>
    <w:rsid w:val="005366B7"/>
    <w:rsid w:val="00570BDB"/>
    <w:rsid w:val="005B446C"/>
    <w:rsid w:val="005C411A"/>
    <w:rsid w:val="005D3B92"/>
    <w:rsid w:val="005E2DED"/>
    <w:rsid w:val="005E6E90"/>
    <w:rsid w:val="00602DC5"/>
    <w:rsid w:val="006363B2"/>
    <w:rsid w:val="00644D38"/>
    <w:rsid w:val="006464D5"/>
    <w:rsid w:val="006674DC"/>
    <w:rsid w:val="00672240"/>
    <w:rsid w:val="00681235"/>
    <w:rsid w:val="00694057"/>
    <w:rsid w:val="006960CB"/>
    <w:rsid w:val="00697AAB"/>
    <w:rsid w:val="006B066D"/>
    <w:rsid w:val="006B5E57"/>
    <w:rsid w:val="006B6C10"/>
    <w:rsid w:val="006E69D8"/>
    <w:rsid w:val="00700D1B"/>
    <w:rsid w:val="007177CC"/>
    <w:rsid w:val="00725BB9"/>
    <w:rsid w:val="007266C2"/>
    <w:rsid w:val="00731CA4"/>
    <w:rsid w:val="007473E8"/>
    <w:rsid w:val="007520BD"/>
    <w:rsid w:val="00776369"/>
    <w:rsid w:val="007A1661"/>
    <w:rsid w:val="007B2313"/>
    <w:rsid w:val="007D3973"/>
    <w:rsid w:val="00832527"/>
    <w:rsid w:val="008347C4"/>
    <w:rsid w:val="008743B4"/>
    <w:rsid w:val="008A6666"/>
    <w:rsid w:val="008C3769"/>
    <w:rsid w:val="008E52AD"/>
    <w:rsid w:val="00941989"/>
    <w:rsid w:val="00956913"/>
    <w:rsid w:val="00986221"/>
    <w:rsid w:val="009B1554"/>
    <w:rsid w:val="009B19AE"/>
    <w:rsid w:val="009B57F3"/>
    <w:rsid w:val="009E72C5"/>
    <w:rsid w:val="009E7955"/>
    <w:rsid w:val="00A03B32"/>
    <w:rsid w:val="00A2776E"/>
    <w:rsid w:val="00A528B5"/>
    <w:rsid w:val="00A7342D"/>
    <w:rsid w:val="00A96332"/>
    <w:rsid w:val="00AB1ACD"/>
    <w:rsid w:val="00AF61CB"/>
    <w:rsid w:val="00B118AA"/>
    <w:rsid w:val="00B655EF"/>
    <w:rsid w:val="00B94FD0"/>
    <w:rsid w:val="00BA34D5"/>
    <w:rsid w:val="00BC3CA0"/>
    <w:rsid w:val="00BE7129"/>
    <w:rsid w:val="00C0204F"/>
    <w:rsid w:val="00C05063"/>
    <w:rsid w:val="00C62FD0"/>
    <w:rsid w:val="00C85EB2"/>
    <w:rsid w:val="00CC1415"/>
    <w:rsid w:val="00CF2D95"/>
    <w:rsid w:val="00CF4134"/>
    <w:rsid w:val="00D15AA0"/>
    <w:rsid w:val="00D15DB6"/>
    <w:rsid w:val="00D91AB7"/>
    <w:rsid w:val="00DC15B9"/>
    <w:rsid w:val="00DD3D59"/>
    <w:rsid w:val="00DD4C83"/>
    <w:rsid w:val="00E02F84"/>
    <w:rsid w:val="00E03259"/>
    <w:rsid w:val="00E03962"/>
    <w:rsid w:val="00EA68E8"/>
    <w:rsid w:val="00EB69B9"/>
    <w:rsid w:val="00EE041D"/>
    <w:rsid w:val="00EE401E"/>
    <w:rsid w:val="00F128C2"/>
    <w:rsid w:val="00F1308E"/>
    <w:rsid w:val="00F32D0A"/>
    <w:rsid w:val="00F703D6"/>
    <w:rsid w:val="00F862A3"/>
    <w:rsid w:val="00FB17A9"/>
    <w:rsid w:val="00FC2576"/>
    <w:rsid w:val="00FC6B1E"/>
    <w:rsid w:val="00FD3B8F"/>
    <w:rsid w:val="01732014"/>
    <w:rsid w:val="024235F4"/>
    <w:rsid w:val="0572266E"/>
    <w:rsid w:val="05D41503"/>
    <w:rsid w:val="09837BBD"/>
    <w:rsid w:val="0A62764C"/>
    <w:rsid w:val="0BA253E0"/>
    <w:rsid w:val="104B6BBE"/>
    <w:rsid w:val="11EC7D79"/>
    <w:rsid w:val="17F54BCA"/>
    <w:rsid w:val="182E4AB5"/>
    <w:rsid w:val="1B442C7E"/>
    <w:rsid w:val="1CBB233D"/>
    <w:rsid w:val="1DA445AF"/>
    <w:rsid w:val="21BA453F"/>
    <w:rsid w:val="21FF7EB7"/>
    <w:rsid w:val="2ED3494B"/>
    <w:rsid w:val="2FCA0273"/>
    <w:rsid w:val="31E16FFC"/>
    <w:rsid w:val="361E439C"/>
    <w:rsid w:val="388713C7"/>
    <w:rsid w:val="395E1BA2"/>
    <w:rsid w:val="3C2C0E1B"/>
    <w:rsid w:val="3D534FF0"/>
    <w:rsid w:val="420C7663"/>
    <w:rsid w:val="51032FA4"/>
    <w:rsid w:val="519A4D58"/>
    <w:rsid w:val="535B075F"/>
    <w:rsid w:val="5418136C"/>
    <w:rsid w:val="5F780A10"/>
    <w:rsid w:val="5FAE4E30"/>
    <w:rsid w:val="643171B7"/>
    <w:rsid w:val="654D0D09"/>
    <w:rsid w:val="67C62995"/>
    <w:rsid w:val="69502AEF"/>
    <w:rsid w:val="6A573BC7"/>
    <w:rsid w:val="6B7773BA"/>
    <w:rsid w:val="6F2A700B"/>
    <w:rsid w:val="6F8C6F4A"/>
    <w:rsid w:val="72792357"/>
    <w:rsid w:val="728678CA"/>
    <w:rsid w:val="74DF5E3F"/>
    <w:rsid w:val="76A63C39"/>
    <w:rsid w:val="7A9D0D02"/>
    <w:rsid w:val="DEFF9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33DD"/>
      <w:u w:val="none"/>
    </w:rPr>
  </w:style>
  <w:style w:type="character" w:styleId="8">
    <w:name w:val="HTML Code"/>
    <w:basedOn w:val="5"/>
    <w:unhideWhenUsed/>
    <w:qFormat/>
    <w:uiPriority w:val="99"/>
    <w:rPr>
      <w:rFonts w:ascii="Consolas" w:hAnsi="Consolas" w:eastAsia="Consolas" w:cs="Consolas"/>
      <w:color w:val="333333"/>
      <w:sz w:val="20"/>
      <w:szCs w:val="20"/>
      <w:shd w:val="clear" w:color="auto" w:fill="F7F7F7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5"/>
    <w:link w:val="2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5">
    <w:name w:val="ss"/>
    <w:basedOn w:val="5"/>
    <w:qFormat/>
    <w:uiPriority w:val="0"/>
    <w:rPr>
      <w:color w:val="BB6688"/>
    </w:rPr>
  </w:style>
  <w:style w:type="character" w:customStyle="1" w:styleId="16">
    <w:name w:val="st"/>
    <w:basedOn w:val="5"/>
    <w:qFormat/>
    <w:uiPriority w:val="0"/>
    <w:rPr>
      <w:color w:val="4070A0"/>
    </w:rPr>
  </w:style>
  <w:style w:type="character" w:customStyle="1" w:styleId="17">
    <w:name w:val="er"/>
    <w:basedOn w:val="5"/>
    <w:qFormat/>
    <w:uiPriority w:val="0"/>
    <w:rPr>
      <w:b/>
      <w:color w:val="FF0000"/>
    </w:rPr>
  </w:style>
  <w:style w:type="character" w:customStyle="1" w:styleId="18">
    <w:name w:val="ot"/>
    <w:basedOn w:val="5"/>
    <w:qFormat/>
    <w:uiPriority w:val="0"/>
    <w:rPr>
      <w:color w:val="007020"/>
    </w:rPr>
  </w:style>
  <w:style w:type="character" w:customStyle="1" w:styleId="19">
    <w:name w:val="pp"/>
    <w:basedOn w:val="5"/>
    <w:qFormat/>
    <w:uiPriority w:val="0"/>
    <w:rPr>
      <w:color w:val="BC7A00"/>
    </w:rPr>
  </w:style>
  <w:style w:type="character" w:customStyle="1" w:styleId="20">
    <w:name w:val="vs"/>
    <w:basedOn w:val="5"/>
    <w:qFormat/>
    <w:uiPriority w:val="0"/>
    <w:rPr>
      <w:color w:val="4070A0"/>
    </w:rPr>
  </w:style>
  <w:style w:type="character" w:customStyle="1" w:styleId="21">
    <w:name w:val="al"/>
    <w:basedOn w:val="5"/>
    <w:qFormat/>
    <w:uiPriority w:val="0"/>
    <w:rPr>
      <w:b/>
      <w:color w:val="FF0000"/>
    </w:rPr>
  </w:style>
  <w:style w:type="character" w:customStyle="1" w:styleId="22">
    <w:name w:val="kw"/>
    <w:basedOn w:val="5"/>
    <w:qFormat/>
    <w:uiPriority w:val="0"/>
    <w:rPr>
      <w:b/>
      <w:color w:val="007020"/>
    </w:rPr>
  </w:style>
  <w:style w:type="character" w:customStyle="1" w:styleId="23">
    <w:name w:val="ch"/>
    <w:basedOn w:val="5"/>
    <w:qFormat/>
    <w:uiPriority w:val="0"/>
    <w:rPr>
      <w:color w:val="4070A0"/>
    </w:rPr>
  </w:style>
  <w:style w:type="character" w:customStyle="1" w:styleId="24">
    <w:name w:val="cf"/>
    <w:basedOn w:val="5"/>
    <w:qFormat/>
    <w:uiPriority w:val="0"/>
    <w:rPr>
      <w:b/>
      <w:color w:val="007020"/>
    </w:rPr>
  </w:style>
  <w:style w:type="character" w:customStyle="1" w:styleId="25">
    <w:name w:val="at"/>
    <w:basedOn w:val="5"/>
    <w:qFormat/>
    <w:uiPriority w:val="0"/>
    <w:rPr>
      <w:color w:val="7D9029"/>
    </w:rPr>
  </w:style>
  <w:style w:type="character" w:customStyle="1" w:styleId="26">
    <w:name w:val="an"/>
    <w:basedOn w:val="5"/>
    <w:qFormat/>
    <w:uiPriority w:val="0"/>
    <w:rPr>
      <w:b/>
      <w:i/>
      <w:color w:val="60A0B0"/>
    </w:rPr>
  </w:style>
  <w:style w:type="character" w:customStyle="1" w:styleId="27">
    <w:name w:val="bn"/>
    <w:basedOn w:val="5"/>
    <w:qFormat/>
    <w:uiPriority w:val="0"/>
    <w:rPr>
      <w:color w:val="40A070"/>
    </w:rPr>
  </w:style>
  <w:style w:type="character" w:customStyle="1" w:styleId="28">
    <w:name w:val="va"/>
    <w:basedOn w:val="5"/>
    <w:qFormat/>
    <w:uiPriority w:val="0"/>
    <w:rPr>
      <w:color w:val="19177C"/>
    </w:rPr>
  </w:style>
  <w:style w:type="character" w:customStyle="1" w:styleId="29">
    <w:name w:val="co"/>
    <w:basedOn w:val="5"/>
    <w:qFormat/>
    <w:uiPriority w:val="0"/>
    <w:rPr>
      <w:i/>
      <w:color w:val="60A0B0"/>
    </w:rPr>
  </w:style>
  <w:style w:type="character" w:customStyle="1" w:styleId="30">
    <w:name w:val="cn"/>
    <w:basedOn w:val="5"/>
    <w:qFormat/>
    <w:uiPriority w:val="0"/>
    <w:rPr>
      <w:color w:val="880000"/>
    </w:rPr>
  </w:style>
  <w:style w:type="character" w:customStyle="1" w:styleId="31">
    <w:name w:val="cv"/>
    <w:basedOn w:val="5"/>
    <w:qFormat/>
    <w:uiPriority w:val="0"/>
    <w:rPr>
      <w:b/>
      <w:i/>
      <w:color w:val="60A0B0"/>
    </w:rPr>
  </w:style>
  <w:style w:type="character" w:customStyle="1" w:styleId="32">
    <w:name w:val="do"/>
    <w:basedOn w:val="5"/>
    <w:qFormat/>
    <w:uiPriority w:val="0"/>
    <w:rPr>
      <w:i/>
      <w:color w:val="BA2121"/>
    </w:rPr>
  </w:style>
  <w:style w:type="character" w:customStyle="1" w:styleId="33">
    <w:name w:val="dt"/>
    <w:basedOn w:val="5"/>
    <w:qFormat/>
    <w:uiPriority w:val="0"/>
    <w:rPr>
      <w:color w:val="902000"/>
    </w:rPr>
  </w:style>
  <w:style w:type="character" w:customStyle="1" w:styleId="34">
    <w:name w:val="dv"/>
    <w:basedOn w:val="5"/>
    <w:qFormat/>
    <w:uiPriority w:val="0"/>
    <w:rPr>
      <w:color w:val="40A070"/>
    </w:rPr>
  </w:style>
  <w:style w:type="character" w:customStyle="1" w:styleId="35">
    <w:name w:val="fl"/>
    <w:basedOn w:val="5"/>
    <w:qFormat/>
    <w:uiPriority w:val="0"/>
    <w:rPr>
      <w:color w:val="40A070"/>
    </w:rPr>
  </w:style>
  <w:style w:type="character" w:customStyle="1" w:styleId="36">
    <w:name w:val="fu"/>
    <w:basedOn w:val="5"/>
    <w:qFormat/>
    <w:uiPriority w:val="0"/>
    <w:rPr>
      <w:color w:val="06287E"/>
    </w:rPr>
  </w:style>
  <w:style w:type="character" w:customStyle="1" w:styleId="37">
    <w:name w:val="in"/>
    <w:basedOn w:val="5"/>
    <w:qFormat/>
    <w:uiPriority w:val="0"/>
    <w:rPr>
      <w:b/>
      <w:i/>
      <w:color w:val="60A0B0"/>
    </w:rPr>
  </w:style>
  <w:style w:type="character" w:customStyle="1" w:styleId="38">
    <w:name w:val="op"/>
    <w:basedOn w:val="5"/>
    <w:qFormat/>
    <w:uiPriority w:val="0"/>
    <w:rPr>
      <w:color w:val="666666"/>
    </w:rPr>
  </w:style>
  <w:style w:type="character" w:customStyle="1" w:styleId="39">
    <w:name w:val="sc"/>
    <w:basedOn w:val="5"/>
    <w:qFormat/>
    <w:uiPriority w:val="0"/>
    <w:rPr>
      <w:color w:val="4070A0"/>
    </w:rPr>
  </w:style>
  <w:style w:type="character" w:customStyle="1" w:styleId="40">
    <w:name w:val="wa"/>
    <w:basedOn w:val="5"/>
    <w:qFormat/>
    <w:uiPriority w:val="0"/>
    <w:rPr>
      <w:b/>
      <w:i/>
      <w:color w:val="60A0B0"/>
    </w:rPr>
  </w:style>
  <w:style w:type="table" w:customStyle="1" w:styleId="41">
    <w:name w:val="网格型1"/>
    <w:basedOn w:val="9"/>
    <w:unhideWhenUsed/>
    <w:qFormat/>
    <w:uiPriority w:val="99"/>
    <w:rPr>
      <w:rFonts w:ascii="Cambria" w:hAnsi="Cambria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2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1090</Words>
  <Characters>6215</Characters>
  <Lines>51</Lines>
  <Paragraphs>14</Paragraphs>
  <TotalTime>0</TotalTime>
  <ScaleCrop>false</ScaleCrop>
  <LinksUpToDate>false</LinksUpToDate>
  <CharactersWithSpaces>7291</CharactersWithSpaces>
  <Application>WPS Office_2.6.0.4243_F1E327BC-269C-435d-A152-05C5408002CA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2019-09-22T21:28:00Z</dcterms:created>
  <dc:creator>Windows 用户</dc:creator>
  <dc:description>NE.Rep</dc:description>
  <cp:lastModifiedBy>mac</cp:lastModifiedBy>
  <dcterms:modified xsi:type="dcterms:W3CDTF">2021-03-19T15:46:33Z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2052-2.6.0.4243</vt:lpwstr>
  </property>
</Properties>
</file>