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0138E" w14:textId="1226BD29" w:rsidR="0023040F" w:rsidRDefault="0023040F" w:rsidP="0023040F">
      <w:pPr>
        <w:pStyle w:val="Caption"/>
        <w:pageBreakBefore/>
        <w:ind w:left="1411" w:hanging="1411"/>
      </w:pPr>
      <w:r>
        <w:t>Supplementary Table 1</w:t>
      </w:r>
      <w:bookmarkStart w:id="0" w:name="_GoBack"/>
      <w:bookmarkEnd w:id="0"/>
      <w:r>
        <w:tab/>
        <w:t>Direct costs of diabetes-related complications</w:t>
      </w:r>
    </w:p>
    <w:tbl>
      <w:tblPr>
        <w:tblStyle w:val="OssianReportTable"/>
        <w:tblW w:w="4994" w:type="pct"/>
        <w:tblLook w:val="04A0" w:firstRow="1" w:lastRow="0" w:firstColumn="1" w:lastColumn="0" w:noHBand="0" w:noVBand="1"/>
      </w:tblPr>
      <w:tblGrid>
        <w:gridCol w:w="4106"/>
        <w:gridCol w:w="2126"/>
        <w:gridCol w:w="3117"/>
      </w:tblGrid>
      <w:tr w:rsidR="0023040F" w:rsidRPr="00014F52" w14:paraId="3135D108" w14:textId="77777777" w:rsidTr="008E0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1CEAEC08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jc w:val="left"/>
            </w:pPr>
            <w:r>
              <w:t>Complication/event</w:t>
            </w:r>
          </w:p>
        </w:tc>
        <w:tc>
          <w:tcPr>
            <w:tcW w:w="1137" w:type="pct"/>
          </w:tcPr>
          <w:p w14:paraId="7B6DA048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Cost, CAD</w:t>
            </w:r>
          </w:p>
        </w:tc>
        <w:tc>
          <w:tcPr>
            <w:tcW w:w="1667" w:type="pct"/>
          </w:tcPr>
          <w:p w14:paraId="37AADEE5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</w:tr>
      <w:tr w:rsidR="0023040F" w:rsidRPr="00014F52" w14:paraId="59610E19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78A0F193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Myocardial infarction, year of event</w:t>
            </w:r>
          </w:p>
        </w:tc>
        <w:tc>
          <w:tcPr>
            <w:tcW w:w="1137" w:type="pct"/>
          </w:tcPr>
          <w:p w14:paraId="51609428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20,341</w:t>
            </w:r>
          </w:p>
        </w:tc>
        <w:tc>
          <w:tcPr>
            <w:tcW w:w="1667" w:type="pct"/>
          </w:tcPr>
          <w:p w14:paraId="012090D6" w14:textId="4E6B8E26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CADTH 2013</w:t>
            </w:r>
            <w:bookmarkStart w:id="1" w:name="_Ref46680406"/>
            <w:r>
              <w:rPr>
                <w:rStyle w:val="EndnoteReference"/>
              </w:rPr>
              <w:endnoteReference w:id="1"/>
            </w:r>
            <w:bookmarkEnd w:id="1"/>
          </w:p>
        </w:tc>
      </w:tr>
      <w:tr w:rsidR="0023040F" w:rsidRPr="00014F52" w14:paraId="1D886682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7B66C34D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Myocardial infarction, subsequent years</w:t>
            </w:r>
          </w:p>
        </w:tc>
        <w:tc>
          <w:tcPr>
            <w:tcW w:w="1137" w:type="pct"/>
          </w:tcPr>
          <w:p w14:paraId="305F4DB2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3,18</w:t>
            </w:r>
            <w:r>
              <w:t>1</w:t>
            </w:r>
          </w:p>
        </w:tc>
        <w:tc>
          <w:tcPr>
            <w:tcW w:w="1667" w:type="pct"/>
          </w:tcPr>
          <w:p w14:paraId="53346EB8" w14:textId="025CB71C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CADTH 2013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_Ref46680406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1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03CC3064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14D13EA7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Angina, year of diagnosis</w:t>
            </w:r>
          </w:p>
        </w:tc>
        <w:tc>
          <w:tcPr>
            <w:tcW w:w="1137" w:type="pct"/>
          </w:tcPr>
          <w:p w14:paraId="3A5D53B3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4,386</w:t>
            </w:r>
          </w:p>
        </w:tc>
        <w:tc>
          <w:tcPr>
            <w:tcW w:w="1667" w:type="pct"/>
          </w:tcPr>
          <w:p w14:paraId="2960DB5C" w14:textId="62BFEDAA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bookmarkStart w:id="2" w:name="_Ref46680518"/>
            <w:r>
              <w:rPr>
                <w:rStyle w:val="EndnoteReference"/>
              </w:rPr>
              <w:endnoteReference w:id="2"/>
            </w:r>
            <w:bookmarkEnd w:id="2"/>
          </w:p>
        </w:tc>
      </w:tr>
      <w:tr w:rsidR="0023040F" w:rsidRPr="00014F52" w14:paraId="6E6D442B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4B69293F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Angina, subsequent years</w:t>
            </w:r>
          </w:p>
        </w:tc>
        <w:tc>
          <w:tcPr>
            <w:tcW w:w="1137" w:type="pct"/>
          </w:tcPr>
          <w:p w14:paraId="1C602337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2,046</w:t>
            </w:r>
          </w:p>
        </w:tc>
        <w:tc>
          <w:tcPr>
            <w:tcW w:w="1667" w:type="pct"/>
          </w:tcPr>
          <w:p w14:paraId="2F33B9D7" w14:textId="529BFD86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3F60C174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70DD285E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Congestive heart failure, year of diagnosis</w:t>
            </w:r>
          </w:p>
        </w:tc>
        <w:tc>
          <w:tcPr>
            <w:tcW w:w="1137" w:type="pct"/>
          </w:tcPr>
          <w:p w14:paraId="6F629D00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19,485</w:t>
            </w:r>
          </w:p>
        </w:tc>
        <w:tc>
          <w:tcPr>
            <w:tcW w:w="1667" w:type="pct"/>
          </w:tcPr>
          <w:p w14:paraId="352DF6C5" w14:textId="6454450F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CADTH 2013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_Ref46680406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1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51741666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7DEA4977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Congestive heart failure, subsequent years</w:t>
            </w:r>
          </w:p>
        </w:tc>
        <w:tc>
          <w:tcPr>
            <w:tcW w:w="1137" w:type="pct"/>
          </w:tcPr>
          <w:p w14:paraId="201161A1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5,46</w:t>
            </w:r>
            <w:r>
              <w:t>3</w:t>
            </w:r>
          </w:p>
        </w:tc>
        <w:tc>
          <w:tcPr>
            <w:tcW w:w="1667" w:type="pct"/>
          </w:tcPr>
          <w:p w14:paraId="55DB19A8" w14:textId="498D181F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CADTH 2013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_Ref46680406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1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46D85ED2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6D8C351F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Stroke, year of event</w:t>
            </w:r>
          </w:p>
        </w:tc>
        <w:tc>
          <w:tcPr>
            <w:tcW w:w="1137" w:type="pct"/>
          </w:tcPr>
          <w:p w14:paraId="36DEDFF2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27,70</w:t>
            </w:r>
            <w:r>
              <w:t>7</w:t>
            </w:r>
          </w:p>
        </w:tc>
        <w:tc>
          <w:tcPr>
            <w:tcW w:w="1667" w:type="pct"/>
          </w:tcPr>
          <w:p w14:paraId="1F422028" w14:textId="4B28A889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CADTH 2013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_Ref46680406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1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5E9DEC6D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75BA7248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Stroke, subsequent years</w:t>
            </w:r>
          </w:p>
        </w:tc>
        <w:tc>
          <w:tcPr>
            <w:tcW w:w="1137" w:type="pct"/>
          </w:tcPr>
          <w:p w14:paraId="0CBF25C0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3,844</w:t>
            </w:r>
          </w:p>
        </w:tc>
        <w:tc>
          <w:tcPr>
            <w:tcW w:w="1667" w:type="pct"/>
          </w:tcPr>
          <w:p w14:paraId="1C17F851" w14:textId="45F8A73C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CADTH 2013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_Ref46680406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1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0807871D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6B8409DB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Stroke death within 30 days</w:t>
            </w:r>
          </w:p>
        </w:tc>
        <w:tc>
          <w:tcPr>
            <w:tcW w:w="1137" w:type="pct"/>
          </w:tcPr>
          <w:p w14:paraId="437B04DA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10,668</w:t>
            </w:r>
          </w:p>
        </w:tc>
        <w:tc>
          <w:tcPr>
            <w:tcW w:w="1667" w:type="pct"/>
          </w:tcPr>
          <w:p w14:paraId="6176076B" w14:textId="6D892E7E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CADTH 2013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_Ref46680406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1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14464C60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23D724F3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Peripheral vascular disease</w:t>
            </w:r>
          </w:p>
        </w:tc>
        <w:tc>
          <w:tcPr>
            <w:tcW w:w="1137" w:type="pct"/>
          </w:tcPr>
          <w:p w14:paraId="0FB147B6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6,</w:t>
            </w:r>
            <w:r>
              <w:t>600</w:t>
            </w:r>
          </w:p>
        </w:tc>
        <w:tc>
          <w:tcPr>
            <w:tcW w:w="1667" w:type="pct"/>
          </w:tcPr>
          <w:p w14:paraId="1F18C4E5" w14:textId="2805CC4B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CADTH 2013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_Ref46680406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1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3092A15A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67ECC7C7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Hemodialysis, annual cost</w:t>
            </w:r>
          </w:p>
        </w:tc>
        <w:tc>
          <w:tcPr>
            <w:tcW w:w="1137" w:type="pct"/>
          </w:tcPr>
          <w:p w14:paraId="01B91362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84,03</w:t>
            </w:r>
            <w:r>
              <w:t>8</w:t>
            </w:r>
          </w:p>
        </w:tc>
        <w:tc>
          <w:tcPr>
            <w:tcW w:w="1667" w:type="pct"/>
          </w:tcPr>
          <w:p w14:paraId="34295445" w14:textId="13CCD6C0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526BF30B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0444D2B7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Peritoneal dialysis, annual cost</w:t>
            </w:r>
          </w:p>
        </w:tc>
        <w:tc>
          <w:tcPr>
            <w:tcW w:w="1137" w:type="pct"/>
          </w:tcPr>
          <w:p w14:paraId="5F5461DD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59,522</w:t>
            </w:r>
          </w:p>
        </w:tc>
        <w:tc>
          <w:tcPr>
            <w:tcW w:w="1667" w:type="pct"/>
          </w:tcPr>
          <w:p w14:paraId="433B3BA5" w14:textId="24BE6E51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6CB0607D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1257DF7D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Renal transplant, year of event</w:t>
            </w:r>
          </w:p>
        </w:tc>
        <w:tc>
          <w:tcPr>
            <w:tcW w:w="1137" w:type="pct"/>
          </w:tcPr>
          <w:p w14:paraId="502586DD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107,03</w:t>
            </w:r>
            <w:r>
              <w:t>8</w:t>
            </w:r>
          </w:p>
        </w:tc>
        <w:tc>
          <w:tcPr>
            <w:tcW w:w="1667" w:type="pct"/>
          </w:tcPr>
          <w:p w14:paraId="4AB3BEED" w14:textId="10DA5EA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19A4C2AA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457285CF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Severe hypoglycemic event</w:t>
            </w:r>
          </w:p>
        </w:tc>
        <w:tc>
          <w:tcPr>
            <w:tcW w:w="1137" w:type="pct"/>
          </w:tcPr>
          <w:p w14:paraId="55842D57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2,17</w:t>
            </w:r>
            <w:r>
              <w:t>3</w:t>
            </w:r>
          </w:p>
        </w:tc>
        <w:tc>
          <w:tcPr>
            <w:tcW w:w="1667" w:type="pct"/>
          </w:tcPr>
          <w:p w14:paraId="4ACC45F6" w14:textId="59A94A6E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CADTH 2013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_Ref46680406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1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0B0AD3AA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60CCB47F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Ketoacidosis event</w:t>
            </w:r>
          </w:p>
        </w:tc>
        <w:tc>
          <w:tcPr>
            <w:tcW w:w="1137" w:type="pct"/>
          </w:tcPr>
          <w:p w14:paraId="28354394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11,683</w:t>
            </w:r>
          </w:p>
        </w:tc>
        <w:tc>
          <w:tcPr>
            <w:tcW w:w="1667" w:type="pct"/>
          </w:tcPr>
          <w:p w14:paraId="1E6E5DA2" w14:textId="68E678B4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122BF8B8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3966E2FF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proofErr w:type="spellStart"/>
            <w:r>
              <w:t>Lactoacidosis</w:t>
            </w:r>
            <w:proofErr w:type="spellEnd"/>
            <w:r>
              <w:t xml:space="preserve"> event</w:t>
            </w:r>
          </w:p>
        </w:tc>
        <w:tc>
          <w:tcPr>
            <w:tcW w:w="1137" w:type="pct"/>
          </w:tcPr>
          <w:p w14:paraId="3B1F19FE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11,683</w:t>
            </w:r>
          </w:p>
        </w:tc>
        <w:tc>
          <w:tcPr>
            <w:tcW w:w="1667" w:type="pct"/>
          </w:tcPr>
          <w:p w14:paraId="3334F872" w14:textId="0E036363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47EE2C2E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3BF17360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Edema onset</w:t>
            </w:r>
          </w:p>
        </w:tc>
        <w:tc>
          <w:tcPr>
            <w:tcW w:w="1137" w:type="pct"/>
          </w:tcPr>
          <w:p w14:paraId="38E3FD1F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120">
              <w:t>3,842</w:t>
            </w:r>
          </w:p>
        </w:tc>
        <w:tc>
          <w:tcPr>
            <w:tcW w:w="1667" w:type="pct"/>
          </w:tcPr>
          <w:p w14:paraId="1D726089" w14:textId="3F7A24AB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700D0786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1721B455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Laser eye treatment</w:t>
            </w:r>
          </w:p>
        </w:tc>
        <w:tc>
          <w:tcPr>
            <w:tcW w:w="1137" w:type="pct"/>
          </w:tcPr>
          <w:p w14:paraId="030FEFA2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682</w:t>
            </w:r>
          </w:p>
        </w:tc>
        <w:tc>
          <w:tcPr>
            <w:tcW w:w="1667" w:type="pct"/>
          </w:tcPr>
          <w:p w14:paraId="1568C9A9" w14:textId="68B4E0B3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107B857F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3EE69A30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Cataract operation</w:t>
            </w:r>
          </w:p>
        </w:tc>
        <w:tc>
          <w:tcPr>
            <w:tcW w:w="1137" w:type="pct"/>
          </w:tcPr>
          <w:p w14:paraId="2FB5FCAE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5</w:t>
            </w:r>
            <w:r>
              <w:t>,</w:t>
            </w:r>
            <w:r w:rsidRPr="00A42232">
              <w:t>106</w:t>
            </w:r>
          </w:p>
        </w:tc>
        <w:tc>
          <w:tcPr>
            <w:tcW w:w="1667" w:type="pct"/>
          </w:tcPr>
          <w:p w14:paraId="73AB5F7F" w14:textId="2748D95B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06EBC326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6DBD2470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Cataract operation follow-up</w:t>
            </w:r>
          </w:p>
        </w:tc>
        <w:tc>
          <w:tcPr>
            <w:tcW w:w="1137" w:type="pct"/>
          </w:tcPr>
          <w:p w14:paraId="0C2BCB96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2</w:t>
            </w:r>
            <w:r>
              <w:t>,</w:t>
            </w:r>
            <w:r w:rsidRPr="00A42232">
              <w:t>84</w:t>
            </w:r>
            <w:r>
              <w:t>7</w:t>
            </w:r>
          </w:p>
        </w:tc>
        <w:tc>
          <w:tcPr>
            <w:tcW w:w="1667" w:type="pct"/>
          </w:tcPr>
          <w:p w14:paraId="072DE661" w14:textId="7D08A5D8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CIHI</w:t>
            </w:r>
            <w:bookmarkStart w:id="3" w:name="_Ref46680623"/>
            <w:r>
              <w:rPr>
                <w:rStyle w:val="EndnoteReference"/>
              </w:rPr>
              <w:endnoteReference w:id="3"/>
            </w:r>
            <w:bookmarkEnd w:id="3"/>
          </w:p>
        </w:tc>
      </w:tr>
      <w:tr w:rsidR="0023040F" w:rsidRPr="00014F52" w14:paraId="624F76D4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1DAA4D37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Blindness, year of onset</w:t>
            </w:r>
          </w:p>
        </w:tc>
        <w:tc>
          <w:tcPr>
            <w:tcW w:w="1137" w:type="pct"/>
          </w:tcPr>
          <w:p w14:paraId="29610A9A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3</w:t>
            </w:r>
            <w:r>
              <w:t>,</w:t>
            </w:r>
            <w:r w:rsidRPr="00A42232">
              <w:t>403</w:t>
            </w:r>
          </w:p>
        </w:tc>
        <w:tc>
          <w:tcPr>
            <w:tcW w:w="1667" w:type="pct"/>
          </w:tcPr>
          <w:p w14:paraId="0AE084B3" w14:textId="58198B4F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4157FFEF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1D8E9EE0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Blindness, subsequent years</w:t>
            </w:r>
          </w:p>
        </w:tc>
        <w:tc>
          <w:tcPr>
            <w:tcW w:w="1137" w:type="pct"/>
          </w:tcPr>
          <w:p w14:paraId="0371B485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2</w:t>
            </w:r>
            <w:r>
              <w:t>,</w:t>
            </w:r>
            <w:r w:rsidRPr="00A42232">
              <w:t>42</w:t>
            </w:r>
            <w:r>
              <w:t>6</w:t>
            </w:r>
          </w:p>
        </w:tc>
        <w:tc>
          <w:tcPr>
            <w:tcW w:w="1667" w:type="pct"/>
          </w:tcPr>
          <w:p w14:paraId="3C270E2F" w14:textId="731AD833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5D74AB75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68024C03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Neuropathy, year of onset</w:t>
            </w:r>
          </w:p>
        </w:tc>
        <w:tc>
          <w:tcPr>
            <w:tcW w:w="1137" w:type="pct"/>
          </w:tcPr>
          <w:p w14:paraId="3B2B0747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20</w:t>
            </w:r>
            <w:r>
              <w:t>4</w:t>
            </w:r>
          </w:p>
        </w:tc>
        <w:tc>
          <w:tcPr>
            <w:tcW w:w="1667" w:type="pct"/>
          </w:tcPr>
          <w:p w14:paraId="7CC2EFC1" w14:textId="1B170C81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3A57C673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5FE29A84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Amputation event</w:t>
            </w:r>
          </w:p>
        </w:tc>
        <w:tc>
          <w:tcPr>
            <w:tcW w:w="1137" w:type="pct"/>
          </w:tcPr>
          <w:p w14:paraId="134EB331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10</w:t>
            </w:r>
            <w:r>
              <w:t>,</w:t>
            </w:r>
            <w:r w:rsidRPr="00A42232">
              <w:t>59</w:t>
            </w:r>
            <w:r>
              <w:t>8</w:t>
            </w:r>
          </w:p>
        </w:tc>
        <w:tc>
          <w:tcPr>
            <w:tcW w:w="1667" w:type="pct"/>
          </w:tcPr>
          <w:p w14:paraId="4D3D0E3B" w14:textId="31EC369C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CIHI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_Ref46680623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3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6601E7C9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5464FB86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Amputation prosthesis</w:t>
            </w:r>
          </w:p>
        </w:tc>
        <w:tc>
          <w:tcPr>
            <w:tcW w:w="1137" w:type="pct"/>
          </w:tcPr>
          <w:p w14:paraId="4112240A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5</w:t>
            </w:r>
            <w:r>
              <w:t>,</w:t>
            </w:r>
            <w:r w:rsidRPr="00A42232">
              <w:t>91</w:t>
            </w:r>
            <w:r>
              <w:t>5</w:t>
            </w:r>
          </w:p>
        </w:tc>
        <w:tc>
          <w:tcPr>
            <w:tcW w:w="1667" w:type="pct"/>
          </w:tcPr>
          <w:p w14:paraId="6FFD5DBC" w14:textId="6ECC1D82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64C00769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7225F8D6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</w:pPr>
            <w:r>
              <w:t>Gangrene treatment</w:t>
            </w:r>
          </w:p>
        </w:tc>
        <w:tc>
          <w:tcPr>
            <w:tcW w:w="1137" w:type="pct"/>
          </w:tcPr>
          <w:p w14:paraId="35C81C62" w14:textId="77777777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10</w:t>
            </w:r>
            <w:r>
              <w:t>,</w:t>
            </w:r>
            <w:r w:rsidRPr="00A42232">
              <w:t>75</w:t>
            </w:r>
            <w:r>
              <w:t>2</w:t>
            </w:r>
          </w:p>
        </w:tc>
        <w:tc>
          <w:tcPr>
            <w:tcW w:w="1667" w:type="pct"/>
          </w:tcPr>
          <w:p w14:paraId="58F5B224" w14:textId="1D708135" w:rsidR="0023040F" w:rsidRPr="00014F52" w:rsidRDefault="0023040F" w:rsidP="008E0420">
            <w:pPr>
              <w:pStyle w:val="Text"/>
              <w:keepNext w:val="0"/>
              <w:keepLines w:val="0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3C4E6ABC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35E93C69" w14:textId="77777777" w:rsidR="0023040F" w:rsidRPr="00014F52" w:rsidRDefault="0023040F" w:rsidP="008E0420">
            <w:pPr>
              <w:pStyle w:val="Text"/>
              <w:widowControl w:val="0"/>
              <w:spacing w:before="40" w:after="40" w:line="276" w:lineRule="auto"/>
            </w:pPr>
            <w:r>
              <w:t>Infected ulcer</w:t>
            </w:r>
          </w:p>
        </w:tc>
        <w:tc>
          <w:tcPr>
            <w:tcW w:w="1137" w:type="pct"/>
          </w:tcPr>
          <w:p w14:paraId="4FBF45E3" w14:textId="77777777" w:rsidR="0023040F" w:rsidRPr="00014F52" w:rsidRDefault="0023040F" w:rsidP="008E0420">
            <w:pPr>
              <w:pStyle w:val="Text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3</w:t>
            </w:r>
            <w:r>
              <w:t>,</w:t>
            </w:r>
            <w:r w:rsidRPr="00A42232">
              <w:t>008</w:t>
            </w:r>
          </w:p>
        </w:tc>
        <w:tc>
          <w:tcPr>
            <w:tcW w:w="1667" w:type="pct"/>
          </w:tcPr>
          <w:p w14:paraId="77E8E2B6" w14:textId="6125CDA2" w:rsidR="0023040F" w:rsidRPr="00014F52" w:rsidRDefault="0023040F" w:rsidP="008E0420">
            <w:pPr>
              <w:pStyle w:val="Text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  <w:tr w:rsidR="0023040F" w:rsidRPr="00014F52" w14:paraId="683F8056" w14:textId="77777777" w:rsidTr="008E0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pct"/>
          </w:tcPr>
          <w:p w14:paraId="276189A3" w14:textId="77777777" w:rsidR="0023040F" w:rsidRPr="00014F52" w:rsidRDefault="0023040F" w:rsidP="008E0420">
            <w:pPr>
              <w:pStyle w:val="Text"/>
              <w:widowControl w:val="0"/>
              <w:spacing w:before="40" w:after="40" w:line="276" w:lineRule="auto"/>
            </w:pPr>
            <w:r>
              <w:t>Standard uninfected ulcer</w:t>
            </w:r>
          </w:p>
        </w:tc>
        <w:tc>
          <w:tcPr>
            <w:tcW w:w="1137" w:type="pct"/>
          </w:tcPr>
          <w:p w14:paraId="63E9F5CC" w14:textId="77777777" w:rsidR="0023040F" w:rsidRPr="00014F52" w:rsidRDefault="0023040F" w:rsidP="008E0420">
            <w:pPr>
              <w:pStyle w:val="Text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32">
              <w:t>1</w:t>
            </w:r>
            <w:r>
              <w:t>,</w:t>
            </w:r>
            <w:r w:rsidRPr="00A42232">
              <w:t>43</w:t>
            </w:r>
            <w:r>
              <w:t>6</w:t>
            </w:r>
          </w:p>
        </w:tc>
        <w:tc>
          <w:tcPr>
            <w:tcW w:w="1667" w:type="pct"/>
          </w:tcPr>
          <w:p w14:paraId="21878D2B" w14:textId="6F4E7260" w:rsidR="0023040F" w:rsidRPr="00014F52" w:rsidRDefault="0023040F" w:rsidP="008E0420">
            <w:pPr>
              <w:pStyle w:val="Text"/>
              <w:widowControl w:val="0"/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et al. 2014</w:t>
            </w:r>
            <w:r w:rsidRPr="0023040F">
              <w:rPr>
                <w:vertAlign w:val="superscript"/>
              </w:rPr>
              <w:fldChar w:fldCharType="begin"/>
            </w:r>
            <w:r w:rsidRPr="0023040F">
              <w:rPr>
                <w:vertAlign w:val="superscript"/>
              </w:rPr>
              <w:instrText xml:space="preserve"> NOTEREF _Ref46680518 \h </w:instrText>
            </w:r>
            <w:r w:rsidRPr="0023040F">
              <w:rPr>
                <w:vertAlign w:val="superscript"/>
              </w:rPr>
            </w:r>
            <w:r w:rsidRPr="0023040F">
              <w:rPr>
                <w:vertAlign w:val="superscript"/>
              </w:rPr>
              <w:instrText xml:space="preserve"> \* MERGEFORMAT </w:instrText>
            </w:r>
            <w:r w:rsidRPr="0023040F">
              <w:rPr>
                <w:vertAlign w:val="superscript"/>
              </w:rPr>
              <w:fldChar w:fldCharType="separate"/>
            </w:r>
            <w:r w:rsidRPr="0023040F">
              <w:rPr>
                <w:vertAlign w:val="superscript"/>
              </w:rPr>
              <w:t>2</w:t>
            </w:r>
            <w:r w:rsidRPr="0023040F">
              <w:rPr>
                <w:vertAlign w:val="superscript"/>
              </w:rPr>
              <w:fldChar w:fldCharType="end"/>
            </w:r>
          </w:p>
        </w:tc>
      </w:tr>
    </w:tbl>
    <w:p w14:paraId="672B5BA6" w14:textId="77777777" w:rsidR="0023040F" w:rsidRPr="00406306" w:rsidRDefault="0023040F" w:rsidP="0023040F">
      <w:pPr>
        <w:pStyle w:val="Text"/>
        <w:spacing w:after="0" w:line="240" w:lineRule="auto"/>
        <w:rPr>
          <w:sz w:val="18"/>
          <w:szCs w:val="18"/>
        </w:rPr>
      </w:pPr>
      <w:r w:rsidRPr="00406306">
        <w:rPr>
          <w:sz w:val="18"/>
          <w:szCs w:val="18"/>
        </w:rPr>
        <w:t>CADTH, Canadian Agency for Drugs and Technologies in Health; CIHI, Canadian Institute for Health Information</w:t>
      </w:r>
    </w:p>
    <w:p w14:paraId="0567EB8A" w14:textId="77777777" w:rsidR="0023040F" w:rsidRPr="00406306" w:rsidRDefault="0023040F" w:rsidP="0023040F">
      <w:pPr>
        <w:pStyle w:val="Text"/>
        <w:spacing w:after="0" w:line="240" w:lineRule="auto"/>
        <w:rPr>
          <w:sz w:val="18"/>
          <w:szCs w:val="18"/>
        </w:rPr>
      </w:pPr>
      <w:r w:rsidRPr="00406306">
        <w:rPr>
          <w:sz w:val="18"/>
          <w:szCs w:val="18"/>
        </w:rPr>
        <w:t>All costs are presented in 2019 CAD</w:t>
      </w:r>
    </w:p>
    <w:p w14:paraId="7EC3C6C0" w14:textId="77777777" w:rsidR="0023040F" w:rsidRDefault="0023040F" w:rsidP="0023040F">
      <w:pPr>
        <w:pStyle w:val="Text"/>
      </w:pPr>
    </w:p>
    <w:p w14:paraId="62C7CCCD" w14:textId="77777777" w:rsidR="00240F24" w:rsidRPr="0023040F" w:rsidRDefault="00240F24">
      <w:pPr>
        <w:rPr>
          <w:lang w:val="en-US"/>
        </w:rPr>
      </w:pPr>
    </w:p>
    <w:sectPr w:rsidR="00240F24" w:rsidRPr="0023040F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8881A" w14:textId="77777777" w:rsidR="0023040F" w:rsidRDefault="0023040F" w:rsidP="0023040F">
      <w:pPr>
        <w:spacing w:after="0" w:line="240" w:lineRule="auto"/>
      </w:pPr>
      <w:r>
        <w:separator/>
      </w:r>
    </w:p>
  </w:endnote>
  <w:endnote w:type="continuationSeparator" w:id="0">
    <w:p w14:paraId="66FB2864" w14:textId="77777777" w:rsidR="0023040F" w:rsidRDefault="0023040F" w:rsidP="0023040F">
      <w:pPr>
        <w:spacing w:after="0" w:line="240" w:lineRule="auto"/>
      </w:pPr>
      <w:r>
        <w:continuationSeparator/>
      </w:r>
    </w:p>
  </w:endnote>
  <w:endnote w:id="1">
    <w:p w14:paraId="35441648" w14:textId="3B07F43E" w:rsidR="0023040F" w:rsidRPr="0023040F" w:rsidRDefault="0023040F" w:rsidP="0023040F">
      <w:pPr>
        <w:pStyle w:val="Footnote"/>
        <w:rPr>
          <w:rStyle w:val="EndnoteReference"/>
          <w:szCs w:val="18"/>
          <w:vertAlign w:val="baseline"/>
          <w:lang w:val="en-GB"/>
        </w:rPr>
      </w:pPr>
      <w:r w:rsidRPr="0023040F">
        <w:rPr>
          <w:rStyle w:val="EndnoteReference"/>
          <w:vertAlign w:val="baseline"/>
        </w:rPr>
        <w:endnoteRef/>
      </w:r>
      <w:r>
        <w:t xml:space="preserve"> </w:t>
      </w:r>
      <w:r>
        <w:t xml:space="preserve">Canadian Agency for Drugs and Technologies in Health. Optimal use report 2013. Optimal use </w:t>
      </w:r>
      <w:r w:rsidRPr="0060564A">
        <w:rPr>
          <w:szCs w:val="18"/>
        </w:rPr>
        <w:t xml:space="preserve">recommendations for second- and third-line therapy for people with type 2 diabetes.  Available at: </w:t>
      </w:r>
      <w:hyperlink r:id="rId1" w:history="1">
        <w:r w:rsidRPr="0060564A">
          <w:rPr>
            <w:color w:val="0000FF"/>
            <w:szCs w:val="18"/>
            <w:u w:val="single"/>
          </w:rPr>
          <w:t>https://www.cadth.ca/media/pdf/OP0512_Diabetes_RecsReport_2nd_3rd-line_e.pdf</w:t>
        </w:r>
      </w:hyperlink>
      <w:r w:rsidRPr="0060564A">
        <w:rPr>
          <w:szCs w:val="18"/>
        </w:rPr>
        <w:t xml:space="preserve"> [Last accessed April 24, 2020]</w:t>
      </w:r>
    </w:p>
  </w:endnote>
  <w:endnote w:id="2">
    <w:p w14:paraId="780D6CBE" w14:textId="5FFB82FE" w:rsidR="0023040F" w:rsidRPr="0023040F" w:rsidRDefault="0023040F" w:rsidP="0023040F">
      <w:pPr>
        <w:pStyle w:val="Footnote"/>
        <w:rPr>
          <w:rStyle w:val="EndnoteReference"/>
          <w:vertAlign w:val="baseline"/>
        </w:rPr>
      </w:pPr>
      <w:r w:rsidRPr="0023040F">
        <w:rPr>
          <w:rStyle w:val="EndnoteReference"/>
          <w:vertAlign w:val="baseline"/>
        </w:rPr>
        <w:endnoteRef/>
      </w:r>
      <w:r w:rsidRPr="0023040F">
        <w:rPr>
          <w:rStyle w:val="EndnoteReference"/>
          <w:vertAlign w:val="baseline"/>
        </w:rPr>
        <w:t xml:space="preserve"> </w:t>
      </w:r>
      <w:r w:rsidRPr="0023040F">
        <w:rPr>
          <w:rStyle w:val="EndnoteReference"/>
          <w:vertAlign w:val="baseline"/>
        </w:rPr>
        <w:t xml:space="preserve">Brown ST, </w:t>
      </w:r>
      <w:proofErr w:type="spellStart"/>
      <w:r w:rsidRPr="0023040F">
        <w:rPr>
          <w:rStyle w:val="EndnoteReference"/>
          <w:vertAlign w:val="baseline"/>
        </w:rPr>
        <w:t>Grima</w:t>
      </w:r>
      <w:proofErr w:type="spellEnd"/>
      <w:r w:rsidRPr="0023040F">
        <w:rPr>
          <w:rStyle w:val="EndnoteReference"/>
          <w:vertAlign w:val="baseline"/>
        </w:rPr>
        <w:t xml:space="preserve"> DG, </w:t>
      </w:r>
      <w:proofErr w:type="spellStart"/>
      <w:r w:rsidRPr="0023040F">
        <w:rPr>
          <w:rStyle w:val="EndnoteReference"/>
          <w:vertAlign w:val="baseline"/>
        </w:rPr>
        <w:t>Sauriol</w:t>
      </w:r>
      <w:proofErr w:type="spellEnd"/>
      <w:r w:rsidRPr="0023040F">
        <w:rPr>
          <w:rStyle w:val="EndnoteReference"/>
          <w:vertAlign w:val="baseline"/>
        </w:rPr>
        <w:t xml:space="preserve"> L. Cost-effectiveness of insulin glargine versus sitagliptin in insulin-naïve patients with type 2 diabetes mellitus. Clin </w:t>
      </w:r>
      <w:proofErr w:type="spellStart"/>
      <w:r w:rsidRPr="0023040F">
        <w:rPr>
          <w:rStyle w:val="EndnoteReference"/>
          <w:vertAlign w:val="baseline"/>
        </w:rPr>
        <w:t>Ther</w:t>
      </w:r>
      <w:proofErr w:type="spellEnd"/>
      <w:r w:rsidRPr="0023040F">
        <w:rPr>
          <w:rStyle w:val="EndnoteReference"/>
          <w:vertAlign w:val="baseline"/>
        </w:rPr>
        <w:t>. 2014 Nov 1;36(11):1576-8</w:t>
      </w:r>
    </w:p>
  </w:endnote>
  <w:endnote w:id="3">
    <w:p w14:paraId="394C01D1" w14:textId="77777777" w:rsidR="0023040F" w:rsidRPr="00BF21CE" w:rsidRDefault="0023040F" w:rsidP="0023040F">
      <w:pPr>
        <w:pStyle w:val="Footnote"/>
      </w:pPr>
      <w:r w:rsidRPr="0023040F">
        <w:rPr>
          <w:rStyle w:val="EndnoteReference"/>
          <w:vertAlign w:val="baseline"/>
        </w:rPr>
        <w:endnoteRef/>
      </w:r>
      <w:r w:rsidRPr="0023040F">
        <w:t xml:space="preserve"> </w:t>
      </w:r>
      <w:r w:rsidRPr="00BF21CE">
        <w:t xml:space="preserve">Canadian Institute for Health Information.  Patient cost estimator.  Available at: </w:t>
      </w:r>
      <w:hyperlink r:id="rId2" w:history="1">
        <w:r w:rsidRPr="00BF21CE">
          <w:t>https://www.cihi.ca/en/patient-cost-estimator</w:t>
        </w:r>
      </w:hyperlink>
      <w:r w:rsidRPr="00BF21CE">
        <w:t xml:space="preserve"> [Last accessed April 24, 2020]</w:t>
      </w:r>
    </w:p>
    <w:p w14:paraId="4FCF5717" w14:textId="33EE780F" w:rsidR="0023040F" w:rsidRPr="0023040F" w:rsidRDefault="0023040F">
      <w:pPr>
        <w:pStyle w:val="End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">
    <w:altName w:val="Arial"/>
    <w:panose1 w:val="020B0502020204020303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DF7EE" w14:textId="77777777" w:rsidR="0023040F" w:rsidRDefault="0023040F" w:rsidP="0023040F">
      <w:pPr>
        <w:spacing w:after="0" w:line="240" w:lineRule="auto"/>
      </w:pPr>
      <w:r>
        <w:separator/>
      </w:r>
    </w:p>
  </w:footnote>
  <w:footnote w:type="continuationSeparator" w:id="0">
    <w:p w14:paraId="131C43D1" w14:textId="77777777" w:rsidR="0023040F" w:rsidRDefault="0023040F" w:rsidP="00230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0F"/>
    <w:rsid w:val="0005309D"/>
    <w:rsid w:val="001036BE"/>
    <w:rsid w:val="00115E6F"/>
    <w:rsid w:val="00152891"/>
    <w:rsid w:val="001D7327"/>
    <w:rsid w:val="0023040F"/>
    <w:rsid w:val="00240F24"/>
    <w:rsid w:val="00247E4E"/>
    <w:rsid w:val="002E68E0"/>
    <w:rsid w:val="00370B32"/>
    <w:rsid w:val="003B7CB7"/>
    <w:rsid w:val="00447CCE"/>
    <w:rsid w:val="00505B24"/>
    <w:rsid w:val="005304F0"/>
    <w:rsid w:val="00545A69"/>
    <w:rsid w:val="00595F62"/>
    <w:rsid w:val="00604E65"/>
    <w:rsid w:val="00683113"/>
    <w:rsid w:val="00736A78"/>
    <w:rsid w:val="00833830"/>
    <w:rsid w:val="008866B1"/>
    <w:rsid w:val="008E13CB"/>
    <w:rsid w:val="00935A90"/>
    <w:rsid w:val="009C6A55"/>
    <w:rsid w:val="00A72CA2"/>
    <w:rsid w:val="00BA4D05"/>
    <w:rsid w:val="00BA61EE"/>
    <w:rsid w:val="00BD0DC8"/>
    <w:rsid w:val="00C36EA5"/>
    <w:rsid w:val="00CA1E2D"/>
    <w:rsid w:val="00CA6107"/>
    <w:rsid w:val="00D57299"/>
    <w:rsid w:val="00D7710B"/>
    <w:rsid w:val="00D82625"/>
    <w:rsid w:val="00D96D94"/>
    <w:rsid w:val="00E0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357A"/>
  <w15:chartTrackingRefBased/>
  <w15:docId w15:val="{16FD2C2A-144C-42AE-B508-E96A6DEE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040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23040F"/>
    <w:pPr>
      <w:spacing w:after="120" w:line="480" w:lineRule="auto"/>
    </w:pPr>
    <w:rPr>
      <w:rFonts w:ascii="Futura Bk" w:hAnsi="Futura Bk"/>
      <w:sz w:val="20"/>
      <w:szCs w:val="20"/>
      <w:lang w:val="en-US"/>
    </w:rPr>
  </w:style>
  <w:style w:type="paragraph" w:styleId="Caption">
    <w:name w:val="caption"/>
    <w:basedOn w:val="Text"/>
    <w:next w:val="Text"/>
    <w:uiPriority w:val="35"/>
    <w:qFormat/>
    <w:rsid w:val="0023040F"/>
    <w:pPr>
      <w:keepNext/>
      <w:keepLines/>
      <w:ind w:left="1418" w:hanging="1418"/>
    </w:pPr>
    <w:rPr>
      <w:b/>
    </w:rPr>
  </w:style>
  <w:style w:type="table" w:customStyle="1" w:styleId="OssianReportTable">
    <w:name w:val="Ossian Report Table"/>
    <w:basedOn w:val="TableNormal"/>
    <w:uiPriority w:val="99"/>
    <w:rsid w:val="0023040F"/>
    <w:pPr>
      <w:keepNext/>
      <w:keepLines/>
      <w:spacing w:before="60" w:after="60" w:line="240" w:lineRule="auto"/>
      <w:jc w:val="center"/>
    </w:pPr>
    <w:rPr>
      <w:rFonts w:ascii="Futura Bk" w:eastAsia="Calibri" w:hAnsi="Futura Bk" w:cs="Times New Roman"/>
      <w:sz w:val="20"/>
      <w:szCs w:val="20"/>
    </w:rPr>
    <w:tblPr>
      <w:tblBorders>
        <w:top w:val="single" w:sz="6" w:space="0" w:color="auto"/>
        <w:bottom w:val="single" w:sz="6" w:space="0" w:color="auto"/>
      </w:tblBorders>
    </w:tblPr>
    <w:tcPr>
      <w:vAlign w:val="center"/>
    </w:tcPr>
    <w:tblStylePr w:type="firstRow">
      <w:pPr>
        <w:jc w:val="center"/>
      </w:pPr>
      <w:rPr>
        <w:rFonts w:ascii="Futura Bk" w:hAnsi="Futura Bk"/>
        <w:b/>
        <w:sz w:val="20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firstCol">
      <w:pPr>
        <w:wordWrap/>
        <w:jc w:val="left"/>
      </w:pPr>
      <w:rPr>
        <w:rFonts w:ascii="Futura Bk" w:hAnsi="Futura Bk"/>
        <w:b w:val="0"/>
        <w:sz w:val="20"/>
      </w:rPr>
    </w:tblStylePr>
  </w:style>
  <w:style w:type="character" w:customStyle="1" w:styleId="TextChar">
    <w:name w:val="Text Char"/>
    <w:basedOn w:val="DefaultParagraphFont"/>
    <w:link w:val="Text"/>
    <w:locked/>
    <w:rsid w:val="0023040F"/>
    <w:rPr>
      <w:rFonts w:ascii="Futura Bk" w:eastAsia="Calibri" w:hAnsi="Futura Bk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04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040F"/>
    <w:rPr>
      <w:rFonts w:ascii="Calibri" w:eastAsia="Calibri" w:hAnsi="Calibri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3040F"/>
    <w:rPr>
      <w:vertAlign w:val="superscript"/>
    </w:rPr>
  </w:style>
  <w:style w:type="paragraph" w:customStyle="1" w:styleId="Footnote">
    <w:name w:val="Footnote"/>
    <w:basedOn w:val="Text"/>
    <w:qFormat/>
    <w:rsid w:val="0023040F"/>
    <w:pPr>
      <w:spacing w:before="6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ihi.ca/en/patient-cost-estimator" TargetMode="External"/><Relationship Id="rId1" Type="http://schemas.openxmlformats.org/officeDocument/2006/relationships/hyperlink" Target="https://www.cadth.ca/media/pdf/OP0512_Diabetes_RecsReport_2nd_3rd-line_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A0F9-74C3-428D-A674-B52B2175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Ossian3</dc:creator>
  <cp:keywords/>
  <dc:description/>
  <cp:lastModifiedBy>Ossian3</cp:lastModifiedBy>
  <cp:revision>1</cp:revision>
  <dcterms:created xsi:type="dcterms:W3CDTF">2020-07-26T16:24:00Z</dcterms:created>
  <dcterms:modified xsi:type="dcterms:W3CDTF">2020-07-26T16:30:00Z</dcterms:modified>
</cp:coreProperties>
</file>