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15FAD" w14:textId="58282BFB" w:rsidR="004A2091" w:rsidRPr="008D7F0A" w:rsidRDefault="004A2091" w:rsidP="004A2091">
      <w:pPr>
        <w:widowControl w:val="0"/>
        <w:autoSpaceDE w:val="0"/>
        <w:autoSpaceDN w:val="0"/>
        <w:adjustRightInd w:val="0"/>
        <w:spacing w:line="480" w:lineRule="auto"/>
        <w:jc w:val="left"/>
        <w:rPr>
          <w:color w:val="auto"/>
          <w:sz w:val="21"/>
          <w:szCs w:val="21"/>
        </w:rPr>
      </w:pPr>
      <w:r>
        <w:rPr>
          <w:b/>
          <w:color w:val="auto"/>
          <w:sz w:val="21"/>
          <w:szCs w:val="21"/>
        </w:rPr>
        <w:t xml:space="preserve">Online </w:t>
      </w:r>
      <w:r w:rsidRPr="008D7F0A">
        <w:rPr>
          <w:b/>
          <w:color w:val="auto"/>
          <w:sz w:val="21"/>
          <w:szCs w:val="21"/>
        </w:rPr>
        <w:t>Supplementary Materials:</w:t>
      </w:r>
      <w:r w:rsidRPr="008D7F0A">
        <w:rPr>
          <w:color w:val="auto"/>
          <w:sz w:val="21"/>
          <w:szCs w:val="21"/>
        </w:rPr>
        <w:t xml:space="preserve"> </w:t>
      </w:r>
    </w:p>
    <w:p w14:paraId="005CEDFD" w14:textId="77777777" w:rsidR="00A30681" w:rsidRPr="008D7F0A" w:rsidRDefault="00A30681" w:rsidP="00A30681">
      <w:pPr>
        <w:spacing w:line="480" w:lineRule="auto"/>
        <w:rPr>
          <w:b/>
          <w:color w:val="auto"/>
          <w:sz w:val="21"/>
          <w:szCs w:val="21"/>
        </w:rPr>
      </w:pPr>
      <w:r w:rsidRPr="008D7F0A">
        <w:rPr>
          <w:b/>
          <w:color w:val="auto"/>
          <w:sz w:val="21"/>
          <w:szCs w:val="21"/>
        </w:rPr>
        <w:t xml:space="preserve">Figure S1. Changes of </w:t>
      </w:r>
      <w:r>
        <w:rPr>
          <w:b/>
          <w:color w:val="auto"/>
          <w:sz w:val="21"/>
          <w:szCs w:val="21"/>
        </w:rPr>
        <w:t xml:space="preserve">mRNA </w:t>
      </w:r>
      <w:r w:rsidRPr="008D7F0A">
        <w:rPr>
          <w:b/>
          <w:color w:val="auto"/>
          <w:sz w:val="21"/>
          <w:szCs w:val="21"/>
        </w:rPr>
        <w:t xml:space="preserve">expression of IL-25, IL-17RB, and </w:t>
      </w:r>
      <w:r>
        <w:rPr>
          <w:b/>
          <w:color w:val="auto"/>
          <w:sz w:val="21"/>
          <w:szCs w:val="21"/>
        </w:rPr>
        <w:t xml:space="preserve">antiviral </w:t>
      </w:r>
      <w:r w:rsidRPr="008D7F0A">
        <w:rPr>
          <w:b/>
          <w:color w:val="auto"/>
          <w:sz w:val="21"/>
          <w:szCs w:val="21"/>
        </w:rPr>
        <w:t>host factors after RSV infection at different time</w:t>
      </w:r>
      <w:r>
        <w:rPr>
          <w:b/>
          <w:color w:val="auto"/>
          <w:sz w:val="21"/>
          <w:szCs w:val="21"/>
        </w:rPr>
        <w:t>-</w:t>
      </w:r>
      <w:r w:rsidRPr="008D7F0A">
        <w:rPr>
          <w:b/>
          <w:color w:val="auto"/>
          <w:sz w:val="21"/>
          <w:szCs w:val="21"/>
        </w:rPr>
        <w:t>points, as indicated by a heatmap using RT-qPCR</w:t>
      </w:r>
      <w:r>
        <w:rPr>
          <w:b/>
          <w:color w:val="auto"/>
          <w:sz w:val="21"/>
          <w:szCs w:val="21"/>
        </w:rPr>
        <w:t xml:space="preserve">. </w:t>
      </w:r>
      <w:r w:rsidRPr="001C1220">
        <w:rPr>
          <w:bCs/>
          <w:color w:val="auto"/>
          <w:sz w:val="21"/>
          <w:szCs w:val="21"/>
        </w:rPr>
        <w:t>Red</w:t>
      </w:r>
      <w:r>
        <w:rPr>
          <w:b/>
          <w:color w:val="auto"/>
          <w:sz w:val="21"/>
          <w:szCs w:val="21"/>
        </w:rPr>
        <w:t xml:space="preserve"> </w:t>
      </w:r>
      <w:r w:rsidRPr="001C1220">
        <w:rPr>
          <w:bCs/>
          <w:color w:val="auto"/>
          <w:sz w:val="21"/>
          <w:szCs w:val="21"/>
        </w:rPr>
        <w:t>color</w:t>
      </w:r>
      <w:r>
        <w:rPr>
          <w:bCs/>
          <w:color w:val="auto"/>
          <w:sz w:val="21"/>
          <w:szCs w:val="21"/>
        </w:rPr>
        <w:t xml:space="preserve"> indicates up-regulation, while blue color indicates down-regulation. p &lt; 0.05 is considered statistically significant. </w:t>
      </w:r>
      <w:r w:rsidRPr="001C1220">
        <w:rPr>
          <w:bCs/>
          <w:color w:val="auto"/>
          <w:sz w:val="21"/>
          <w:szCs w:val="21"/>
        </w:rPr>
        <w:t xml:space="preserve"> </w:t>
      </w:r>
      <w:r>
        <w:rPr>
          <w:b/>
          <w:color w:val="auto"/>
          <w:sz w:val="21"/>
          <w:szCs w:val="21"/>
        </w:rPr>
        <w:t xml:space="preserve"> </w:t>
      </w:r>
    </w:p>
    <w:p w14:paraId="0822B198" w14:textId="77777777" w:rsidR="00A30681" w:rsidRDefault="00A30681" w:rsidP="00A30681">
      <w:pPr>
        <w:spacing w:line="480" w:lineRule="auto"/>
        <w:rPr>
          <w:b/>
          <w:color w:val="auto"/>
          <w:sz w:val="21"/>
          <w:szCs w:val="21"/>
        </w:rPr>
      </w:pPr>
    </w:p>
    <w:p w14:paraId="3603CDEA" w14:textId="55822881" w:rsidR="00A30681" w:rsidRPr="001C1220" w:rsidRDefault="00A30681" w:rsidP="00A30681">
      <w:pPr>
        <w:spacing w:line="480" w:lineRule="auto"/>
        <w:rPr>
          <w:bCs/>
          <w:color w:val="auto"/>
          <w:sz w:val="21"/>
          <w:szCs w:val="21"/>
        </w:rPr>
      </w:pPr>
      <w:r w:rsidRPr="008D7F0A">
        <w:rPr>
          <w:b/>
          <w:color w:val="auto"/>
          <w:sz w:val="21"/>
          <w:szCs w:val="21"/>
        </w:rPr>
        <w:t>Figure S2. Inhibition of viral replication titers by different concentrations of IFN-α</w:t>
      </w:r>
      <w:r>
        <w:rPr>
          <w:b/>
          <w:color w:val="auto"/>
          <w:sz w:val="21"/>
          <w:szCs w:val="21"/>
        </w:rPr>
        <w:t xml:space="preserve">. </w:t>
      </w:r>
      <w:r>
        <w:rPr>
          <w:bCs/>
          <w:color w:val="auto"/>
          <w:sz w:val="21"/>
          <w:szCs w:val="21"/>
        </w:rPr>
        <w:t>Titration of IFN-α concentration</w:t>
      </w:r>
      <w:r w:rsidR="008D6F8C">
        <w:rPr>
          <w:bCs/>
          <w:color w:val="auto"/>
          <w:sz w:val="21"/>
          <w:szCs w:val="21"/>
        </w:rPr>
        <w:t>s</w:t>
      </w:r>
      <w:r>
        <w:rPr>
          <w:bCs/>
          <w:color w:val="auto"/>
          <w:sz w:val="21"/>
          <w:szCs w:val="21"/>
        </w:rPr>
        <w:t xml:space="preserve"> to determine working drug dose to be used in the main experiments.</w:t>
      </w:r>
      <w:r w:rsidR="008D6F8C">
        <w:rPr>
          <w:bCs/>
          <w:color w:val="auto"/>
          <w:sz w:val="21"/>
          <w:szCs w:val="21"/>
        </w:rPr>
        <w:t xml:space="preserve"> The y-axis depicts the </w:t>
      </w:r>
      <w:bookmarkStart w:id="0" w:name="_GoBack"/>
      <w:bookmarkEnd w:id="0"/>
      <w:r w:rsidR="008D6F8C">
        <w:rPr>
          <w:bCs/>
          <w:color w:val="auto"/>
          <w:sz w:val="21"/>
          <w:szCs w:val="21"/>
        </w:rPr>
        <w:t xml:space="preserve">fold changes in viral titers. </w:t>
      </w:r>
      <w:r>
        <w:rPr>
          <w:bCs/>
          <w:color w:val="auto"/>
          <w:sz w:val="21"/>
          <w:szCs w:val="21"/>
        </w:rPr>
        <w:t xml:space="preserve"> </w:t>
      </w:r>
      <w:proofErr w:type="gramStart"/>
      <w:r>
        <w:rPr>
          <w:bCs/>
          <w:color w:val="auto"/>
          <w:sz w:val="21"/>
          <w:szCs w:val="21"/>
        </w:rPr>
        <w:t>p</w:t>
      </w:r>
      <w:proofErr w:type="gramEnd"/>
      <w:r>
        <w:rPr>
          <w:bCs/>
          <w:color w:val="auto"/>
          <w:sz w:val="21"/>
          <w:szCs w:val="21"/>
        </w:rPr>
        <w:t xml:space="preserve"> &lt; 0.05 is considered statistically significant.</w:t>
      </w:r>
    </w:p>
    <w:p w14:paraId="4AFF6CFA" w14:textId="77777777" w:rsidR="00A30681" w:rsidRDefault="00A30681" w:rsidP="00A30681">
      <w:pPr>
        <w:spacing w:line="480" w:lineRule="auto"/>
        <w:rPr>
          <w:b/>
          <w:color w:val="auto"/>
          <w:sz w:val="21"/>
          <w:szCs w:val="21"/>
        </w:rPr>
      </w:pPr>
    </w:p>
    <w:p w14:paraId="4404A1B7" w14:textId="77777777" w:rsidR="00A30681" w:rsidRPr="001C1220" w:rsidRDefault="00A30681" w:rsidP="00A30681">
      <w:pPr>
        <w:spacing w:line="480" w:lineRule="auto"/>
        <w:rPr>
          <w:bCs/>
          <w:color w:val="auto"/>
          <w:sz w:val="21"/>
          <w:szCs w:val="21"/>
        </w:rPr>
      </w:pPr>
      <w:r w:rsidRPr="008D7F0A">
        <w:rPr>
          <w:b/>
          <w:color w:val="auto"/>
          <w:sz w:val="21"/>
          <w:szCs w:val="21"/>
        </w:rPr>
        <w:t xml:space="preserve">Figure S3. </w:t>
      </w:r>
      <w:r>
        <w:rPr>
          <w:b/>
          <w:color w:val="auto"/>
          <w:sz w:val="21"/>
          <w:szCs w:val="21"/>
        </w:rPr>
        <w:t>Cell v</w:t>
      </w:r>
      <w:r w:rsidRPr="008D7F0A">
        <w:rPr>
          <w:b/>
          <w:color w:val="auto"/>
          <w:sz w:val="21"/>
          <w:szCs w:val="21"/>
        </w:rPr>
        <w:t>iability assay of</w:t>
      </w:r>
      <w:r>
        <w:rPr>
          <w:b/>
          <w:color w:val="auto"/>
          <w:sz w:val="21"/>
          <w:szCs w:val="21"/>
        </w:rPr>
        <w:t xml:space="preserve"> </w:t>
      </w:r>
      <w:proofErr w:type="spellStart"/>
      <w:r>
        <w:rPr>
          <w:b/>
          <w:color w:val="auto"/>
          <w:sz w:val="21"/>
          <w:szCs w:val="21"/>
        </w:rPr>
        <w:t>hNECs</w:t>
      </w:r>
      <w:proofErr w:type="spellEnd"/>
      <w:r>
        <w:rPr>
          <w:b/>
          <w:color w:val="auto"/>
          <w:sz w:val="21"/>
          <w:szCs w:val="21"/>
        </w:rPr>
        <w:t xml:space="preserve"> with</w:t>
      </w:r>
      <w:r w:rsidRPr="008D7F0A">
        <w:rPr>
          <w:b/>
          <w:color w:val="auto"/>
          <w:sz w:val="21"/>
          <w:szCs w:val="21"/>
        </w:rPr>
        <w:t xml:space="preserve"> IFN-α treatment</w:t>
      </w:r>
      <w:r>
        <w:rPr>
          <w:b/>
          <w:color w:val="auto"/>
          <w:sz w:val="21"/>
          <w:szCs w:val="21"/>
        </w:rPr>
        <w:t xml:space="preserve">. </w:t>
      </w:r>
      <w:r>
        <w:rPr>
          <w:bCs/>
          <w:color w:val="auto"/>
          <w:sz w:val="21"/>
          <w:szCs w:val="21"/>
        </w:rPr>
        <w:t xml:space="preserve">Viability of IFN-α treated </w:t>
      </w:r>
      <w:proofErr w:type="spellStart"/>
      <w:r>
        <w:rPr>
          <w:bCs/>
          <w:color w:val="auto"/>
          <w:sz w:val="21"/>
          <w:szCs w:val="21"/>
        </w:rPr>
        <w:t>hNECs</w:t>
      </w:r>
      <w:proofErr w:type="spellEnd"/>
      <w:r>
        <w:rPr>
          <w:bCs/>
          <w:color w:val="auto"/>
          <w:sz w:val="21"/>
          <w:szCs w:val="21"/>
        </w:rPr>
        <w:t xml:space="preserve"> decreased, but showed no significant differences compared with infected </w:t>
      </w:r>
      <w:proofErr w:type="spellStart"/>
      <w:r>
        <w:rPr>
          <w:bCs/>
          <w:color w:val="auto"/>
          <w:sz w:val="21"/>
          <w:szCs w:val="21"/>
        </w:rPr>
        <w:t>hNECs</w:t>
      </w:r>
      <w:proofErr w:type="spellEnd"/>
      <w:r>
        <w:rPr>
          <w:bCs/>
          <w:color w:val="auto"/>
          <w:sz w:val="21"/>
          <w:szCs w:val="21"/>
        </w:rPr>
        <w:t xml:space="preserve">, which indicated no additional toxicity than that caused by influenza infection. </w:t>
      </w:r>
    </w:p>
    <w:p w14:paraId="00BCBCBB" w14:textId="77777777" w:rsidR="00A30681" w:rsidRDefault="00A30681" w:rsidP="00A30681">
      <w:pPr>
        <w:spacing w:line="480" w:lineRule="auto"/>
        <w:rPr>
          <w:b/>
          <w:color w:val="auto"/>
          <w:sz w:val="21"/>
          <w:szCs w:val="21"/>
        </w:rPr>
      </w:pPr>
    </w:p>
    <w:p w14:paraId="63A0FDD7" w14:textId="77777777" w:rsidR="00A30681" w:rsidRPr="00144BE5" w:rsidRDefault="00A30681" w:rsidP="00A30681">
      <w:pPr>
        <w:spacing w:line="480" w:lineRule="auto"/>
        <w:rPr>
          <w:b/>
          <w:color w:val="auto"/>
          <w:sz w:val="21"/>
          <w:szCs w:val="21"/>
        </w:rPr>
      </w:pPr>
      <w:r w:rsidRPr="008D7F0A">
        <w:rPr>
          <w:b/>
          <w:color w:val="auto"/>
          <w:sz w:val="21"/>
          <w:szCs w:val="21"/>
        </w:rPr>
        <w:t>Figure S4. Co-localization of IL-25 and viral-nucleoprotein in nasal epithelial cell</w:t>
      </w:r>
      <w:r>
        <w:rPr>
          <w:b/>
          <w:color w:val="auto"/>
          <w:sz w:val="21"/>
          <w:szCs w:val="21"/>
        </w:rPr>
        <w:t xml:space="preserve">s. </w:t>
      </w:r>
      <w:r w:rsidRPr="008D7F0A">
        <w:rPr>
          <w:color w:val="auto"/>
          <w:sz w:val="21"/>
          <w:szCs w:val="21"/>
        </w:rPr>
        <w:t xml:space="preserve">Representative IF </w:t>
      </w:r>
      <w:r>
        <w:rPr>
          <w:color w:val="auto"/>
          <w:sz w:val="21"/>
          <w:szCs w:val="21"/>
        </w:rPr>
        <w:t>images</w:t>
      </w:r>
      <w:r w:rsidRPr="008D7F0A">
        <w:rPr>
          <w:color w:val="auto"/>
          <w:sz w:val="21"/>
          <w:szCs w:val="21"/>
        </w:rPr>
        <w:t xml:space="preserve"> of </w:t>
      </w:r>
      <w:r>
        <w:rPr>
          <w:color w:val="auto"/>
          <w:sz w:val="21"/>
          <w:szCs w:val="21"/>
        </w:rPr>
        <w:t>influenza</w:t>
      </w:r>
      <w:r w:rsidRPr="008D7F0A">
        <w:rPr>
          <w:color w:val="auto"/>
          <w:sz w:val="21"/>
          <w:szCs w:val="21"/>
        </w:rPr>
        <w:t xml:space="preserve">-infected </w:t>
      </w:r>
      <w:proofErr w:type="spellStart"/>
      <w:r w:rsidRPr="008D7F0A">
        <w:rPr>
          <w:color w:val="auto"/>
          <w:sz w:val="21"/>
          <w:szCs w:val="21"/>
        </w:rPr>
        <w:t>hNECs</w:t>
      </w:r>
      <w:proofErr w:type="spellEnd"/>
      <w:r w:rsidRPr="008D7F0A">
        <w:rPr>
          <w:color w:val="auto"/>
          <w:sz w:val="21"/>
          <w:szCs w:val="21"/>
        </w:rPr>
        <w:t xml:space="preserve"> are shown </w:t>
      </w:r>
      <w:r>
        <w:rPr>
          <w:color w:val="auto"/>
          <w:sz w:val="21"/>
          <w:szCs w:val="21"/>
        </w:rPr>
        <w:t>at</w:t>
      </w:r>
      <w:r w:rsidRPr="008D7F0A">
        <w:rPr>
          <w:color w:val="auto"/>
          <w:sz w:val="21"/>
          <w:szCs w:val="21"/>
        </w:rPr>
        <w:t xml:space="preserve"> 1000× magnification.</w:t>
      </w:r>
      <w:r>
        <w:rPr>
          <w:color w:val="auto"/>
          <w:sz w:val="21"/>
          <w:szCs w:val="21"/>
        </w:rPr>
        <w:t xml:space="preserve"> Green – influenza virus nucleoprotein (NP); red – IL-25; blue – DAPI. </w:t>
      </w:r>
      <w:r w:rsidRPr="008D7F0A">
        <w:rPr>
          <w:color w:val="auto"/>
          <w:sz w:val="21"/>
          <w:szCs w:val="21"/>
        </w:rPr>
        <w:t xml:space="preserve"> </w:t>
      </w:r>
    </w:p>
    <w:p w14:paraId="32370BE1" w14:textId="77777777" w:rsidR="00A30681" w:rsidRDefault="00A30681" w:rsidP="00A30681">
      <w:pPr>
        <w:spacing w:line="480" w:lineRule="auto"/>
        <w:rPr>
          <w:b/>
          <w:color w:val="auto"/>
          <w:sz w:val="21"/>
          <w:szCs w:val="21"/>
        </w:rPr>
      </w:pPr>
    </w:p>
    <w:p w14:paraId="04CF95D4" w14:textId="77777777" w:rsidR="00A30681" w:rsidRPr="008D7F0A" w:rsidRDefault="00A30681" w:rsidP="00A30681">
      <w:pPr>
        <w:spacing w:line="480" w:lineRule="auto"/>
        <w:rPr>
          <w:iCs/>
          <w:color w:val="auto"/>
          <w:sz w:val="21"/>
          <w:szCs w:val="21"/>
        </w:rPr>
      </w:pPr>
      <w:r w:rsidRPr="008D7F0A">
        <w:rPr>
          <w:b/>
          <w:color w:val="auto"/>
          <w:sz w:val="21"/>
          <w:szCs w:val="21"/>
        </w:rPr>
        <w:t xml:space="preserve">Figure S5. Proposed model of IL-25 </w:t>
      </w:r>
      <w:r>
        <w:rPr>
          <w:b/>
          <w:color w:val="auto"/>
          <w:sz w:val="21"/>
          <w:szCs w:val="21"/>
        </w:rPr>
        <w:t>induction</w:t>
      </w:r>
      <w:r w:rsidRPr="008D7F0A">
        <w:rPr>
          <w:b/>
          <w:color w:val="auto"/>
          <w:sz w:val="21"/>
          <w:szCs w:val="21"/>
        </w:rPr>
        <w:t xml:space="preserve"> during </w:t>
      </w:r>
      <w:r>
        <w:rPr>
          <w:b/>
          <w:color w:val="auto"/>
          <w:sz w:val="21"/>
          <w:szCs w:val="21"/>
        </w:rPr>
        <w:t xml:space="preserve">active </w:t>
      </w:r>
      <w:r w:rsidRPr="008D7F0A">
        <w:rPr>
          <w:b/>
          <w:color w:val="auto"/>
          <w:sz w:val="21"/>
          <w:szCs w:val="21"/>
        </w:rPr>
        <w:t>respiratory virus infection in airway epithelial cells</w:t>
      </w:r>
      <w:r>
        <w:rPr>
          <w:b/>
          <w:color w:val="auto"/>
          <w:sz w:val="21"/>
          <w:szCs w:val="21"/>
        </w:rPr>
        <w:t xml:space="preserve"> and its amelioration by IFN-α treatment. </w:t>
      </w:r>
      <w:r w:rsidRPr="008D7F0A">
        <w:rPr>
          <w:iCs/>
          <w:color w:val="auto"/>
          <w:sz w:val="21"/>
          <w:szCs w:val="21"/>
        </w:rPr>
        <w:t xml:space="preserve">Left: Upon viral infection, epithelial cells </w:t>
      </w:r>
      <w:r>
        <w:rPr>
          <w:iCs/>
          <w:color w:val="auto"/>
          <w:sz w:val="21"/>
          <w:szCs w:val="21"/>
        </w:rPr>
        <w:t>express</w:t>
      </w:r>
      <w:r w:rsidRPr="008D7F0A">
        <w:rPr>
          <w:iCs/>
          <w:color w:val="auto"/>
          <w:sz w:val="21"/>
          <w:szCs w:val="21"/>
        </w:rPr>
        <w:t xml:space="preserve"> IL-25 </w:t>
      </w:r>
      <w:r>
        <w:rPr>
          <w:iCs/>
          <w:color w:val="auto"/>
          <w:sz w:val="21"/>
          <w:szCs w:val="21"/>
        </w:rPr>
        <w:t>which may lead to type 2</w:t>
      </w:r>
      <w:r w:rsidRPr="008D7F0A">
        <w:rPr>
          <w:iCs/>
          <w:color w:val="auto"/>
          <w:sz w:val="21"/>
          <w:szCs w:val="21"/>
        </w:rPr>
        <w:t xml:space="preserve"> inflammation </w:t>
      </w:r>
      <w:r>
        <w:rPr>
          <w:iCs/>
          <w:color w:val="auto"/>
          <w:sz w:val="21"/>
          <w:szCs w:val="21"/>
        </w:rPr>
        <w:t>via</w:t>
      </w:r>
      <w:r w:rsidRPr="008D7F0A">
        <w:rPr>
          <w:iCs/>
          <w:color w:val="auto"/>
          <w:sz w:val="21"/>
          <w:szCs w:val="21"/>
        </w:rPr>
        <w:t xml:space="preserve"> downstream immune cells</w:t>
      </w:r>
      <w:r>
        <w:rPr>
          <w:iCs/>
          <w:color w:val="auto"/>
          <w:sz w:val="21"/>
          <w:szCs w:val="21"/>
        </w:rPr>
        <w:t>.</w:t>
      </w:r>
      <w:r w:rsidRPr="008D7F0A">
        <w:rPr>
          <w:iCs/>
          <w:color w:val="auto"/>
          <w:sz w:val="21"/>
          <w:szCs w:val="21"/>
        </w:rPr>
        <w:t xml:space="preserve"> Right: Pretreatment </w:t>
      </w:r>
      <w:r>
        <w:rPr>
          <w:iCs/>
          <w:color w:val="auto"/>
          <w:sz w:val="21"/>
          <w:szCs w:val="21"/>
        </w:rPr>
        <w:t>using</w:t>
      </w:r>
      <w:r w:rsidRPr="008D7F0A">
        <w:rPr>
          <w:iCs/>
          <w:color w:val="auto"/>
          <w:sz w:val="21"/>
          <w:szCs w:val="21"/>
        </w:rPr>
        <w:t xml:space="preserve"> antivirals </w:t>
      </w:r>
      <w:r>
        <w:rPr>
          <w:iCs/>
          <w:color w:val="auto"/>
          <w:sz w:val="21"/>
          <w:szCs w:val="21"/>
        </w:rPr>
        <w:t xml:space="preserve">such as </w:t>
      </w:r>
      <w:r w:rsidRPr="008D7F0A">
        <w:rPr>
          <w:iCs/>
          <w:color w:val="auto"/>
          <w:sz w:val="21"/>
          <w:szCs w:val="21"/>
        </w:rPr>
        <w:t>IFN-α result</w:t>
      </w:r>
      <w:r>
        <w:rPr>
          <w:iCs/>
          <w:color w:val="auto"/>
          <w:sz w:val="21"/>
          <w:szCs w:val="21"/>
        </w:rPr>
        <w:t>s</w:t>
      </w:r>
      <w:r w:rsidRPr="008D7F0A">
        <w:rPr>
          <w:iCs/>
          <w:color w:val="auto"/>
          <w:sz w:val="21"/>
          <w:szCs w:val="21"/>
        </w:rPr>
        <w:t xml:space="preserve"> in efficient inhibition of </w:t>
      </w:r>
      <w:r>
        <w:rPr>
          <w:iCs/>
          <w:color w:val="auto"/>
          <w:sz w:val="21"/>
          <w:szCs w:val="21"/>
        </w:rPr>
        <w:t xml:space="preserve">active </w:t>
      </w:r>
      <w:r w:rsidRPr="008D7F0A">
        <w:rPr>
          <w:iCs/>
          <w:color w:val="auto"/>
          <w:sz w:val="21"/>
          <w:szCs w:val="21"/>
        </w:rPr>
        <w:t>influenza virus replication. The reduction in virus replication in turn reduces virus</w:t>
      </w:r>
      <w:r>
        <w:rPr>
          <w:iCs/>
          <w:color w:val="auto"/>
          <w:sz w:val="21"/>
          <w:szCs w:val="21"/>
        </w:rPr>
        <w:t>-</w:t>
      </w:r>
      <w:r w:rsidRPr="008D7F0A">
        <w:rPr>
          <w:iCs/>
          <w:color w:val="auto"/>
          <w:sz w:val="21"/>
          <w:szCs w:val="21"/>
        </w:rPr>
        <w:t>mediated production of IL-25</w:t>
      </w:r>
      <w:r>
        <w:rPr>
          <w:iCs/>
          <w:color w:val="auto"/>
          <w:sz w:val="21"/>
          <w:szCs w:val="21"/>
        </w:rPr>
        <w:t>,</w:t>
      </w:r>
      <w:r w:rsidRPr="008D7F0A">
        <w:rPr>
          <w:iCs/>
          <w:color w:val="auto"/>
          <w:sz w:val="21"/>
          <w:szCs w:val="21"/>
        </w:rPr>
        <w:t xml:space="preserve"> </w:t>
      </w:r>
      <w:r>
        <w:rPr>
          <w:iCs/>
          <w:color w:val="auto"/>
          <w:sz w:val="21"/>
          <w:szCs w:val="21"/>
        </w:rPr>
        <w:t xml:space="preserve">which can potentially reduce type 2 </w:t>
      </w:r>
      <w:r w:rsidRPr="008D7F0A">
        <w:rPr>
          <w:iCs/>
          <w:color w:val="auto"/>
          <w:sz w:val="21"/>
          <w:szCs w:val="21"/>
        </w:rPr>
        <w:t>inflammation.</w:t>
      </w:r>
    </w:p>
    <w:p w14:paraId="2AB38663" w14:textId="77777777" w:rsidR="00A30681" w:rsidRPr="008D7F0A" w:rsidRDefault="00A30681" w:rsidP="00A30681">
      <w:pPr>
        <w:spacing w:line="480" w:lineRule="auto"/>
        <w:rPr>
          <w:iCs/>
          <w:color w:val="auto"/>
          <w:sz w:val="21"/>
          <w:szCs w:val="21"/>
        </w:rPr>
      </w:pPr>
    </w:p>
    <w:p w14:paraId="4437496C" w14:textId="77777777" w:rsidR="00A30681" w:rsidRPr="008D7F0A" w:rsidRDefault="00A30681" w:rsidP="00A30681">
      <w:pPr>
        <w:spacing w:line="480" w:lineRule="auto"/>
        <w:rPr>
          <w:b/>
          <w:color w:val="auto"/>
          <w:sz w:val="21"/>
          <w:szCs w:val="21"/>
          <w:shd w:val="clear" w:color="auto" w:fill="FFFFFF"/>
        </w:rPr>
      </w:pPr>
      <w:r w:rsidRPr="008D7F0A">
        <w:rPr>
          <w:b/>
          <w:color w:val="auto"/>
          <w:sz w:val="21"/>
          <w:szCs w:val="21"/>
          <w:shd w:val="clear" w:color="auto" w:fill="FFFFFF"/>
        </w:rPr>
        <w:t xml:space="preserve">Table S1. </w:t>
      </w:r>
      <w:r>
        <w:rPr>
          <w:b/>
          <w:color w:val="auto"/>
          <w:sz w:val="21"/>
          <w:szCs w:val="21"/>
          <w:shd w:val="clear" w:color="auto" w:fill="FFFFFF"/>
        </w:rPr>
        <w:t>S</w:t>
      </w:r>
      <w:r w:rsidRPr="008D7F0A">
        <w:rPr>
          <w:b/>
          <w:color w:val="auto"/>
          <w:sz w:val="21"/>
          <w:szCs w:val="21"/>
          <w:shd w:val="clear" w:color="auto" w:fill="FFFFFF"/>
        </w:rPr>
        <w:t>equences</w:t>
      </w:r>
      <w:r>
        <w:rPr>
          <w:b/>
          <w:color w:val="auto"/>
          <w:sz w:val="21"/>
          <w:szCs w:val="21"/>
          <w:shd w:val="clear" w:color="auto" w:fill="FFFFFF"/>
        </w:rPr>
        <w:t xml:space="preserve"> of</w:t>
      </w:r>
      <w:r w:rsidRPr="008D7F0A">
        <w:rPr>
          <w:b/>
          <w:color w:val="auto"/>
          <w:sz w:val="21"/>
          <w:szCs w:val="21"/>
          <w:shd w:val="clear" w:color="auto" w:fill="FFFFFF"/>
        </w:rPr>
        <w:t xml:space="preserve"> </w:t>
      </w:r>
      <w:r>
        <w:rPr>
          <w:b/>
          <w:color w:val="auto"/>
          <w:sz w:val="21"/>
          <w:szCs w:val="21"/>
          <w:shd w:val="clear" w:color="auto" w:fill="FFFFFF"/>
        </w:rPr>
        <w:t xml:space="preserve">primers </w:t>
      </w:r>
      <w:r w:rsidRPr="008D7F0A">
        <w:rPr>
          <w:b/>
          <w:color w:val="auto"/>
          <w:sz w:val="21"/>
          <w:szCs w:val="21"/>
          <w:shd w:val="clear" w:color="auto" w:fill="FFFFFF"/>
        </w:rPr>
        <w:t>used for RT-qPCR analysis</w:t>
      </w:r>
    </w:p>
    <w:p w14:paraId="18089CB0" w14:textId="77777777" w:rsidR="00A30681" w:rsidRPr="008D7F0A" w:rsidRDefault="00A30681" w:rsidP="00A30681">
      <w:pPr>
        <w:spacing w:line="480" w:lineRule="auto"/>
        <w:rPr>
          <w:b/>
          <w:color w:val="auto"/>
          <w:sz w:val="21"/>
          <w:szCs w:val="21"/>
        </w:rPr>
      </w:pPr>
      <w:r w:rsidRPr="008D7F0A">
        <w:rPr>
          <w:b/>
          <w:color w:val="auto"/>
          <w:sz w:val="21"/>
          <w:szCs w:val="21"/>
        </w:rPr>
        <w:t>Table S2. Demographics of subjects</w:t>
      </w:r>
    </w:p>
    <w:p w14:paraId="2A19A5E5" w14:textId="7A7A158E" w:rsidR="004A2091" w:rsidRDefault="00A30681" w:rsidP="00A30681">
      <w:pPr>
        <w:spacing w:line="480" w:lineRule="auto"/>
        <w:rPr>
          <w:rFonts w:eastAsia="AdvPS_UVCL"/>
          <w:color w:val="auto"/>
          <w:sz w:val="21"/>
          <w:szCs w:val="21"/>
        </w:rPr>
      </w:pPr>
      <w:r w:rsidRPr="008D7F0A">
        <w:rPr>
          <w:b/>
          <w:color w:val="auto"/>
          <w:sz w:val="21"/>
          <w:szCs w:val="21"/>
        </w:rPr>
        <w:t xml:space="preserve">Table S3. </w:t>
      </w:r>
      <w:r>
        <w:rPr>
          <w:b/>
          <w:color w:val="auto"/>
          <w:sz w:val="21"/>
          <w:szCs w:val="21"/>
        </w:rPr>
        <w:t>I</w:t>
      </w:r>
      <w:r w:rsidRPr="008D7F0A">
        <w:rPr>
          <w:b/>
          <w:color w:val="auto"/>
          <w:sz w:val="21"/>
          <w:szCs w:val="21"/>
        </w:rPr>
        <w:t>nformation o</w:t>
      </w:r>
      <w:r>
        <w:rPr>
          <w:b/>
          <w:color w:val="auto"/>
          <w:sz w:val="21"/>
          <w:szCs w:val="21"/>
        </w:rPr>
        <w:t>n donors of</w:t>
      </w:r>
      <w:r w:rsidRPr="008D7F0A">
        <w:rPr>
          <w:b/>
          <w:color w:val="auto"/>
          <w:sz w:val="21"/>
          <w:szCs w:val="21"/>
        </w:rPr>
        <w:t xml:space="preserve"> human nasal epithelial cells used in this study</w:t>
      </w:r>
      <w:r w:rsidR="004A2091">
        <w:rPr>
          <w:rFonts w:eastAsia="AdvPS_UVCL"/>
          <w:color w:val="auto"/>
          <w:sz w:val="21"/>
          <w:szCs w:val="21"/>
        </w:rPr>
        <w:br w:type="page"/>
      </w:r>
    </w:p>
    <w:p w14:paraId="79FAB9D7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  <w:r>
        <w:rPr>
          <w:rFonts w:eastAsia="AdvPS_UVCL"/>
          <w:color w:val="auto"/>
          <w:sz w:val="21"/>
          <w:szCs w:val="21"/>
        </w:rPr>
        <w:lastRenderedPageBreak/>
        <w:t>Figure S1</w:t>
      </w:r>
    </w:p>
    <w:p w14:paraId="46603E70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  <w:r w:rsidRPr="004A2091">
        <w:rPr>
          <w:rFonts w:eastAsia="AdvPS_UVCL"/>
          <w:noProof/>
          <w:color w:val="auto"/>
          <w:sz w:val="21"/>
          <w:szCs w:val="21"/>
          <w:lang w:val="en-SG" w:eastAsia="zh-CN"/>
        </w:rPr>
        <w:drawing>
          <wp:inline distT="0" distB="0" distL="0" distR="0" wp14:anchorId="1F473A27" wp14:editId="0A8EA584">
            <wp:extent cx="3970337" cy="3970337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65B6BD5-6A74-4FAA-B947-B806BAA638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565B6BD5-6A74-4FAA-B947-B806BAA638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337" cy="397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837A470" w14:textId="65874676" w:rsidR="004A2091" w:rsidRDefault="004A2091" w:rsidP="004A2091">
      <w:pPr>
        <w:spacing w:after="160" w:line="259" w:lineRule="auto"/>
        <w:jc w:val="left"/>
        <w:rPr>
          <w:rFonts w:eastAsia="AdvPS_UVCL"/>
          <w:color w:val="auto"/>
          <w:sz w:val="21"/>
          <w:szCs w:val="21"/>
        </w:rPr>
      </w:pPr>
      <w:r>
        <w:rPr>
          <w:rFonts w:eastAsia="AdvPS_UVCL"/>
          <w:color w:val="auto"/>
          <w:sz w:val="21"/>
          <w:szCs w:val="21"/>
        </w:rPr>
        <w:t>Figure S2</w:t>
      </w:r>
    </w:p>
    <w:p w14:paraId="3DA92592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  <w:r w:rsidRPr="004A2091">
        <w:rPr>
          <w:rFonts w:eastAsia="AdvPS_UVCL"/>
          <w:noProof/>
          <w:color w:val="auto"/>
          <w:sz w:val="21"/>
          <w:szCs w:val="21"/>
          <w:lang w:val="en-SG" w:eastAsia="zh-CN"/>
        </w:rPr>
        <w:drawing>
          <wp:inline distT="0" distB="0" distL="0" distR="0" wp14:anchorId="77567BE1" wp14:editId="4BDB7015">
            <wp:extent cx="5283200" cy="2743200"/>
            <wp:effectExtent l="0" t="0" r="0" b="0"/>
            <wp:docPr id="2050" name="图片 11">
              <a:extLst xmlns:a="http://schemas.openxmlformats.org/drawingml/2006/main">
                <a:ext uri="{FF2B5EF4-FFF2-40B4-BE49-F238E27FC236}">
                  <a16:creationId xmlns:a16="http://schemas.microsoft.com/office/drawing/2014/main" id="{1D51938B-0458-4336-AC4D-1254D95F43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图片 11">
                      <a:extLst>
                        <a:ext uri="{FF2B5EF4-FFF2-40B4-BE49-F238E27FC236}">
                          <a16:creationId xmlns:a16="http://schemas.microsoft.com/office/drawing/2014/main" id="{1D51938B-0458-4336-AC4D-1254D95F43B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52DB567" w14:textId="77777777" w:rsidR="004A2091" w:rsidRDefault="004A2091">
      <w:pPr>
        <w:spacing w:after="160" w:line="259" w:lineRule="auto"/>
        <w:jc w:val="left"/>
        <w:rPr>
          <w:rFonts w:eastAsia="AdvPS_UVCL"/>
          <w:color w:val="auto"/>
          <w:sz w:val="21"/>
          <w:szCs w:val="21"/>
        </w:rPr>
      </w:pPr>
      <w:r>
        <w:rPr>
          <w:rFonts w:eastAsia="AdvPS_UVCL"/>
          <w:color w:val="auto"/>
          <w:sz w:val="21"/>
          <w:szCs w:val="21"/>
        </w:rPr>
        <w:br w:type="page"/>
      </w:r>
    </w:p>
    <w:p w14:paraId="4B609A4E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  <w:r>
        <w:rPr>
          <w:rFonts w:eastAsia="AdvPS_UVCL"/>
          <w:color w:val="auto"/>
          <w:sz w:val="21"/>
          <w:szCs w:val="21"/>
        </w:rPr>
        <w:lastRenderedPageBreak/>
        <w:t>Figure S3</w:t>
      </w:r>
    </w:p>
    <w:p w14:paraId="7CA30BEC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</w:p>
    <w:p w14:paraId="065489E9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  <w:r w:rsidRPr="004A2091">
        <w:rPr>
          <w:rFonts w:eastAsia="AdvPS_UVCL"/>
          <w:noProof/>
          <w:color w:val="auto"/>
          <w:sz w:val="21"/>
          <w:szCs w:val="21"/>
          <w:lang w:val="en-SG" w:eastAsia="zh-CN"/>
        </w:rPr>
        <w:drawing>
          <wp:inline distT="0" distB="0" distL="0" distR="0" wp14:anchorId="5A2EF07B" wp14:editId="55CC8662">
            <wp:extent cx="5214938" cy="2649538"/>
            <wp:effectExtent l="0" t="0" r="5080" b="0"/>
            <wp:docPr id="3074" name="图片 12">
              <a:extLst xmlns:a="http://schemas.openxmlformats.org/drawingml/2006/main">
                <a:ext uri="{FF2B5EF4-FFF2-40B4-BE49-F238E27FC236}">
                  <a16:creationId xmlns:a16="http://schemas.microsoft.com/office/drawing/2014/main" id="{CCA26ECE-6773-46C8-8798-E0540531D6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图片 12">
                      <a:extLst>
                        <a:ext uri="{FF2B5EF4-FFF2-40B4-BE49-F238E27FC236}">
                          <a16:creationId xmlns:a16="http://schemas.microsoft.com/office/drawing/2014/main" id="{CCA26ECE-6773-46C8-8798-E0540531D6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938" cy="264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50BB14C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</w:p>
    <w:p w14:paraId="4FF9B0E7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  <w:r>
        <w:rPr>
          <w:rFonts w:eastAsia="AdvPS_UVCL"/>
          <w:color w:val="auto"/>
          <w:sz w:val="21"/>
          <w:szCs w:val="21"/>
        </w:rPr>
        <w:t>Figure S4</w:t>
      </w:r>
    </w:p>
    <w:p w14:paraId="7CB664FC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</w:p>
    <w:p w14:paraId="215927A7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  <w:r w:rsidRPr="004A2091">
        <w:rPr>
          <w:rFonts w:eastAsia="AdvPS_UVCL"/>
          <w:noProof/>
          <w:color w:val="auto"/>
          <w:sz w:val="21"/>
          <w:szCs w:val="21"/>
          <w:lang w:val="en-SG" w:eastAsia="zh-CN"/>
        </w:rPr>
        <w:drawing>
          <wp:inline distT="0" distB="0" distL="0" distR="0" wp14:anchorId="0FB5F4AC" wp14:editId="527826E0">
            <wp:extent cx="5037137" cy="1693862"/>
            <wp:effectExtent l="0" t="0" r="0" b="1905"/>
            <wp:docPr id="4098" name="图片 13">
              <a:extLst xmlns:a="http://schemas.openxmlformats.org/drawingml/2006/main">
                <a:ext uri="{FF2B5EF4-FFF2-40B4-BE49-F238E27FC236}">
                  <a16:creationId xmlns:a16="http://schemas.microsoft.com/office/drawing/2014/main" id="{C961F001-266B-4FC7-9175-6B287613AC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图片 13">
                      <a:extLst>
                        <a:ext uri="{FF2B5EF4-FFF2-40B4-BE49-F238E27FC236}">
                          <a16:creationId xmlns:a16="http://schemas.microsoft.com/office/drawing/2014/main" id="{C961F001-266B-4FC7-9175-6B287613AC8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6" b="9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137" cy="169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C91FE14" w14:textId="77777777" w:rsidR="004A2091" w:rsidRDefault="004A2091">
      <w:pPr>
        <w:spacing w:after="160" w:line="259" w:lineRule="auto"/>
        <w:jc w:val="left"/>
        <w:rPr>
          <w:rFonts w:eastAsia="AdvPS_UVCL"/>
          <w:color w:val="auto"/>
          <w:sz w:val="21"/>
          <w:szCs w:val="21"/>
        </w:rPr>
      </w:pPr>
      <w:r>
        <w:rPr>
          <w:rFonts w:eastAsia="AdvPS_UVCL"/>
          <w:color w:val="auto"/>
          <w:sz w:val="21"/>
          <w:szCs w:val="21"/>
        </w:rPr>
        <w:br w:type="page"/>
      </w:r>
    </w:p>
    <w:p w14:paraId="61EDCA91" w14:textId="77777777" w:rsidR="004A2091" w:rsidRDefault="004A2091" w:rsidP="004A2091">
      <w:pPr>
        <w:spacing w:line="480" w:lineRule="auto"/>
        <w:rPr>
          <w:rFonts w:eastAsia="AdvPS_UVCL"/>
          <w:color w:val="auto"/>
          <w:sz w:val="21"/>
          <w:szCs w:val="21"/>
        </w:rPr>
      </w:pPr>
      <w:r>
        <w:rPr>
          <w:rFonts w:eastAsia="AdvPS_UVCL"/>
          <w:color w:val="auto"/>
          <w:sz w:val="21"/>
          <w:szCs w:val="21"/>
        </w:rPr>
        <w:lastRenderedPageBreak/>
        <w:t>Figure S5</w:t>
      </w:r>
    </w:p>
    <w:p w14:paraId="2F57FE0F" w14:textId="77777777" w:rsidR="00A30681" w:rsidRPr="00580216" w:rsidRDefault="00A30681" w:rsidP="00A30681">
      <w:pPr>
        <w:spacing w:line="480" w:lineRule="auto"/>
        <w:rPr>
          <w:b/>
          <w:color w:val="auto"/>
          <w:szCs w:val="24"/>
        </w:rPr>
      </w:pPr>
      <w:r w:rsidRPr="00A30681">
        <w:rPr>
          <w:rFonts w:eastAsia="AdvPS_UVCL"/>
          <w:noProof/>
          <w:color w:val="auto"/>
          <w:sz w:val="21"/>
          <w:szCs w:val="21"/>
          <w:lang w:val="en-SG" w:eastAsia="zh-CN"/>
        </w:rPr>
        <w:drawing>
          <wp:inline distT="0" distB="0" distL="0" distR="0" wp14:anchorId="67D024AD" wp14:editId="18C21E50">
            <wp:extent cx="5943600" cy="4464685"/>
            <wp:effectExtent l="0" t="0" r="0" b="0"/>
            <wp:docPr id="3" name="Picture 2" descr="Timel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8F25606-C555-435E-ACD0-C8B838FD7F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imeline&#10;&#10;Description automatically generated">
                      <a:extLst>
                        <a:ext uri="{FF2B5EF4-FFF2-40B4-BE49-F238E27FC236}">
                          <a16:creationId xmlns:a16="http://schemas.microsoft.com/office/drawing/2014/main" id="{B8F25606-C555-435E-ACD0-C8B838FD7F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091" w:rsidRPr="008D7F0A">
        <w:rPr>
          <w:rFonts w:eastAsia="AdvPS_UVCL"/>
          <w:color w:val="auto"/>
          <w:sz w:val="21"/>
          <w:szCs w:val="21"/>
        </w:rPr>
        <w:br w:type="page"/>
      </w:r>
    </w:p>
    <w:tbl>
      <w:tblPr>
        <w:tblW w:w="7230" w:type="dxa"/>
        <w:tblLook w:val="01E0" w:firstRow="1" w:lastRow="1" w:firstColumn="1" w:lastColumn="1" w:noHBand="0" w:noVBand="0"/>
      </w:tblPr>
      <w:tblGrid>
        <w:gridCol w:w="291"/>
        <w:gridCol w:w="960"/>
        <w:gridCol w:w="2768"/>
        <w:gridCol w:w="363"/>
        <w:gridCol w:w="2848"/>
      </w:tblGrid>
      <w:tr w:rsidR="00A30681" w:rsidRPr="00580216" w14:paraId="50795BFA" w14:textId="77777777" w:rsidTr="001C1220">
        <w:trPr>
          <w:trHeight w:val="632"/>
        </w:trPr>
        <w:tc>
          <w:tcPr>
            <w:tcW w:w="7230" w:type="dxa"/>
            <w:gridSpan w:val="5"/>
            <w:shd w:val="clear" w:color="auto" w:fill="auto"/>
          </w:tcPr>
          <w:p w14:paraId="27D1B656" w14:textId="77777777" w:rsidR="00A30681" w:rsidRDefault="00A30681" w:rsidP="001C1220">
            <w:pPr>
              <w:spacing w:line="360" w:lineRule="auto"/>
              <w:rPr>
                <w:b/>
                <w:color w:val="auto"/>
                <w:sz w:val="21"/>
                <w:szCs w:val="21"/>
                <w:shd w:val="clear" w:color="auto" w:fill="FFFFFF"/>
              </w:rPr>
            </w:pPr>
          </w:p>
          <w:p w14:paraId="5DBA55C5" w14:textId="1B3DAAE4" w:rsidR="00A30681" w:rsidRPr="008D7F0A" w:rsidRDefault="00A30681" w:rsidP="001C1220">
            <w:pPr>
              <w:spacing w:line="360" w:lineRule="auto"/>
              <w:rPr>
                <w:b/>
                <w:color w:val="auto"/>
                <w:sz w:val="21"/>
                <w:szCs w:val="21"/>
                <w:shd w:val="clear" w:color="auto" w:fill="FFFFFF"/>
              </w:rPr>
            </w:pPr>
            <w:r w:rsidRPr="008D7F0A">
              <w:rPr>
                <w:b/>
                <w:color w:val="auto"/>
                <w:sz w:val="21"/>
                <w:szCs w:val="21"/>
                <w:shd w:val="clear" w:color="auto" w:fill="FFFFFF"/>
              </w:rPr>
              <w:t xml:space="preserve">Table S1. </w:t>
            </w:r>
            <w:r>
              <w:rPr>
                <w:b/>
                <w:color w:val="auto"/>
                <w:sz w:val="21"/>
                <w:szCs w:val="21"/>
                <w:shd w:val="clear" w:color="auto" w:fill="FFFFFF"/>
              </w:rPr>
              <w:t>S</w:t>
            </w:r>
            <w:r w:rsidRPr="008D7F0A">
              <w:rPr>
                <w:b/>
                <w:color w:val="auto"/>
                <w:sz w:val="21"/>
                <w:szCs w:val="21"/>
                <w:shd w:val="clear" w:color="auto" w:fill="FFFFFF"/>
              </w:rPr>
              <w:t xml:space="preserve">equences </w:t>
            </w:r>
            <w:r>
              <w:rPr>
                <w:b/>
                <w:color w:val="auto"/>
                <w:sz w:val="21"/>
                <w:szCs w:val="21"/>
                <w:shd w:val="clear" w:color="auto" w:fill="FFFFFF"/>
              </w:rPr>
              <w:t xml:space="preserve">of primers </w:t>
            </w:r>
            <w:r w:rsidRPr="008D7F0A">
              <w:rPr>
                <w:b/>
                <w:color w:val="auto"/>
                <w:sz w:val="21"/>
                <w:szCs w:val="21"/>
                <w:shd w:val="clear" w:color="auto" w:fill="FFFFFF"/>
              </w:rPr>
              <w:t>used for RT-qPCR analysis</w:t>
            </w:r>
          </w:p>
        </w:tc>
      </w:tr>
      <w:tr w:rsidR="00A30681" w:rsidRPr="008668F1" w14:paraId="2A9922DC" w14:textId="77777777" w:rsidTr="001C1220">
        <w:trPr>
          <w:trHeight w:hRule="exact" w:val="454"/>
        </w:trPr>
        <w:tc>
          <w:tcPr>
            <w:tcW w:w="16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CA77DC" w14:textId="77777777" w:rsidR="00A30681" w:rsidRPr="008668F1" w:rsidRDefault="00A30681" w:rsidP="001C1220">
            <w:pPr>
              <w:spacing w:line="480" w:lineRule="auto"/>
              <w:ind w:firstLineChars="100" w:firstLine="161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Target gene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651E4C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Forward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480840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715365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 xml:space="preserve">Reverse </w:t>
            </w:r>
          </w:p>
        </w:tc>
      </w:tr>
      <w:tr w:rsidR="00A30681" w:rsidRPr="008668F1" w14:paraId="43933F23" w14:textId="77777777" w:rsidTr="001C1220">
        <w:trPr>
          <w:trHeight w:hRule="exact" w:val="454"/>
        </w:trPr>
        <w:tc>
          <w:tcPr>
            <w:tcW w:w="392" w:type="dxa"/>
            <w:tcBorders>
              <w:top w:val="single" w:sz="12" w:space="0" w:color="auto"/>
            </w:tcBorders>
            <w:shd w:val="clear" w:color="auto" w:fill="auto"/>
          </w:tcPr>
          <w:p w14:paraId="4FDB0B3E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214B21A4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IL-25</w:t>
            </w:r>
          </w:p>
        </w:tc>
        <w:tc>
          <w:tcPr>
            <w:tcW w:w="2585" w:type="dxa"/>
            <w:shd w:val="clear" w:color="auto" w:fill="auto"/>
          </w:tcPr>
          <w:p w14:paraId="5A565B6E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CCAGGTGGTTGCATTCTTGG</w:t>
            </w:r>
          </w:p>
        </w:tc>
        <w:tc>
          <w:tcPr>
            <w:tcW w:w="567" w:type="dxa"/>
            <w:shd w:val="clear" w:color="auto" w:fill="auto"/>
          </w:tcPr>
          <w:p w14:paraId="3DFE7669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66115FC0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TGGCTGTAGGTGTGGGTTCC</w:t>
            </w:r>
          </w:p>
        </w:tc>
      </w:tr>
      <w:tr w:rsidR="00A30681" w:rsidRPr="008668F1" w14:paraId="0A121047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02E9FB42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6558C8C6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IL-17RB</w:t>
            </w:r>
          </w:p>
        </w:tc>
        <w:tc>
          <w:tcPr>
            <w:tcW w:w="2585" w:type="dxa"/>
            <w:shd w:val="clear" w:color="auto" w:fill="auto"/>
          </w:tcPr>
          <w:p w14:paraId="1A1B3DCF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GGCTTCCTATCCCACCAATT</w:t>
            </w:r>
          </w:p>
        </w:tc>
        <w:tc>
          <w:tcPr>
            <w:tcW w:w="567" w:type="dxa"/>
            <w:shd w:val="clear" w:color="auto" w:fill="auto"/>
          </w:tcPr>
          <w:p w14:paraId="221EEB91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173FEA74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AGGCTGTTTGTAGGCTGCA</w:t>
            </w:r>
          </w:p>
        </w:tc>
      </w:tr>
      <w:tr w:rsidR="00A30681" w:rsidRPr="008668F1" w14:paraId="6D3877BD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720726BE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176634A5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 xml:space="preserve">IL-4 </w:t>
            </w:r>
          </w:p>
        </w:tc>
        <w:tc>
          <w:tcPr>
            <w:tcW w:w="2585" w:type="dxa"/>
            <w:shd w:val="clear" w:color="auto" w:fill="auto"/>
          </w:tcPr>
          <w:p w14:paraId="46FE6DE4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GCAGTT CTACAGCCACCATG</w:t>
            </w:r>
          </w:p>
        </w:tc>
        <w:tc>
          <w:tcPr>
            <w:tcW w:w="567" w:type="dxa"/>
            <w:shd w:val="clear" w:color="auto" w:fill="auto"/>
          </w:tcPr>
          <w:p w14:paraId="29CA9667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5BF8A756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ATGATCGTCTTTAGCCTTTCC</w:t>
            </w:r>
          </w:p>
        </w:tc>
      </w:tr>
      <w:tr w:rsidR="00A30681" w:rsidRPr="008668F1" w14:paraId="7C610854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2A568446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541D3996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IL-5</w:t>
            </w:r>
          </w:p>
        </w:tc>
        <w:tc>
          <w:tcPr>
            <w:tcW w:w="2585" w:type="dxa"/>
            <w:shd w:val="clear" w:color="auto" w:fill="auto"/>
          </w:tcPr>
          <w:p w14:paraId="00370643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ATCTTTCAGGGAATAGGCACAC</w:t>
            </w:r>
          </w:p>
        </w:tc>
        <w:tc>
          <w:tcPr>
            <w:tcW w:w="567" w:type="dxa"/>
            <w:shd w:val="clear" w:color="auto" w:fill="auto"/>
          </w:tcPr>
          <w:p w14:paraId="59F7F8DA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1912AC19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CCGTCTTTCTTCTCCACACTTT</w:t>
            </w:r>
          </w:p>
        </w:tc>
      </w:tr>
      <w:tr w:rsidR="00A30681" w:rsidRPr="008668F1" w14:paraId="688D6814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31898922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045EB8B1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IL-13</w:t>
            </w:r>
          </w:p>
        </w:tc>
        <w:tc>
          <w:tcPr>
            <w:tcW w:w="2585" w:type="dxa"/>
            <w:shd w:val="clear" w:color="auto" w:fill="auto"/>
          </w:tcPr>
          <w:p w14:paraId="40E021E3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AGCATGGTATGGAGCATCAA</w:t>
            </w:r>
          </w:p>
        </w:tc>
        <w:tc>
          <w:tcPr>
            <w:tcW w:w="567" w:type="dxa"/>
            <w:shd w:val="clear" w:color="auto" w:fill="auto"/>
          </w:tcPr>
          <w:p w14:paraId="7180D528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767E5B9C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CAGCATCCTCTGGGTCTTCT</w:t>
            </w:r>
          </w:p>
        </w:tc>
      </w:tr>
      <w:tr w:rsidR="00A30681" w:rsidRPr="008668F1" w14:paraId="33E127F7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13DEC393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64019EFD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IFN-γ</w:t>
            </w:r>
          </w:p>
        </w:tc>
        <w:tc>
          <w:tcPr>
            <w:tcW w:w="2585" w:type="dxa"/>
            <w:shd w:val="clear" w:color="auto" w:fill="auto"/>
          </w:tcPr>
          <w:p w14:paraId="2D3D3FC8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TTTTGAAGAATTGGAAAGAGGA</w:t>
            </w:r>
          </w:p>
        </w:tc>
        <w:tc>
          <w:tcPr>
            <w:tcW w:w="567" w:type="dxa"/>
            <w:shd w:val="clear" w:color="auto" w:fill="auto"/>
          </w:tcPr>
          <w:p w14:paraId="21C49667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0DCAB07B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CACTTGGATGAGTTCATGTATTG</w:t>
            </w:r>
          </w:p>
        </w:tc>
      </w:tr>
      <w:tr w:rsidR="00A30681" w:rsidRPr="008668F1" w14:paraId="0DB8F517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5FC6FAEE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6F95723F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IL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7"/>
                <w:attr w:name="UnitName" w:val="a"/>
              </w:smartTagPr>
              <w:r w:rsidRPr="008668F1">
                <w:rPr>
                  <w:b/>
                  <w:color w:val="auto"/>
                  <w:sz w:val="16"/>
                  <w:szCs w:val="16"/>
                  <w:shd w:val="clear" w:color="auto" w:fill="FFFFFF"/>
                </w:rPr>
                <w:t>-17A</w:t>
              </w:r>
            </w:smartTag>
          </w:p>
        </w:tc>
        <w:tc>
          <w:tcPr>
            <w:tcW w:w="2585" w:type="dxa"/>
            <w:shd w:val="clear" w:color="auto" w:fill="auto"/>
          </w:tcPr>
          <w:p w14:paraId="534CC968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TCAACGCTGATGGGAACG</w:t>
            </w:r>
          </w:p>
        </w:tc>
        <w:tc>
          <w:tcPr>
            <w:tcW w:w="567" w:type="dxa"/>
            <w:shd w:val="clear" w:color="auto" w:fill="auto"/>
          </w:tcPr>
          <w:p w14:paraId="43D771A0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3B2ECE9B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TCTTGCTGGATGGGGACA</w:t>
            </w:r>
          </w:p>
        </w:tc>
      </w:tr>
      <w:tr w:rsidR="00A30681" w:rsidRPr="008668F1" w14:paraId="3D41304A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0B9F3299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7564D6BE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ICAM1</w:t>
            </w:r>
          </w:p>
        </w:tc>
        <w:tc>
          <w:tcPr>
            <w:tcW w:w="2585" w:type="dxa"/>
            <w:shd w:val="clear" w:color="auto" w:fill="auto"/>
          </w:tcPr>
          <w:p w14:paraId="388F3BF2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ACCATCTACAGCTTTCCG</w:t>
            </w:r>
          </w:p>
        </w:tc>
        <w:tc>
          <w:tcPr>
            <w:tcW w:w="567" w:type="dxa"/>
            <w:shd w:val="clear" w:color="auto" w:fill="auto"/>
          </w:tcPr>
          <w:p w14:paraId="69FB95BE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73AC8A43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TCACACTTCACTGTCACC</w:t>
            </w:r>
          </w:p>
        </w:tc>
      </w:tr>
      <w:tr w:rsidR="00A30681" w:rsidRPr="008668F1" w14:paraId="560C1C73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08E65BC8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085BB36B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IRF7</w:t>
            </w:r>
          </w:p>
        </w:tc>
        <w:tc>
          <w:tcPr>
            <w:tcW w:w="2585" w:type="dxa"/>
            <w:shd w:val="clear" w:color="auto" w:fill="auto"/>
          </w:tcPr>
          <w:p w14:paraId="40FEC658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TCTTCTTCCAAGAGCTGG</w:t>
            </w:r>
          </w:p>
        </w:tc>
        <w:tc>
          <w:tcPr>
            <w:tcW w:w="567" w:type="dxa"/>
            <w:shd w:val="clear" w:color="auto" w:fill="auto"/>
          </w:tcPr>
          <w:p w14:paraId="090BF9D6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2B7C2E61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CTATCCAGGGAAGACACAC</w:t>
            </w:r>
          </w:p>
        </w:tc>
      </w:tr>
      <w:tr w:rsidR="00A30681" w:rsidRPr="008668F1" w14:paraId="016B823A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29AC401F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50249EA8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RIG-I</w:t>
            </w:r>
          </w:p>
        </w:tc>
        <w:tc>
          <w:tcPr>
            <w:tcW w:w="2585" w:type="dxa"/>
            <w:shd w:val="clear" w:color="auto" w:fill="auto"/>
          </w:tcPr>
          <w:p w14:paraId="27E7721E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GGTATAGAGTTACAGGCATTTC</w:t>
            </w:r>
          </w:p>
        </w:tc>
        <w:tc>
          <w:tcPr>
            <w:tcW w:w="567" w:type="dxa"/>
            <w:shd w:val="clear" w:color="auto" w:fill="auto"/>
          </w:tcPr>
          <w:p w14:paraId="7511AFA1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428B9F4F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TTGTTTACTAGTGTTGTGGC</w:t>
            </w:r>
          </w:p>
        </w:tc>
      </w:tr>
      <w:tr w:rsidR="00A30681" w:rsidRPr="008668F1" w14:paraId="1208A616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146FAD76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1B5E38CD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TLR3</w:t>
            </w:r>
          </w:p>
        </w:tc>
        <w:tc>
          <w:tcPr>
            <w:tcW w:w="2585" w:type="dxa"/>
            <w:shd w:val="clear" w:color="auto" w:fill="auto"/>
          </w:tcPr>
          <w:p w14:paraId="08B5C08B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AGATTCAAGGTACATCATGC</w:t>
            </w:r>
          </w:p>
        </w:tc>
        <w:tc>
          <w:tcPr>
            <w:tcW w:w="567" w:type="dxa"/>
            <w:shd w:val="clear" w:color="auto" w:fill="auto"/>
          </w:tcPr>
          <w:p w14:paraId="3FA848D5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35FEFBA4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CAATTTATGACGAAAGGCAC</w:t>
            </w:r>
          </w:p>
        </w:tc>
      </w:tr>
      <w:tr w:rsidR="00A30681" w:rsidRPr="008668F1" w14:paraId="0165B31B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70D855DB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3662B7C8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TLR7</w:t>
            </w:r>
          </w:p>
        </w:tc>
        <w:tc>
          <w:tcPr>
            <w:tcW w:w="2585" w:type="dxa"/>
            <w:shd w:val="clear" w:color="auto" w:fill="auto"/>
          </w:tcPr>
          <w:p w14:paraId="04314C00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AGATATAGGATCACTCCATGC</w:t>
            </w:r>
          </w:p>
        </w:tc>
        <w:tc>
          <w:tcPr>
            <w:tcW w:w="567" w:type="dxa"/>
            <w:shd w:val="clear" w:color="auto" w:fill="auto"/>
          </w:tcPr>
          <w:p w14:paraId="723D5564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3601E2C7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CTTCCAAAATGGAATGTAGAGG</w:t>
            </w:r>
          </w:p>
        </w:tc>
      </w:tr>
      <w:tr w:rsidR="00A30681" w:rsidRPr="008668F1" w14:paraId="616E57BE" w14:textId="77777777" w:rsidTr="001C1220">
        <w:trPr>
          <w:trHeight w:hRule="exact" w:val="454"/>
        </w:trPr>
        <w:tc>
          <w:tcPr>
            <w:tcW w:w="392" w:type="dxa"/>
            <w:shd w:val="clear" w:color="auto" w:fill="auto"/>
          </w:tcPr>
          <w:p w14:paraId="3594B8E0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25852758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β-actin</w:t>
            </w:r>
          </w:p>
        </w:tc>
        <w:tc>
          <w:tcPr>
            <w:tcW w:w="2585" w:type="dxa"/>
            <w:shd w:val="clear" w:color="auto" w:fill="auto"/>
          </w:tcPr>
          <w:p w14:paraId="0043223B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GTCACCAACTGGGACGACA</w:t>
            </w:r>
          </w:p>
        </w:tc>
        <w:tc>
          <w:tcPr>
            <w:tcW w:w="567" w:type="dxa"/>
            <w:shd w:val="clear" w:color="auto" w:fill="auto"/>
          </w:tcPr>
          <w:p w14:paraId="2A84DAF2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45D04185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CACAGCCTGGATAGCAACG</w:t>
            </w:r>
          </w:p>
        </w:tc>
      </w:tr>
      <w:tr w:rsidR="00A30681" w:rsidRPr="008668F1" w14:paraId="2E5A5757" w14:textId="77777777" w:rsidTr="001C1220">
        <w:trPr>
          <w:trHeight w:hRule="exact" w:val="454"/>
        </w:trPr>
        <w:tc>
          <w:tcPr>
            <w:tcW w:w="392" w:type="dxa"/>
            <w:tcBorders>
              <w:bottom w:val="single" w:sz="12" w:space="0" w:color="auto"/>
            </w:tcBorders>
            <w:shd w:val="clear" w:color="auto" w:fill="auto"/>
          </w:tcPr>
          <w:p w14:paraId="6128F85A" w14:textId="77777777" w:rsidR="00A30681" w:rsidRPr="008668F1" w:rsidRDefault="00A30681" w:rsidP="001C1220">
            <w:pPr>
              <w:spacing w:line="48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7BCC76D9" w14:textId="77777777" w:rsidR="00A30681" w:rsidRPr="008668F1" w:rsidRDefault="00A30681" w:rsidP="001C1220">
            <w:pPr>
              <w:spacing w:line="480" w:lineRule="auto"/>
              <w:jc w:val="left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PGK1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auto" w:fill="auto"/>
          </w:tcPr>
          <w:p w14:paraId="6DF86115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CTCAACAACATGGAGATTGG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6CB16560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14:paraId="6C8B12BA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b/>
                <w:color w:val="auto"/>
                <w:sz w:val="16"/>
                <w:szCs w:val="16"/>
                <w:shd w:val="clear" w:color="auto" w:fill="FFFFFF"/>
              </w:rPr>
              <w:t>CTTTGGACATTAGGTCTTTGAC</w:t>
            </w:r>
          </w:p>
        </w:tc>
      </w:tr>
      <w:tr w:rsidR="00A30681" w:rsidRPr="008668F1" w14:paraId="19B7547B" w14:textId="77777777" w:rsidTr="001C1220">
        <w:trPr>
          <w:trHeight w:hRule="exact" w:val="1368"/>
        </w:trPr>
        <w:tc>
          <w:tcPr>
            <w:tcW w:w="7230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5AD5827D" w14:textId="1938B0CE" w:rsidR="00A30681" w:rsidRPr="008668F1" w:rsidRDefault="00A30681" w:rsidP="001C1220">
            <w:pPr>
              <w:spacing w:line="360" w:lineRule="auto"/>
              <w:rPr>
                <w:color w:val="auto"/>
                <w:sz w:val="16"/>
                <w:szCs w:val="16"/>
                <w:shd w:val="clear" w:color="auto" w:fill="FFFFFF"/>
              </w:rPr>
            </w:pPr>
            <w:r w:rsidRPr="008668F1">
              <w:rPr>
                <w:color w:val="auto"/>
                <w:sz w:val="16"/>
                <w:szCs w:val="16"/>
                <w:shd w:val="clear" w:color="auto" w:fill="FFFFFF"/>
              </w:rPr>
              <w:t>ICAM1, intercellular adhesion molecule 1; IFN-γ, interferon</w:t>
            </w:r>
            <w:r w:rsidR="0093675A">
              <w:rPr>
                <w:color w:val="auto"/>
                <w:sz w:val="16"/>
                <w:szCs w:val="16"/>
                <w:shd w:val="clear" w:color="auto" w:fill="FFFFFF"/>
              </w:rPr>
              <w:t>-</w:t>
            </w:r>
            <w:r w:rsidRPr="008668F1">
              <w:rPr>
                <w:color w:val="auto"/>
                <w:sz w:val="16"/>
                <w:szCs w:val="16"/>
                <w:shd w:val="clear" w:color="auto" w:fill="FFFFFF"/>
              </w:rPr>
              <w:t>gamma; IL, interleukin; IRF7, interferon regulatory factor 7; PGK1, phosphoglycerate kinase 1; RIG-I, retinoic acid-inducible gene I; TLR, toll-like receptor</w:t>
            </w:r>
          </w:p>
          <w:p w14:paraId="4BFBE61A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</w:p>
        </w:tc>
      </w:tr>
    </w:tbl>
    <w:p w14:paraId="2930AEC7" w14:textId="77777777" w:rsidR="00A30681" w:rsidRPr="008668F1" w:rsidRDefault="00A30681" w:rsidP="00A30681">
      <w:pPr>
        <w:spacing w:line="360" w:lineRule="auto"/>
        <w:jc w:val="left"/>
        <w:rPr>
          <w:rFonts w:eastAsia="AdvPS_UVCL"/>
          <w:color w:val="auto"/>
          <w:sz w:val="20"/>
        </w:rPr>
      </w:pPr>
      <w:r w:rsidRPr="008668F1">
        <w:rPr>
          <w:b/>
          <w:color w:val="auto"/>
          <w:sz w:val="20"/>
        </w:rPr>
        <w:br w:type="page"/>
      </w:r>
    </w:p>
    <w:tbl>
      <w:tblPr>
        <w:tblpPr w:leftFromText="180" w:rightFromText="180" w:vertAnchor="page" w:horzAnchor="margin" w:tblpY="2175"/>
        <w:tblW w:w="8931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1984"/>
        <w:gridCol w:w="1985"/>
        <w:gridCol w:w="283"/>
      </w:tblGrid>
      <w:tr w:rsidR="00A30681" w:rsidRPr="008668F1" w14:paraId="010389B9" w14:textId="77777777" w:rsidTr="001C1220">
        <w:trPr>
          <w:trHeight w:val="340"/>
        </w:trPr>
        <w:tc>
          <w:tcPr>
            <w:tcW w:w="8648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BADD5B2" w14:textId="77777777" w:rsidR="00A30681" w:rsidRPr="008D7F0A" w:rsidRDefault="00A30681" w:rsidP="001C1220">
            <w:pPr>
              <w:spacing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  <w:r w:rsidRPr="008D7F0A">
              <w:rPr>
                <w:b/>
                <w:color w:val="auto"/>
                <w:sz w:val="21"/>
                <w:szCs w:val="21"/>
              </w:rPr>
              <w:lastRenderedPageBreak/>
              <w:t>Table S2. Demographics of subjects</w:t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6EBD97D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A30681" w:rsidRPr="008668F1" w14:paraId="2BFC4FCD" w14:textId="77777777" w:rsidTr="001C1220">
        <w:trPr>
          <w:trHeight w:val="340"/>
        </w:trPr>
        <w:tc>
          <w:tcPr>
            <w:tcW w:w="26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7FC7349A" w14:textId="77777777" w:rsidR="00A30681" w:rsidRPr="008668F1" w:rsidRDefault="00A30681" w:rsidP="001C1220">
            <w:pPr>
              <w:spacing w:line="360" w:lineRule="auto"/>
              <w:jc w:val="left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39F335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Control Subjects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33EFA1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 xml:space="preserve">Patients with </w:t>
            </w:r>
            <w:proofErr w:type="spellStart"/>
            <w:r w:rsidRPr="008668F1">
              <w:rPr>
                <w:b/>
                <w:color w:val="auto"/>
                <w:sz w:val="16"/>
                <w:szCs w:val="16"/>
              </w:rPr>
              <w:t>CRSsNP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7CAFE2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 xml:space="preserve">Patients with </w:t>
            </w:r>
            <w:proofErr w:type="spellStart"/>
            <w:r w:rsidRPr="008668F1">
              <w:rPr>
                <w:b/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3743404" w14:textId="77777777" w:rsidR="00A30681" w:rsidRPr="008668F1" w:rsidRDefault="00A30681" w:rsidP="001C1220">
            <w:pPr>
              <w:spacing w:line="360" w:lineRule="auto"/>
              <w:jc w:val="left"/>
              <w:rPr>
                <w:b/>
                <w:color w:val="auto"/>
                <w:sz w:val="16"/>
                <w:szCs w:val="16"/>
              </w:rPr>
            </w:pPr>
          </w:p>
        </w:tc>
      </w:tr>
      <w:tr w:rsidR="00A30681" w:rsidRPr="008668F1" w14:paraId="08408621" w14:textId="77777777" w:rsidTr="001C1220">
        <w:trPr>
          <w:trHeight w:val="340"/>
        </w:trPr>
        <w:tc>
          <w:tcPr>
            <w:tcW w:w="269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8E36DB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No.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FDB18B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4F33C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829F08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283" w:type="dxa"/>
            <w:tcBorders>
              <w:top w:val="single" w:sz="8" w:space="0" w:color="auto"/>
            </w:tcBorders>
            <w:shd w:val="clear" w:color="auto" w:fill="auto"/>
          </w:tcPr>
          <w:p w14:paraId="7E1BB6C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3452A91A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2E66678C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Tissue sampled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9F2B3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UP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4ACB0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UP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5ACB45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283" w:type="dxa"/>
            <w:shd w:val="clear" w:color="auto" w:fill="auto"/>
          </w:tcPr>
          <w:p w14:paraId="7034CAB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2CF9E8C3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622E1F56" w14:textId="26C19E60" w:rsidR="00A30681" w:rsidRPr="008668F1" w:rsidRDefault="00A30681" w:rsidP="00A80309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Age</w:t>
            </w:r>
            <w:r w:rsidR="00A80309">
              <w:rPr>
                <w:b/>
                <w:color w:val="auto"/>
                <w:sz w:val="16"/>
                <w:szCs w:val="16"/>
              </w:rPr>
              <w:t xml:space="preserve"> </w:t>
            </w:r>
            <w:r w:rsidR="00A80309" w:rsidRPr="008668F1">
              <w:rPr>
                <w:b/>
                <w:color w:val="auto"/>
                <w:sz w:val="16"/>
                <w:szCs w:val="16"/>
              </w:rPr>
              <w:t>(years)</w:t>
            </w:r>
            <w:r w:rsidRPr="008668F1">
              <w:rPr>
                <w:b/>
                <w:color w:val="auto"/>
                <w:sz w:val="16"/>
                <w:szCs w:val="16"/>
              </w:rPr>
              <w:t xml:space="preserve">, mean (SD)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751EB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34·1 (11·20)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28A26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35·2 (9·51)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EB4BA5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36·4 (9·44)</w:t>
            </w:r>
          </w:p>
        </w:tc>
        <w:tc>
          <w:tcPr>
            <w:tcW w:w="283" w:type="dxa"/>
            <w:shd w:val="clear" w:color="auto" w:fill="auto"/>
          </w:tcPr>
          <w:p w14:paraId="28C1C6F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1A3575F7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0A63592F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Atopy, no. (%)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61197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3 (20·0)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AEFA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4 (16·0)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69ACF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13 (21·67)</w:t>
            </w:r>
          </w:p>
        </w:tc>
        <w:tc>
          <w:tcPr>
            <w:tcW w:w="283" w:type="dxa"/>
            <w:shd w:val="clear" w:color="auto" w:fill="auto"/>
          </w:tcPr>
          <w:p w14:paraId="0D1C856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49995DE5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0FFB4027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Asthma, no. (%)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D8CD38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45A7E5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46F22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17C3B23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7D2A178F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1BB3F994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Aspirin sensitivity, no.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7A5F0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9BAB1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FE6EC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54EC028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4D09F224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52D6C854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Sex (male/female)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D01044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10/5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0CBAB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16/9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632F2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43/17</w:t>
            </w:r>
          </w:p>
        </w:tc>
        <w:tc>
          <w:tcPr>
            <w:tcW w:w="283" w:type="dxa"/>
            <w:shd w:val="clear" w:color="auto" w:fill="auto"/>
          </w:tcPr>
          <w:p w14:paraId="4413F77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75A41B3C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119B1B5C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NP endoscopic scores,</w:t>
            </w:r>
          </w:p>
          <w:p w14:paraId="06754874" w14:textId="6A99F607" w:rsidR="00A30681" w:rsidRPr="008668F1" w:rsidRDefault="00A80309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m</w:t>
            </w:r>
            <w:r w:rsidR="00A30681" w:rsidRPr="008668F1">
              <w:rPr>
                <w:b/>
                <w:color w:val="auto"/>
                <w:sz w:val="16"/>
                <w:szCs w:val="16"/>
              </w:rPr>
              <w:t>ean (SD)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694E2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E8EB7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9EFDC4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5·4 (1·42)</w:t>
            </w:r>
          </w:p>
        </w:tc>
        <w:tc>
          <w:tcPr>
            <w:tcW w:w="283" w:type="dxa"/>
            <w:shd w:val="clear" w:color="auto" w:fill="auto"/>
          </w:tcPr>
          <w:p w14:paraId="667A1C7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0F0F385F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33B5CA9A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CT scores, mean (SD)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2A4EE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21253E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7·28 (2·54)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9EA00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12·25 (4·98)</w:t>
            </w:r>
            <w:r w:rsidRPr="008668F1">
              <w:rPr>
                <w:color w:val="auto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83" w:type="dxa"/>
            <w:shd w:val="clear" w:color="auto" w:fill="auto"/>
          </w:tcPr>
          <w:p w14:paraId="4C6D1018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2FA9A335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55F24B35" w14:textId="5EEA8F06" w:rsidR="00A30681" w:rsidRPr="008668F1" w:rsidRDefault="00A30681" w:rsidP="00A80309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 xml:space="preserve">Total </w:t>
            </w:r>
            <w:proofErr w:type="spellStart"/>
            <w:r w:rsidRPr="008668F1">
              <w:rPr>
                <w:b/>
                <w:color w:val="auto"/>
                <w:sz w:val="16"/>
                <w:szCs w:val="16"/>
              </w:rPr>
              <w:t>IgE</w:t>
            </w:r>
            <w:proofErr w:type="spellEnd"/>
            <w:r w:rsidR="00A80309">
              <w:rPr>
                <w:b/>
                <w:color w:val="auto"/>
                <w:sz w:val="16"/>
                <w:szCs w:val="16"/>
              </w:rPr>
              <w:t xml:space="preserve"> </w:t>
            </w:r>
            <w:r w:rsidR="00A80309" w:rsidRPr="008668F1">
              <w:rPr>
                <w:b/>
                <w:color w:val="auto"/>
                <w:sz w:val="16"/>
                <w:szCs w:val="16"/>
              </w:rPr>
              <w:t>(IU/mL)</w:t>
            </w:r>
            <w:r w:rsidRPr="008668F1">
              <w:rPr>
                <w:b/>
                <w:color w:val="auto"/>
                <w:sz w:val="16"/>
                <w:szCs w:val="16"/>
              </w:rPr>
              <w:t xml:space="preserve">, mean (SD)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3C2105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11·9 (5·35)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CBA4D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76·05 (33·64)*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7EC444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85·72 (47·86)*</w:t>
            </w:r>
          </w:p>
        </w:tc>
        <w:tc>
          <w:tcPr>
            <w:tcW w:w="283" w:type="dxa"/>
            <w:shd w:val="clear" w:color="auto" w:fill="auto"/>
          </w:tcPr>
          <w:p w14:paraId="193C0C1E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37789A8F" w14:textId="77777777" w:rsidTr="001C1220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E6E699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Methodologies used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933D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B71BD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B40BA7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62FEBD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55F11562" w14:textId="77777777" w:rsidTr="001C1220">
        <w:trPr>
          <w:trHeight w:val="340"/>
        </w:trPr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28CE43E8" w14:textId="77777777" w:rsidR="00A30681" w:rsidRPr="008668F1" w:rsidRDefault="00A30681" w:rsidP="001C1220">
            <w:pPr>
              <w:spacing w:line="360" w:lineRule="auto"/>
              <w:ind w:firstLineChars="150" w:firstLine="241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Tissue IHC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0C0FDA9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5741E5B7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161677E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7703556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3BAE3007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1CCE21E7" w14:textId="77777777" w:rsidR="00A30681" w:rsidRPr="008668F1" w:rsidRDefault="00A30681" w:rsidP="001C1220">
            <w:pPr>
              <w:spacing w:line="360" w:lineRule="auto"/>
              <w:ind w:firstLineChars="150" w:firstLine="241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Tissue mRNA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75178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FD250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83A0B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283" w:type="dxa"/>
            <w:shd w:val="clear" w:color="auto" w:fill="auto"/>
          </w:tcPr>
          <w:p w14:paraId="42B8840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57CCEC5C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24753F75" w14:textId="77777777" w:rsidR="00A30681" w:rsidRPr="008668F1" w:rsidRDefault="00A30681" w:rsidP="001C1220">
            <w:pPr>
              <w:spacing w:line="360" w:lineRule="auto"/>
              <w:ind w:firstLineChars="150" w:firstLine="241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Flow cytometry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1026D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AF2747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829D7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5ADFD3C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465862D6" w14:textId="77777777" w:rsidTr="001C122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6B94688D" w14:textId="77777777" w:rsidR="00A30681" w:rsidRPr="008668F1" w:rsidRDefault="00A30681" w:rsidP="001C1220">
            <w:pPr>
              <w:spacing w:line="360" w:lineRule="auto"/>
              <w:ind w:firstLineChars="150" w:firstLine="241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 xml:space="preserve">Luminex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7BCEF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C01A1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B508C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83" w:type="dxa"/>
            <w:shd w:val="clear" w:color="auto" w:fill="auto"/>
          </w:tcPr>
          <w:p w14:paraId="0B1F2EF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47D487AE" w14:textId="77777777" w:rsidR="00A30681" w:rsidRPr="008668F1" w:rsidRDefault="00A30681" w:rsidP="00A30681">
      <w:pPr>
        <w:spacing w:line="360" w:lineRule="auto"/>
        <w:jc w:val="left"/>
        <w:rPr>
          <w:rFonts w:eastAsia="AdvPS_UVCL"/>
          <w:color w:val="auto"/>
          <w:sz w:val="20"/>
        </w:rPr>
      </w:pPr>
    </w:p>
    <w:p w14:paraId="21D49BF9" w14:textId="77777777" w:rsidR="00A30681" w:rsidRDefault="00A30681" w:rsidP="00A30681">
      <w:pPr>
        <w:autoSpaceDE w:val="0"/>
        <w:autoSpaceDN w:val="0"/>
        <w:adjustRightInd w:val="0"/>
        <w:spacing w:line="360" w:lineRule="auto"/>
        <w:rPr>
          <w:color w:val="auto"/>
          <w:sz w:val="16"/>
          <w:szCs w:val="16"/>
        </w:rPr>
      </w:pPr>
    </w:p>
    <w:p w14:paraId="3F65F32E" w14:textId="334CBBFD" w:rsidR="00A30681" w:rsidRPr="00FF7EAC" w:rsidRDefault="00A30681" w:rsidP="00A30681">
      <w:pPr>
        <w:autoSpaceDE w:val="0"/>
        <w:autoSpaceDN w:val="0"/>
        <w:adjustRightInd w:val="0"/>
        <w:spacing w:line="360" w:lineRule="auto"/>
        <w:rPr>
          <w:rFonts w:eastAsia="AdvPS_UVCL"/>
          <w:color w:val="auto"/>
          <w:sz w:val="20"/>
        </w:rPr>
      </w:pPr>
      <w:r w:rsidRPr="008668F1">
        <w:rPr>
          <w:color w:val="auto"/>
          <w:sz w:val="16"/>
          <w:szCs w:val="16"/>
        </w:rPr>
        <w:t xml:space="preserve">Definition of abbreviations: </w:t>
      </w:r>
      <w:proofErr w:type="spellStart"/>
      <w:r w:rsidRPr="008668F1">
        <w:rPr>
          <w:color w:val="auto"/>
          <w:sz w:val="16"/>
          <w:szCs w:val="16"/>
        </w:rPr>
        <w:t>CRSsNP</w:t>
      </w:r>
      <w:proofErr w:type="spellEnd"/>
      <w:r w:rsidRPr="008668F1">
        <w:rPr>
          <w:color w:val="auto"/>
          <w:sz w:val="16"/>
          <w:szCs w:val="16"/>
        </w:rPr>
        <w:t xml:space="preserve">, chronic </w:t>
      </w:r>
      <w:proofErr w:type="spellStart"/>
      <w:r w:rsidRPr="008668F1">
        <w:rPr>
          <w:color w:val="auto"/>
          <w:sz w:val="16"/>
          <w:szCs w:val="16"/>
        </w:rPr>
        <w:t>rhinosinusitis</w:t>
      </w:r>
      <w:proofErr w:type="spellEnd"/>
      <w:r w:rsidRPr="008668F1">
        <w:rPr>
          <w:color w:val="auto"/>
          <w:sz w:val="16"/>
          <w:szCs w:val="16"/>
        </w:rPr>
        <w:t xml:space="preserve"> without nasal polyps; </w:t>
      </w:r>
      <w:proofErr w:type="spellStart"/>
      <w:r w:rsidRPr="008668F1">
        <w:rPr>
          <w:color w:val="auto"/>
          <w:sz w:val="16"/>
          <w:szCs w:val="16"/>
        </w:rPr>
        <w:t>CRSwNP</w:t>
      </w:r>
      <w:proofErr w:type="spellEnd"/>
      <w:r w:rsidRPr="008668F1">
        <w:rPr>
          <w:color w:val="auto"/>
          <w:sz w:val="16"/>
          <w:szCs w:val="16"/>
        </w:rPr>
        <w:t xml:space="preserve">, chronic </w:t>
      </w:r>
      <w:proofErr w:type="spellStart"/>
      <w:r w:rsidRPr="008668F1">
        <w:rPr>
          <w:color w:val="auto"/>
          <w:sz w:val="16"/>
          <w:szCs w:val="16"/>
        </w:rPr>
        <w:t>rhinosinusitis</w:t>
      </w:r>
      <w:proofErr w:type="spellEnd"/>
      <w:r w:rsidRPr="008668F1">
        <w:rPr>
          <w:color w:val="auto"/>
          <w:sz w:val="16"/>
          <w:szCs w:val="16"/>
        </w:rPr>
        <w:t xml:space="preserve"> with nasal polyps; NP, nasal polyps; UP, uncinate process; N/A, not applicable. *</w:t>
      </w:r>
      <w:r w:rsidRPr="008668F1">
        <w:rPr>
          <w:iCs/>
          <w:color w:val="auto"/>
          <w:sz w:val="16"/>
          <w:szCs w:val="16"/>
        </w:rPr>
        <w:t>p</w:t>
      </w:r>
      <w:r w:rsidRPr="008668F1">
        <w:rPr>
          <w:color w:val="auto"/>
          <w:sz w:val="16"/>
          <w:szCs w:val="16"/>
        </w:rPr>
        <w:t xml:space="preserve">&lt;0·05, compared with control subjects. </w:t>
      </w:r>
      <w:r w:rsidRPr="008668F1">
        <w:rPr>
          <w:color w:val="auto"/>
          <w:sz w:val="16"/>
          <w:szCs w:val="16"/>
          <w:vertAlign w:val="superscript"/>
        </w:rPr>
        <w:t>#</w:t>
      </w:r>
      <w:r w:rsidRPr="008668F1">
        <w:rPr>
          <w:iCs/>
          <w:color w:val="auto"/>
          <w:sz w:val="16"/>
          <w:szCs w:val="16"/>
        </w:rPr>
        <w:t>p</w:t>
      </w:r>
      <w:r w:rsidRPr="008668F1">
        <w:rPr>
          <w:color w:val="auto"/>
          <w:sz w:val="16"/>
          <w:szCs w:val="16"/>
        </w:rPr>
        <w:t xml:space="preserve">&lt;0·05, compared with subjects with </w:t>
      </w:r>
      <w:proofErr w:type="spellStart"/>
      <w:r w:rsidRPr="008668F1">
        <w:rPr>
          <w:color w:val="auto"/>
          <w:sz w:val="16"/>
          <w:szCs w:val="16"/>
        </w:rPr>
        <w:t>CRSsNP</w:t>
      </w:r>
      <w:proofErr w:type="spellEnd"/>
      <w:r w:rsidRPr="008668F1">
        <w:rPr>
          <w:color w:val="auto"/>
          <w:sz w:val="16"/>
          <w:szCs w:val="16"/>
        </w:rPr>
        <w:t>.</w:t>
      </w:r>
    </w:p>
    <w:p w14:paraId="452F04CD" w14:textId="77777777" w:rsidR="00A30681" w:rsidRPr="008668F1" w:rsidRDefault="00A30681" w:rsidP="00A30681">
      <w:pPr>
        <w:autoSpaceDE w:val="0"/>
        <w:autoSpaceDN w:val="0"/>
        <w:adjustRightInd w:val="0"/>
        <w:spacing w:line="480" w:lineRule="auto"/>
        <w:rPr>
          <w:color w:val="auto"/>
        </w:rPr>
      </w:pPr>
    </w:p>
    <w:tbl>
      <w:tblPr>
        <w:tblpPr w:leftFromText="180" w:rightFromText="180" w:vertAnchor="page" w:horzAnchor="margin" w:tblpY="1750"/>
        <w:tblW w:w="8647" w:type="dxa"/>
        <w:tblLayout w:type="fixed"/>
        <w:tblLook w:val="04A0" w:firstRow="1" w:lastRow="0" w:firstColumn="1" w:lastColumn="0" w:noHBand="0" w:noVBand="1"/>
      </w:tblPr>
      <w:tblGrid>
        <w:gridCol w:w="675"/>
        <w:gridCol w:w="885"/>
        <w:gridCol w:w="567"/>
        <w:gridCol w:w="992"/>
        <w:gridCol w:w="850"/>
        <w:gridCol w:w="1418"/>
        <w:gridCol w:w="1417"/>
        <w:gridCol w:w="1843"/>
      </w:tblGrid>
      <w:tr w:rsidR="00A30681" w:rsidRPr="008668F1" w14:paraId="754BDEAC" w14:textId="77777777" w:rsidTr="001C1220">
        <w:trPr>
          <w:trHeight w:val="284"/>
        </w:trPr>
        <w:tc>
          <w:tcPr>
            <w:tcW w:w="8647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D80530" w14:textId="77777777" w:rsidR="00A30681" w:rsidRPr="008D7F0A" w:rsidRDefault="00A30681" w:rsidP="001C1220">
            <w:pPr>
              <w:spacing w:line="360" w:lineRule="auto"/>
              <w:rPr>
                <w:b/>
                <w:color w:val="auto"/>
                <w:sz w:val="21"/>
                <w:szCs w:val="21"/>
              </w:rPr>
            </w:pPr>
            <w:r w:rsidRPr="008D7F0A">
              <w:rPr>
                <w:b/>
                <w:color w:val="auto"/>
                <w:sz w:val="21"/>
                <w:szCs w:val="21"/>
              </w:rPr>
              <w:lastRenderedPageBreak/>
              <w:t xml:space="preserve">Table S3. </w:t>
            </w:r>
            <w:r>
              <w:rPr>
                <w:b/>
                <w:color w:val="auto"/>
                <w:sz w:val="21"/>
                <w:szCs w:val="21"/>
              </w:rPr>
              <w:t>I</w:t>
            </w:r>
            <w:r w:rsidRPr="008D7F0A">
              <w:rPr>
                <w:b/>
                <w:color w:val="auto"/>
                <w:sz w:val="21"/>
                <w:szCs w:val="21"/>
              </w:rPr>
              <w:t>nformation o</w:t>
            </w:r>
            <w:r>
              <w:rPr>
                <w:b/>
                <w:color w:val="auto"/>
                <w:sz w:val="21"/>
                <w:szCs w:val="21"/>
              </w:rPr>
              <w:t>n donors of</w:t>
            </w:r>
            <w:r w:rsidRPr="008D7F0A">
              <w:rPr>
                <w:b/>
                <w:color w:val="auto"/>
                <w:sz w:val="21"/>
                <w:szCs w:val="21"/>
              </w:rPr>
              <w:t xml:space="preserve"> human nasal epithelial cells used in this study</w:t>
            </w:r>
          </w:p>
        </w:tc>
      </w:tr>
      <w:tr w:rsidR="00A30681" w:rsidRPr="008668F1" w14:paraId="443301C3" w14:textId="77777777" w:rsidTr="001C1220">
        <w:trPr>
          <w:trHeight w:val="284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AA5D53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Code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CB2845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Age ( Y 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D4C74B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Sex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EE5532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Diagnosis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474DE8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Sample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84A91B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Smoking history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5832F8" w14:textId="77777777" w:rsidR="00A30681" w:rsidRPr="008668F1" w:rsidRDefault="00A30681" w:rsidP="001C1220">
            <w:pPr>
              <w:spacing w:line="36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Drug treatment</w:t>
            </w:r>
            <w:r w:rsidRPr="008668F1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A83CD9" w14:textId="77777777" w:rsidR="00A30681" w:rsidRPr="008668F1" w:rsidRDefault="00A30681" w:rsidP="001C1220">
            <w:pPr>
              <w:spacing w:line="360" w:lineRule="auto"/>
              <w:rPr>
                <w:b/>
                <w:color w:val="auto"/>
                <w:sz w:val="16"/>
                <w:szCs w:val="16"/>
              </w:rPr>
            </w:pPr>
            <w:r w:rsidRPr="008668F1">
              <w:rPr>
                <w:b/>
                <w:color w:val="auto"/>
                <w:sz w:val="16"/>
                <w:szCs w:val="16"/>
              </w:rPr>
              <w:t>Interventions</w:t>
            </w:r>
          </w:p>
        </w:tc>
      </w:tr>
      <w:tr w:rsidR="00A30681" w:rsidRPr="008668F1" w14:paraId="2FC7D8BA" w14:textId="77777777" w:rsidTr="001C1220">
        <w:trPr>
          <w:trHeight w:val="284"/>
        </w:trPr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D760C4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01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A8319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84625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BCE18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SD+AR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247D37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IT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E46EE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7FC8E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49DFE3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Infection with</w:t>
            </w:r>
          </w:p>
          <w:p w14:paraId="7F1EEF3D" w14:textId="730B2E38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influenza H3N2 virus (Aichi 2 strain), rhinovirus  (RV16 strain), and respiratory syncytial virus (A2 strain),</w:t>
            </w:r>
          </w:p>
          <w:p w14:paraId="60CCE707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and screening the concentrations and toxicity of IFN-α protein</w:t>
            </w:r>
          </w:p>
        </w:tc>
      </w:tr>
      <w:tr w:rsidR="00A30681" w:rsidRPr="008668F1" w14:paraId="3BDC081E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20D2219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02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85FD61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5966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71FD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SD+AR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E619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IT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1A9F4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F1CAE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shd w:val="clear" w:color="auto" w:fill="auto"/>
          </w:tcPr>
          <w:p w14:paraId="10021B3F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56D17D75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033044A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03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DC5DD9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36C95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988D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SD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036B7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IT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3F43B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4E0B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shd w:val="clear" w:color="auto" w:fill="auto"/>
          </w:tcPr>
          <w:p w14:paraId="32FE09FA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6F8D966B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3DC6CFD7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04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F2038E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2FE68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6C07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SD+AR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2333AE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IT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283D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096D4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shd w:val="clear" w:color="auto" w:fill="auto"/>
          </w:tcPr>
          <w:p w14:paraId="1FB14AC1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7D954F91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25D06B94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05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7BBC50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2D3E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8BC8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SD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679C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IT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EB0AEE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0F306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843" w:type="dxa"/>
            <w:vMerge/>
            <w:shd w:val="clear" w:color="auto" w:fill="auto"/>
          </w:tcPr>
          <w:p w14:paraId="46C1382F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1DD5FC47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641A6E7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06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50D217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91E88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5148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668F1">
              <w:rPr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910958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45D8EE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9FD76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843" w:type="dxa"/>
            <w:vMerge/>
            <w:shd w:val="clear" w:color="auto" w:fill="auto"/>
          </w:tcPr>
          <w:p w14:paraId="0518A747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45FD8256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353BED1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07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7032EC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71EB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29E8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668F1">
              <w:rPr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617D25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E44A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CB9E3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shd w:val="clear" w:color="auto" w:fill="auto"/>
          </w:tcPr>
          <w:p w14:paraId="4B8199FE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328AA505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297DE7A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08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E2C8CF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7D7E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1ED3E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668F1">
              <w:rPr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E472BF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6F087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A46D4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shd w:val="clear" w:color="auto" w:fill="auto"/>
          </w:tcPr>
          <w:p w14:paraId="28006760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683ED727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0BE96DD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09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526727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332D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392D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668F1">
              <w:rPr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1E434DE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CCF36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A3811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shd w:val="clear" w:color="auto" w:fill="auto"/>
          </w:tcPr>
          <w:p w14:paraId="429BA612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160DCF90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4DD0F278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10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3F2D6B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24CEC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D7205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668F1">
              <w:rPr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DAC1FD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4DE52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5CDA9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shd w:val="clear" w:color="auto" w:fill="auto"/>
          </w:tcPr>
          <w:p w14:paraId="073BA3F6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2284BE51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2AE08DD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11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3AD883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F27B4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3050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668F1">
              <w:rPr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4D5835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1C5C5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0EAD14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843" w:type="dxa"/>
            <w:vMerge/>
            <w:shd w:val="clear" w:color="auto" w:fill="auto"/>
          </w:tcPr>
          <w:p w14:paraId="4B129256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793CD496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5985F16E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12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28BF82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BDF4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1DBA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SD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053265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IT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6B2F85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0AF19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1843" w:type="dxa"/>
            <w:vMerge/>
            <w:shd w:val="clear" w:color="auto" w:fill="auto"/>
          </w:tcPr>
          <w:p w14:paraId="3EE1D889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06941C58" w14:textId="77777777" w:rsidTr="001C1220">
        <w:trPr>
          <w:trHeight w:val="284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47DA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13</w:t>
            </w:r>
          </w:p>
        </w:tc>
        <w:tc>
          <w:tcPr>
            <w:tcW w:w="8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5063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C8608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ECC2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SD+AR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9F385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IT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FED84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79D4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994260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33F24CD8" w14:textId="77777777" w:rsidTr="001C1220">
        <w:trPr>
          <w:trHeight w:val="284"/>
        </w:trPr>
        <w:tc>
          <w:tcPr>
            <w:tcW w:w="67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1009A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14</w:t>
            </w:r>
          </w:p>
        </w:tc>
        <w:tc>
          <w:tcPr>
            <w:tcW w:w="8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50040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B7FDE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935915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668F1">
              <w:rPr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CD6B3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9829F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C8E35D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16B4DF96" w14:textId="77777777" w:rsidR="00A30681" w:rsidRPr="008668F1" w:rsidRDefault="00A30681" w:rsidP="001C1220">
            <w:pPr>
              <w:spacing w:line="360" w:lineRule="auto"/>
              <w:jc w:val="left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Pretreatment with IFN-</w:t>
            </w:r>
            <w:r w:rsidRPr="008668F1">
              <w:rPr>
                <w:rFonts w:eastAsia="SimSun"/>
                <w:color w:val="auto"/>
                <w:sz w:val="16"/>
                <w:szCs w:val="16"/>
              </w:rPr>
              <w:t>α</w:t>
            </w:r>
            <w:r w:rsidRPr="008668F1">
              <w:rPr>
                <w:color w:val="auto"/>
                <w:sz w:val="16"/>
                <w:szCs w:val="16"/>
              </w:rPr>
              <w:t xml:space="preserve"> and infection with influenza H3N2 virus (Aichi 2 strain)</w:t>
            </w:r>
          </w:p>
        </w:tc>
      </w:tr>
      <w:tr w:rsidR="00A30681" w:rsidRPr="008668F1" w14:paraId="7EE76EB8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717ABBA7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15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C7DF6E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67BF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DE64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668F1">
              <w:rPr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3F90DB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8EDA3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55B86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shd w:val="clear" w:color="auto" w:fill="auto"/>
          </w:tcPr>
          <w:p w14:paraId="1E8F6A22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2F5C86D3" w14:textId="77777777" w:rsidTr="001C1220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14:paraId="0F8F76EB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16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DD1C268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BC9A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2E1A9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668F1">
              <w:rPr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B67BE67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003D1F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5C7F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shd w:val="clear" w:color="auto" w:fill="auto"/>
          </w:tcPr>
          <w:p w14:paraId="64446827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30681" w:rsidRPr="008668F1" w14:paraId="138C00A0" w14:textId="77777777" w:rsidTr="001C1220">
        <w:trPr>
          <w:trHeight w:val="284"/>
        </w:trPr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AD114A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H 17</w:t>
            </w:r>
          </w:p>
        </w:tc>
        <w:tc>
          <w:tcPr>
            <w:tcW w:w="8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7D060C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5DBCC0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1EC2AD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668F1">
              <w:rPr>
                <w:color w:val="auto"/>
                <w:sz w:val="16"/>
                <w:szCs w:val="16"/>
              </w:rPr>
              <w:t>CRSwNP</w:t>
            </w:r>
            <w:proofErr w:type="spellEnd"/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1F5823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NP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852921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Non-smoker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87BED6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668F1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0B10EA8" w14:textId="77777777" w:rsidR="00A30681" w:rsidRPr="008668F1" w:rsidRDefault="00A30681" w:rsidP="001C1220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7D00B970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478F95E7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616DA30F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3A823AE2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44F1F965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2B28ED33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655C70DC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2D6C1841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28601456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5286217E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1BC9B455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413A78BB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738C7960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38386154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5935F7A1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24ED34AF" w14:textId="77777777" w:rsidR="00A30681" w:rsidRDefault="00A30681" w:rsidP="00A30681">
      <w:pPr>
        <w:pStyle w:val="MDPI13authornames"/>
        <w:rPr>
          <w:color w:val="auto"/>
          <w:sz w:val="16"/>
          <w:szCs w:val="16"/>
        </w:rPr>
      </w:pPr>
    </w:p>
    <w:p w14:paraId="10BC68BD" w14:textId="2B2A9891" w:rsidR="004A2091" w:rsidRPr="00580216" w:rsidRDefault="00A30681" w:rsidP="00A30681">
      <w:pPr>
        <w:pStyle w:val="MDPI13authornames"/>
        <w:rPr>
          <w:b w:val="0"/>
          <w:color w:val="auto"/>
          <w:szCs w:val="24"/>
        </w:rPr>
      </w:pPr>
      <w:r w:rsidRPr="008668F1">
        <w:rPr>
          <w:color w:val="auto"/>
          <w:sz w:val="16"/>
          <w:szCs w:val="16"/>
        </w:rPr>
        <w:t xml:space="preserve">Y, years; F, female; M, male; AR, allergic rhinitis; IT, inferior turbinate; SD, septal deviation; NP, nasal polyp; </w:t>
      </w:r>
      <w:proofErr w:type="spellStart"/>
      <w:r w:rsidRPr="008668F1">
        <w:rPr>
          <w:color w:val="auto"/>
          <w:sz w:val="16"/>
          <w:szCs w:val="16"/>
        </w:rPr>
        <w:t>CRSwNP</w:t>
      </w:r>
      <w:proofErr w:type="spellEnd"/>
      <w:r w:rsidRPr="008668F1">
        <w:rPr>
          <w:color w:val="auto"/>
          <w:sz w:val="16"/>
          <w:szCs w:val="16"/>
        </w:rPr>
        <w:t xml:space="preserve">, Chronic </w:t>
      </w:r>
      <w:proofErr w:type="spellStart"/>
      <w:r w:rsidRPr="008668F1">
        <w:rPr>
          <w:color w:val="auto"/>
          <w:sz w:val="16"/>
          <w:szCs w:val="16"/>
        </w:rPr>
        <w:t>rhinosinusitis</w:t>
      </w:r>
      <w:proofErr w:type="spellEnd"/>
      <w:r w:rsidRPr="008668F1">
        <w:rPr>
          <w:color w:val="auto"/>
          <w:sz w:val="16"/>
          <w:szCs w:val="16"/>
        </w:rPr>
        <w:t xml:space="preserve"> with nasal polyps. *Corticosteroids and/or antibiotics within 3 months before surgery.</w:t>
      </w:r>
    </w:p>
    <w:sectPr w:rsidR="004A2091" w:rsidRPr="00580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PS_UVCL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91"/>
    <w:rsid w:val="003466EB"/>
    <w:rsid w:val="004A2091"/>
    <w:rsid w:val="00882451"/>
    <w:rsid w:val="008D6F8C"/>
    <w:rsid w:val="0093675A"/>
    <w:rsid w:val="00A30681"/>
    <w:rsid w:val="00A80309"/>
    <w:rsid w:val="00A970C2"/>
    <w:rsid w:val="00C5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9005C85"/>
  <w15:chartTrackingRefBased/>
  <w15:docId w15:val="{03142200-CBD3-4A85-BE5D-4503FFFF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091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3authornames">
    <w:name w:val="MDPI_1.3_authornames"/>
    <w:basedOn w:val="Normal"/>
    <w:next w:val="Normal"/>
    <w:qFormat/>
    <w:rsid w:val="00A30681"/>
    <w:pPr>
      <w:adjustRightInd w:val="0"/>
      <w:snapToGrid w:val="0"/>
      <w:spacing w:after="120" w:line="260" w:lineRule="atLeast"/>
      <w:jc w:val="left"/>
    </w:pPr>
    <w:rPr>
      <w:rFonts w:ascii="Palatino Linotype" w:hAnsi="Palatino Linotype"/>
      <w:b/>
      <w:sz w:val="20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Sen Tan</dc:creator>
  <cp:keywords/>
  <dc:description/>
  <cp:lastModifiedBy>Vincent T. K. Chow (Microbiology)</cp:lastModifiedBy>
  <cp:revision>3</cp:revision>
  <dcterms:created xsi:type="dcterms:W3CDTF">2021-05-24T16:20:00Z</dcterms:created>
  <dcterms:modified xsi:type="dcterms:W3CDTF">2021-05-25T10:14:00Z</dcterms:modified>
</cp:coreProperties>
</file>