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D8D5" w14:textId="77777777" w:rsidR="00CC30A9" w:rsidRPr="00785DCF" w:rsidRDefault="00687415">
      <w:pPr>
        <w:autoSpaceDE w:val="0"/>
        <w:spacing w:line="360" w:lineRule="auto"/>
        <w:rPr>
          <w:szCs w:val="21"/>
        </w:rPr>
      </w:pPr>
      <w:r w:rsidRPr="00785DCF">
        <w:rPr>
          <w:b/>
          <w:bCs/>
          <w:szCs w:val="21"/>
        </w:rPr>
        <w:t>Appendix Table 1</w:t>
      </w:r>
      <w:r w:rsidRPr="00785DCF">
        <w:rPr>
          <w:szCs w:val="21"/>
        </w:rPr>
        <w:t>: Definition of the relevant indicators requiring judgment by the clinicians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4"/>
        <w:gridCol w:w="6216"/>
      </w:tblGrid>
      <w:tr w:rsidR="00CC30A9" w:rsidRPr="00785DCF" w14:paraId="04EE2B6E" w14:textId="77777777">
        <w:trPr>
          <w:trHeight w:val="594"/>
          <w:jc w:val="center"/>
        </w:trPr>
        <w:tc>
          <w:tcPr>
            <w:tcW w:w="27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EC2BAF" w14:textId="77777777" w:rsidR="00CC30A9" w:rsidRPr="00785DCF" w:rsidRDefault="00687415">
            <w:pPr>
              <w:rPr>
                <w:szCs w:val="21"/>
              </w:rPr>
            </w:pPr>
            <w:r w:rsidRPr="00785DCF">
              <w:rPr>
                <w:b/>
                <w:bCs/>
                <w:szCs w:val="21"/>
              </w:rPr>
              <w:t xml:space="preserve"> </w:t>
            </w:r>
            <w:r w:rsidRPr="00785DCF">
              <w:rPr>
                <w:szCs w:val="21"/>
              </w:rPr>
              <w:t>Indicators</w:t>
            </w:r>
          </w:p>
        </w:tc>
        <w:tc>
          <w:tcPr>
            <w:tcW w:w="6216" w:type="dxa"/>
            <w:vAlign w:val="center"/>
          </w:tcPr>
          <w:p w14:paraId="2354BD48" w14:textId="77777777" w:rsidR="00CC30A9" w:rsidRPr="00785DCF" w:rsidRDefault="00687415">
            <w:pPr>
              <w:rPr>
                <w:szCs w:val="21"/>
              </w:rPr>
            </w:pPr>
            <w:r w:rsidRPr="00785DCF">
              <w:rPr>
                <w:szCs w:val="21"/>
              </w:rPr>
              <w:t>The detailed definition</w:t>
            </w:r>
          </w:p>
        </w:tc>
      </w:tr>
      <w:tr w:rsidR="00CC30A9" w:rsidRPr="00785DCF" w14:paraId="75C2DE92" w14:textId="77777777">
        <w:trPr>
          <w:trHeight w:hRule="exact" w:val="1629"/>
          <w:jc w:val="center"/>
        </w:trPr>
        <w:tc>
          <w:tcPr>
            <w:tcW w:w="27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04DE3F" w14:textId="77777777" w:rsidR="00CC30A9" w:rsidRPr="00785DCF" w:rsidRDefault="00687415">
            <w:pPr>
              <w:rPr>
                <w:szCs w:val="21"/>
              </w:rPr>
            </w:pPr>
            <w:r w:rsidRPr="00785DCF">
              <w:rPr>
                <w:szCs w:val="21"/>
              </w:rPr>
              <w:t>Invasion/involvement of the vessels by naked eyes</w:t>
            </w:r>
          </w:p>
        </w:tc>
        <w:tc>
          <w:tcPr>
            <w:tcW w:w="6216" w:type="dxa"/>
            <w:vAlign w:val="center"/>
          </w:tcPr>
          <w:p w14:paraId="15CEF513" w14:textId="77777777" w:rsidR="00CC30A9" w:rsidRPr="00785DCF" w:rsidRDefault="00687415">
            <w:pPr>
              <w:rPr>
                <w:szCs w:val="21"/>
              </w:rPr>
            </w:pPr>
            <w:r w:rsidRPr="00785DCF">
              <w:rPr>
                <w:szCs w:val="21"/>
              </w:rPr>
              <w:t xml:space="preserve">The tumor close to the blood vessels under surgical exploration; Intra-operative placement of titanium clips; Intra-operative repair of the blood vessels </w:t>
            </w:r>
            <w:proofErr w:type="gramStart"/>
            <w:r w:rsidRPr="00785DCF">
              <w:rPr>
                <w:szCs w:val="21"/>
              </w:rPr>
              <w:t>close</w:t>
            </w:r>
            <w:proofErr w:type="gramEnd"/>
            <w:r w:rsidRPr="00785DCF">
              <w:rPr>
                <w:szCs w:val="21"/>
              </w:rPr>
              <w:t xml:space="preserve"> to the tumor. The major vessels were defined as the hepatic artery, portal vein and the trunk of the first branch of the hepatic vein.</w:t>
            </w:r>
          </w:p>
          <w:p w14:paraId="3F9C99BE" w14:textId="77777777" w:rsidR="00CC30A9" w:rsidRPr="00785DCF" w:rsidRDefault="00CC30A9">
            <w:pPr>
              <w:rPr>
                <w:szCs w:val="21"/>
              </w:rPr>
            </w:pPr>
          </w:p>
        </w:tc>
      </w:tr>
      <w:tr w:rsidR="00CC30A9" w:rsidRPr="00785DCF" w14:paraId="2F59209C" w14:textId="77777777" w:rsidTr="00687415">
        <w:trPr>
          <w:trHeight w:hRule="exact" w:val="3438"/>
          <w:jc w:val="center"/>
        </w:trPr>
        <w:tc>
          <w:tcPr>
            <w:tcW w:w="27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E16AFE" w14:textId="77777777" w:rsidR="00CC30A9" w:rsidRPr="00785DCF" w:rsidRDefault="00687415">
            <w:pPr>
              <w:rPr>
                <w:szCs w:val="21"/>
              </w:rPr>
            </w:pPr>
            <w:r w:rsidRPr="00785DCF">
              <w:rPr>
                <w:szCs w:val="21"/>
              </w:rPr>
              <w:t>Portal hypertension</w:t>
            </w:r>
          </w:p>
        </w:tc>
        <w:tc>
          <w:tcPr>
            <w:tcW w:w="6216" w:type="dxa"/>
            <w:vAlign w:val="center"/>
          </w:tcPr>
          <w:p w14:paraId="15D2781B" w14:textId="7304099C" w:rsidR="00CC30A9" w:rsidRPr="00785DCF" w:rsidRDefault="00687415">
            <w:pPr>
              <w:jc w:val="left"/>
              <w:rPr>
                <w:szCs w:val="21"/>
              </w:rPr>
            </w:pPr>
            <w:r w:rsidRPr="00785DCF">
              <w:rPr>
                <w:rFonts w:hint="eastAsia"/>
                <w:szCs w:val="21"/>
              </w:rPr>
              <w:t xml:space="preserve">1: </w:t>
            </w:r>
            <w:r w:rsidRPr="00785DCF">
              <w:rPr>
                <w:szCs w:val="21"/>
              </w:rPr>
              <w:t>The imaging findings suggesting of the splenomegaly/fundamental esophageal varices</w:t>
            </w:r>
            <w:r w:rsidRPr="00785DCF">
              <w:rPr>
                <w:rFonts w:hint="eastAsia"/>
                <w:szCs w:val="21"/>
              </w:rPr>
              <w:t xml:space="preserve"> (For example, the portal vein </w:t>
            </w:r>
            <w:proofErr w:type="spellStart"/>
            <w:proofErr w:type="gramStart"/>
            <w:r w:rsidRPr="00785DCF">
              <w:rPr>
                <w:rFonts w:hint="eastAsia"/>
                <w:szCs w:val="21"/>
              </w:rPr>
              <w:t>widened,CT</w:t>
            </w:r>
            <w:proofErr w:type="spellEnd"/>
            <w:proofErr w:type="gramEnd"/>
            <w:r w:rsidRPr="00785DCF">
              <w:rPr>
                <w:rFonts w:hint="eastAsia"/>
                <w:szCs w:val="21"/>
              </w:rPr>
              <w:t xml:space="preserve"> cross-sectional examination revealed that the spleen was enlarged by more than 5 rib units)</w:t>
            </w:r>
            <w:r w:rsidRPr="00785DCF">
              <w:rPr>
                <w:szCs w:val="21"/>
              </w:rPr>
              <w:t>;</w:t>
            </w:r>
          </w:p>
          <w:p w14:paraId="46565184" w14:textId="77777777" w:rsidR="00CC30A9" w:rsidRPr="00785DCF" w:rsidRDefault="00687415">
            <w:pPr>
              <w:jc w:val="left"/>
              <w:rPr>
                <w:szCs w:val="21"/>
              </w:rPr>
            </w:pPr>
            <w:proofErr w:type="gramStart"/>
            <w:r w:rsidRPr="00785DCF">
              <w:rPr>
                <w:rFonts w:hint="eastAsia"/>
                <w:szCs w:val="21"/>
              </w:rPr>
              <w:t>2:</w:t>
            </w:r>
            <w:r w:rsidRPr="00785DCF">
              <w:rPr>
                <w:szCs w:val="21"/>
              </w:rPr>
              <w:t>Fundic</w:t>
            </w:r>
            <w:proofErr w:type="gramEnd"/>
            <w:r w:rsidRPr="00785DCF">
              <w:rPr>
                <w:szCs w:val="21"/>
              </w:rPr>
              <w:t xml:space="preserve"> esophageal varices found by the preoperative gastroscopy</w:t>
            </w:r>
            <w:r w:rsidRPr="00785DCF">
              <w:rPr>
                <w:rFonts w:hint="eastAsia"/>
                <w:szCs w:val="21"/>
              </w:rPr>
              <w:t>;</w:t>
            </w:r>
          </w:p>
          <w:p w14:paraId="78820725" w14:textId="77777777" w:rsidR="00CC30A9" w:rsidRPr="00785DCF" w:rsidRDefault="00687415">
            <w:pPr>
              <w:jc w:val="both"/>
              <w:rPr>
                <w:szCs w:val="21"/>
              </w:rPr>
            </w:pPr>
            <w:proofErr w:type="gramStart"/>
            <w:r w:rsidRPr="00785DCF">
              <w:rPr>
                <w:rFonts w:hint="eastAsia"/>
                <w:szCs w:val="21"/>
              </w:rPr>
              <w:t>3:</w:t>
            </w:r>
            <w:r w:rsidRPr="00785DCF">
              <w:rPr>
                <w:szCs w:val="21"/>
              </w:rPr>
              <w:t>Negative</w:t>
            </w:r>
            <w:proofErr w:type="gramEnd"/>
            <w:r w:rsidRPr="00785DCF">
              <w:rPr>
                <w:szCs w:val="21"/>
              </w:rPr>
              <w:t xml:space="preserve"> exclusion of at least 2 preoperative imaging examinations, and one of which was the ultrasonography; </w:t>
            </w:r>
          </w:p>
        </w:tc>
      </w:tr>
      <w:tr w:rsidR="00CC30A9" w:rsidRPr="00785DCF" w14:paraId="79403FCA" w14:textId="77777777">
        <w:trPr>
          <w:trHeight w:hRule="exact" w:val="1311"/>
          <w:jc w:val="center"/>
        </w:trPr>
        <w:tc>
          <w:tcPr>
            <w:tcW w:w="27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44D86B" w14:textId="77777777" w:rsidR="00CC30A9" w:rsidRPr="00785DCF" w:rsidRDefault="00687415">
            <w:pPr>
              <w:rPr>
                <w:szCs w:val="21"/>
              </w:rPr>
            </w:pPr>
            <w:r w:rsidRPr="00785DCF">
              <w:rPr>
                <w:szCs w:val="21"/>
              </w:rPr>
              <w:t>The definition of diaphragm invasion</w:t>
            </w:r>
          </w:p>
        </w:tc>
        <w:tc>
          <w:tcPr>
            <w:tcW w:w="6216" w:type="dxa"/>
            <w:vAlign w:val="center"/>
          </w:tcPr>
          <w:p w14:paraId="312F28E2" w14:textId="77777777" w:rsidR="00CC30A9" w:rsidRPr="00785DCF" w:rsidRDefault="00687415">
            <w:pPr>
              <w:rPr>
                <w:szCs w:val="21"/>
              </w:rPr>
            </w:pPr>
            <w:r w:rsidRPr="00785DCF">
              <w:rPr>
                <w:szCs w:val="21"/>
              </w:rPr>
              <w:t>The involvement of the diaphragm was judged according to the intra-operative exploration and surgical records; The repairing of the diaphragm was defined as a diaphragm invasion.</w:t>
            </w:r>
          </w:p>
        </w:tc>
      </w:tr>
      <w:tr w:rsidR="00CC30A9" w:rsidRPr="00785DCF" w14:paraId="78E0CAB6" w14:textId="77777777">
        <w:trPr>
          <w:trHeight w:hRule="exact" w:val="995"/>
          <w:jc w:val="center"/>
        </w:trPr>
        <w:tc>
          <w:tcPr>
            <w:tcW w:w="27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DC127C" w14:textId="77777777" w:rsidR="00CC30A9" w:rsidRPr="00785DCF" w:rsidRDefault="00687415">
            <w:pPr>
              <w:rPr>
                <w:szCs w:val="21"/>
              </w:rPr>
            </w:pPr>
            <w:r w:rsidRPr="00785DCF">
              <w:rPr>
                <w:szCs w:val="21"/>
              </w:rPr>
              <w:t>Preoperative tumor rupture</w:t>
            </w:r>
          </w:p>
        </w:tc>
        <w:tc>
          <w:tcPr>
            <w:tcW w:w="6216" w:type="dxa"/>
            <w:vAlign w:val="center"/>
          </w:tcPr>
          <w:p w14:paraId="05BDDA52" w14:textId="77777777" w:rsidR="00CC30A9" w:rsidRPr="00785DCF" w:rsidRDefault="00687415">
            <w:pPr>
              <w:rPr>
                <w:szCs w:val="21"/>
              </w:rPr>
            </w:pPr>
            <w:r w:rsidRPr="00785DCF">
              <w:rPr>
                <w:szCs w:val="21"/>
              </w:rPr>
              <w:t>The existence of the previous hemorrhage in the abdominal cavity during the intra-operative exploration; The admission records /Current history.</w:t>
            </w:r>
          </w:p>
          <w:p w14:paraId="5F6D22E6" w14:textId="77777777" w:rsidR="00CC30A9" w:rsidRPr="00785DCF" w:rsidRDefault="00CC30A9">
            <w:pPr>
              <w:rPr>
                <w:szCs w:val="21"/>
              </w:rPr>
            </w:pPr>
          </w:p>
        </w:tc>
      </w:tr>
      <w:tr w:rsidR="00CC30A9" w:rsidRPr="00785DCF" w14:paraId="1B517155" w14:textId="77777777">
        <w:trPr>
          <w:trHeight w:hRule="exact" w:val="940"/>
          <w:jc w:val="center"/>
        </w:trPr>
        <w:tc>
          <w:tcPr>
            <w:tcW w:w="27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CD9D4E" w14:textId="77777777" w:rsidR="00CC30A9" w:rsidRPr="00785DCF" w:rsidRDefault="00687415">
            <w:pPr>
              <w:rPr>
                <w:szCs w:val="21"/>
              </w:rPr>
            </w:pPr>
            <w:r w:rsidRPr="00785DCF">
              <w:rPr>
                <w:szCs w:val="21"/>
              </w:rPr>
              <w:t>The results of the preoperative hematological tests</w:t>
            </w:r>
          </w:p>
        </w:tc>
        <w:tc>
          <w:tcPr>
            <w:tcW w:w="6216" w:type="dxa"/>
            <w:vAlign w:val="center"/>
          </w:tcPr>
          <w:p w14:paraId="0518967A" w14:textId="77777777" w:rsidR="00CC30A9" w:rsidRPr="00785DCF" w:rsidRDefault="00687415">
            <w:pPr>
              <w:rPr>
                <w:szCs w:val="21"/>
              </w:rPr>
            </w:pPr>
            <w:r w:rsidRPr="00785DCF">
              <w:rPr>
                <w:szCs w:val="21"/>
              </w:rPr>
              <w:t xml:space="preserve">The most recent preoperative hematological </w:t>
            </w:r>
            <w:proofErr w:type="gramStart"/>
            <w:r w:rsidRPr="00785DCF">
              <w:rPr>
                <w:szCs w:val="21"/>
              </w:rPr>
              <w:t>results;</w:t>
            </w:r>
            <w:proofErr w:type="gramEnd"/>
            <w:r w:rsidRPr="00785DCF">
              <w:rPr>
                <w:szCs w:val="21"/>
              </w:rPr>
              <w:t xml:space="preserve"> All results were within 1 month before the surgery.</w:t>
            </w:r>
          </w:p>
        </w:tc>
      </w:tr>
      <w:tr w:rsidR="00CC30A9" w:rsidRPr="00785DCF" w14:paraId="046095AD" w14:textId="77777777">
        <w:trPr>
          <w:trHeight w:hRule="exact" w:val="1083"/>
          <w:jc w:val="center"/>
        </w:trPr>
        <w:tc>
          <w:tcPr>
            <w:tcW w:w="27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758766" w14:textId="77777777" w:rsidR="00CC30A9" w:rsidRPr="00785DCF" w:rsidRDefault="00687415">
            <w:pPr>
              <w:rPr>
                <w:szCs w:val="21"/>
              </w:rPr>
            </w:pPr>
            <w:r w:rsidRPr="00785DCF">
              <w:rPr>
                <w:szCs w:val="21"/>
              </w:rPr>
              <w:t>Body height and body weight</w:t>
            </w:r>
          </w:p>
        </w:tc>
        <w:tc>
          <w:tcPr>
            <w:tcW w:w="6216" w:type="dxa"/>
            <w:vAlign w:val="center"/>
          </w:tcPr>
          <w:p w14:paraId="1DD80C67" w14:textId="77777777" w:rsidR="00CC30A9" w:rsidRPr="00785DCF" w:rsidRDefault="00687415">
            <w:pPr>
              <w:rPr>
                <w:szCs w:val="21"/>
              </w:rPr>
            </w:pPr>
            <w:r w:rsidRPr="00785DCF">
              <w:rPr>
                <w:szCs w:val="21"/>
              </w:rPr>
              <w:t>Those recorded on the temperature sheet on the first day of admission; In case of lack of the temperature sheet, then referring to the anesthesia sheet.</w:t>
            </w:r>
          </w:p>
        </w:tc>
      </w:tr>
      <w:tr w:rsidR="00CC30A9" w:rsidRPr="00785DCF" w14:paraId="0C90DBB8" w14:textId="77777777">
        <w:trPr>
          <w:trHeight w:hRule="exact" w:val="1606"/>
          <w:jc w:val="center"/>
        </w:trPr>
        <w:tc>
          <w:tcPr>
            <w:tcW w:w="27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5AC18D" w14:textId="77777777" w:rsidR="00CC30A9" w:rsidRPr="00785DCF" w:rsidRDefault="00687415">
            <w:pPr>
              <w:rPr>
                <w:szCs w:val="21"/>
              </w:rPr>
            </w:pPr>
            <w:r w:rsidRPr="00785DCF">
              <w:rPr>
                <w:szCs w:val="21"/>
              </w:rPr>
              <w:t xml:space="preserve">The postoperative adjuvant therapy </w:t>
            </w:r>
          </w:p>
        </w:tc>
        <w:tc>
          <w:tcPr>
            <w:tcW w:w="6216" w:type="dxa"/>
            <w:vAlign w:val="center"/>
          </w:tcPr>
          <w:p w14:paraId="1CBFFE70" w14:textId="77777777" w:rsidR="00CC30A9" w:rsidRPr="00785DCF" w:rsidRDefault="00687415">
            <w:pPr>
              <w:rPr>
                <w:szCs w:val="21"/>
              </w:rPr>
            </w:pPr>
            <w:r w:rsidRPr="00785DCF">
              <w:rPr>
                <w:szCs w:val="21"/>
              </w:rPr>
              <w:t xml:space="preserve">In principle, the postoperative adjuvant therapy was provided within 3 months after the surgery, up to a maximum of 6 months, if the adjuvant therapy was performed more than 6 months postoperatively, it should be considered to be the case of recurrence. </w:t>
            </w:r>
          </w:p>
        </w:tc>
      </w:tr>
      <w:tr w:rsidR="00CC30A9" w:rsidRPr="00785DCF" w14:paraId="11F6AB91" w14:textId="77777777">
        <w:trPr>
          <w:trHeight w:hRule="exact" w:val="567"/>
          <w:jc w:val="center"/>
        </w:trPr>
        <w:tc>
          <w:tcPr>
            <w:tcW w:w="27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49CAD5" w14:textId="77777777" w:rsidR="00CC30A9" w:rsidRPr="00785DCF" w:rsidRDefault="00687415">
            <w:pPr>
              <w:rPr>
                <w:szCs w:val="21"/>
              </w:rPr>
            </w:pPr>
            <w:r w:rsidRPr="00785DCF">
              <w:rPr>
                <w:szCs w:val="21"/>
              </w:rPr>
              <w:t>Preoperative therapy</w:t>
            </w:r>
          </w:p>
        </w:tc>
        <w:tc>
          <w:tcPr>
            <w:tcW w:w="6216" w:type="dxa"/>
            <w:vAlign w:val="center"/>
          </w:tcPr>
          <w:p w14:paraId="25F70E92" w14:textId="77777777" w:rsidR="00CC30A9" w:rsidRPr="00785DCF" w:rsidRDefault="00687415">
            <w:pPr>
              <w:rPr>
                <w:szCs w:val="21"/>
              </w:rPr>
            </w:pPr>
            <w:r w:rsidRPr="00785DCF">
              <w:rPr>
                <w:szCs w:val="21"/>
              </w:rPr>
              <w:t>The treatments were conducted before the finding of the tumor.</w:t>
            </w:r>
          </w:p>
        </w:tc>
      </w:tr>
    </w:tbl>
    <w:p w14:paraId="3F2099D1" w14:textId="77777777" w:rsidR="00CC30A9" w:rsidRPr="00785DCF" w:rsidRDefault="00CC30A9">
      <w:pPr>
        <w:spacing w:line="360" w:lineRule="auto"/>
        <w:rPr>
          <w:b/>
          <w:bCs/>
          <w:szCs w:val="21"/>
        </w:rPr>
      </w:pPr>
    </w:p>
    <w:p w14:paraId="60B9ACFB" w14:textId="77777777" w:rsidR="00CC30A9" w:rsidRPr="00785DCF" w:rsidRDefault="00CC30A9">
      <w:pPr>
        <w:jc w:val="both"/>
      </w:pPr>
    </w:p>
    <w:sectPr w:rsidR="00CC30A9" w:rsidRPr="00785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39746AA1-1A3C-4242-BAD9-D76309AB0407}"/>
    <w:docVar w:name="KY_MEDREF_VERSION" w:val="3"/>
  </w:docVars>
  <w:rsids>
    <w:rsidRoot w:val="00CC30A9"/>
    <w:rsid w:val="00687415"/>
    <w:rsid w:val="00785DCF"/>
    <w:rsid w:val="00CC30A9"/>
    <w:rsid w:val="011D359E"/>
    <w:rsid w:val="06D32AC1"/>
    <w:rsid w:val="4AC15D76"/>
    <w:rsid w:val="50051BC5"/>
    <w:rsid w:val="62021CAD"/>
    <w:rsid w:val="6E916733"/>
    <w:rsid w:val="7E4A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C67A1"/>
  <w15:docId w15:val="{69CC7B7E-E874-BC45-8A31-6BD57980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center"/>
    </w:pPr>
    <w:rPr>
      <w:kern w:val="2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a">
    <w:name w:val="正文右对齐"/>
    <w:basedOn w:val="Normal"/>
    <w:qFormat/>
    <w:pPr>
      <w:jc w:val="right"/>
    </w:pPr>
    <w:rPr>
      <w:rFonts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Patel, Sonam Kajal</cp:lastModifiedBy>
  <cp:revision>3</cp:revision>
  <dcterms:created xsi:type="dcterms:W3CDTF">2014-10-29T12:08:00Z</dcterms:created>
  <dcterms:modified xsi:type="dcterms:W3CDTF">2021-04-12T22:23:00Z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76854F1E120345A4ACF33B652172AEC7</vt:lpwstr>
  </property>
</Properties>
</file>