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A3" w:rsidRPr="002A0497" w:rsidRDefault="00064EA3">
      <w:pPr>
        <w:spacing w:line="240" w:lineRule="auto"/>
        <w:rPr>
          <w:rFonts w:cs="Arial"/>
          <w:b/>
          <w:bCs/>
          <w:color w:val="000000"/>
        </w:rPr>
      </w:pPr>
    </w:p>
    <w:p w:rsidR="00145824" w:rsidRPr="002A0497" w:rsidRDefault="00145824" w:rsidP="00145824">
      <w:pPr>
        <w:rPr>
          <w:rFonts w:ascii="Lucida Console" w:hAnsi="Lucida Console"/>
          <w:b/>
          <w:color w:val="000000"/>
          <w:szCs w:val="20"/>
        </w:rPr>
      </w:pPr>
      <w:r w:rsidRPr="002A0497">
        <w:rPr>
          <w:rFonts w:cs="Arial"/>
          <w:b/>
          <w:bCs/>
          <w:color w:val="000000"/>
        </w:rPr>
        <w:t>Table S1</w:t>
      </w:r>
      <w:r w:rsidRPr="002A0497">
        <w:rPr>
          <w:rFonts w:ascii="Lucida Console" w:hAnsi="Lucida Console"/>
          <w:b/>
          <w:color w:val="000000"/>
          <w:szCs w:val="20"/>
        </w:rPr>
        <w:t xml:space="preserve"> </w:t>
      </w:r>
      <w:r w:rsidRPr="002A0497">
        <w:rPr>
          <w:color w:val="000000"/>
        </w:rPr>
        <w:t xml:space="preserve">Results of the fixed effects of the mixed linear regression exploring </w:t>
      </w:r>
      <w:r w:rsidR="00FB3DCF" w:rsidRPr="002A0497">
        <w:rPr>
          <w:color w:val="000000"/>
        </w:rPr>
        <w:t>TcP</w:t>
      </w:r>
      <w:r w:rsidRPr="002A0497">
        <w:rPr>
          <w:color w:val="000000"/>
        </w:rPr>
        <w:t>CO</w:t>
      </w:r>
      <w:r w:rsidRPr="002A0497">
        <w:rPr>
          <w:color w:val="000000"/>
          <w:vertAlign w:val="subscript"/>
        </w:rPr>
        <w:t>2</w:t>
      </w:r>
      <w:r w:rsidRPr="002A0497">
        <w:rPr>
          <w:color w:val="000000"/>
        </w:rPr>
        <w:t xml:space="preserve"> changes after each ECT session</w:t>
      </w:r>
      <w:r w:rsidR="003D0497" w:rsidRPr="002A0497">
        <w:rPr>
          <w:color w:val="000000"/>
        </w:rPr>
        <w:t>,</w:t>
      </w:r>
      <w:r w:rsidRPr="002A0497">
        <w:rPr>
          <w:color w:val="000000"/>
        </w:rPr>
        <w:t xml:space="preserve"> taking into account the interaction between time of assessment and cooperation with the voluntary hyperventilation procedure.</w:t>
      </w:r>
    </w:p>
    <w:p w:rsidR="00145824" w:rsidRPr="002A0497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i/>
          <w:color w:val="000000"/>
          <w:szCs w:val="20"/>
          <w:bdr w:val="none" w:sz="0" w:space="0" w:color="auto" w:frame="1"/>
          <w:lang w:eastAsia="es-ES"/>
        </w:rPr>
      </w:pP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                              </w:t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proofErr w:type="spellStart"/>
      <w:proofErr w:type="gramStart"/>
      <w:r w:rsidR="00255295"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>Est</w:t>
      </w:r>
      <w:proofErr w:type="spellEnd"/>
      <w:proofErr w:type="gramEnd"/>
      <w:r w:rsidR="00255295"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 xml:space="preserve">SE   </w:t>
      </w:r>
      <w:r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ab/>
      </w:r>
      <w:proofErr w:type="spellStart"/>
      <w:r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>df</w:t>
      </w:r>
      <w:proofErr w:type="spellEnd"/>
      <w:r w:rsidR="00255295"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>t</w:t>
      </w:r>
      <w:r w:rsidR="00255295"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ab/>
      </w:r>
      <w:r w:rsidR="00255295"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ab/>
        <w:t>p-</w:t>
      </w:r>
      <w:r w:rsidRPr="002A0497">
        <w:rPr>
          <w:rFonts w:cs="Arial"/>
          <w:i/>
          <w:color w:val="000000"/>
          <w:szCs w:val="20"/>
          <w:bdr w:val="none" w:sz="0" w:space="0" w:color="auto" w:frame="1"/>
          <w:lang w:eastAsia="es-ES"/>
        </w:rPr>
        <w:t xml:space="preserve">value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>Intercept</w:t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>35.27</w:t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2.34  </w:t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27.045</w:t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15.07</w:t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 </w:t>
      </w:r>
      <w:r w:rsidR="00255295" w:rsidRPr="002A0497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&lt;0.0001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Number of ECT ses</w:t>
      </w:r>
      <w:r w:rsidR="001B421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sions</w:t>
      </w:r>
      <w:r w:rsidR="001B421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1B421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0.13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0.06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555.51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2.11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0.035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T2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-0.84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-0.52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0.604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T3</w:t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0.69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1.68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551.97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0.41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0.683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T4</w:t>
      </w:r>
      <w:r w:rsidR="005F692D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0.54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1.68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551.97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0.32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0.746 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T5</w:t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5F692D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1.08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0.67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0.506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T6</w:t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5F692D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1.03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0.63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0.526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T7</w:t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3.69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2.28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0.023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T8            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12.30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1.62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7.61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 &lt;0.0001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Cooperation wit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h VHV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3.65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1.25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552.73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2.91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0.004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T2*Coopera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tion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0.63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1.71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0.37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0.711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T3*Cooperati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-2.91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1.77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551.97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-1.64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0.101 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T4*Cooperati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-4.65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1.77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551.97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-2.62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0.009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T5*Cooperati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-3.88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551.91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-2.26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0.024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T6*Cooperati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-3.12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1.71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-1.82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0.069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663"/>
          <w:tab w:val="left" w:pos="732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187" w:lineRule="atLeast"/>
        <w:rPr>
          <w:rFonts w:cs="Arial"/>
          <w:color w:val="000000"/>
          <w:szCs w:val="20"/>
          <w:bdr w:val="none" w:sz="0" w:space="0" w:color="auto" w:frame="1"/>
          <w:lang w:eastAsia="es-ES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T7*Coopera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tion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-2.68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1.71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-1.56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 xml:space="preserve">0.118    </w:t>
      </w:r>
    </w:p>
    <w:p w:rsidR="00145824" w:rsidRPr="009D75B9" w:rsidRDefault="00145824" w:rsidP="002E54E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86"/>
          <w:tab w:val="left" w:pos="4536"/>
          <w:tab w:val="left" w:pos="4580"/>
          <w:tab w:val="left" w:pos="5496"/>
          <w:tab w:val="left" w:pos="6663"/>
          <w:tab w:val="left" w:pos="7797"/>
        </w:tabs>
        <w:spacing w:line="240" w:lineRule="auto"/>
        <w:rPr>
          <w:rFonts w:cs="Arial"/>
          <w:color w:val="000000"/>
          <w:szCs w:val="20"/>
        </w:rPr>
      </w:pP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T8*Cooper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ation</w:t>
      </w:r>
      <w:r w:rsidR="001B421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-2.58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 xml:space="preserve">1.72 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551.90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  <w:t>-1.50</w:t>
      </w:r>
      <w:r w:rsidR="00255295"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ab/>
      </w:r>
      <w:r w:rsidRPr="009D75B9">
        <w:rPr>
          <w:rFonts w:cs="Arial"/>
          <w:color w:val="000000"/>
          <w:szCs w:val="20"/>
          <w:bdr w:val="none" w:sz="0" w:space="0" w:color="auto" w:frame="1"/>
          <w:lang w:eastAsia="es-ES"/>
        </w:rPr>
        <w:t>0.134</w:t>
      </w:r>
    </w:p>
    <w:p w:rsidR="009F1084" w:rsidRPr="002A0497" w:rsidRDefault="009F1084" w:rsidP="00145824">
      <w:pPr>
        <w:widowControl w:val="0"/>
        <w:rPr>
          <w:rFonts w:cs="Arial"/>
          <w:b/>
          <w:color w:val="000000"/>
          <w:szCs w:val="20"/>
        </w:rPr>
      </w:pPr>
    </w:p>
    <w:p w:rsidR="00145824" w:rsidRPr="002A0497" w:rsidRDefault="00145824" w:rsidP="00145824">
      <w:pPr>
        <w:widowControl w:val="0"/>
        <w:rPr>
          <w:rFonts w:cs="Arial"/>
          <w:color w:val="000000"/>
          <w:szCs w:val="20"/>
        </w:rPr>
      </w:pPr>
      <w:r w:rsidRPr="002A0497">
        <w:rPr>
          <w:rFonts w:cs="Arial"/>
          <w:b/>
          <w:color w:val="000000"/>
          <w:szCs w:val="20"/>
        </w:rPr>
        <w:t>Abbreviations:</w:t>
      </w:r>
      <w:r w:rsidRPr="002A0497">
        <w:rPr>
          <w:rFonts w:cs="Arial"/>
          <w:color w:val="000000"/>
          <w:szCs w:val="20"/>
        </w:rPr>
        <w:t xml:space="preserve"> </w:t>
      </w:r>
      <w:proofErr w:type="spellStart"/>
      <w:proofErr w:type="gramStart"/>
      <w:r w:rsidR="00FB3DCF" w:rsidRPr="002A0497">
        <w:rPr>
          <w:rFonts w:cs="Arial"/>
          <w:color w:val="000000"/>
          <w:szCs w:val="20"/>
        </w:rPr>
        <w:t>df</w:t>
      </w:r>
      <w:proofErr w:type="spellEnd"/>
      <w:proofErr w:type="gramEnd"/>
      <w:r w:rsidR="00FB3DCF" w:rsidRPr="002A0497">
        <w:rPr>
          <w:rFonts w:cs="Arial"/>
          <w:color w:val="000000"/>
          <w:szCs w:val="20"/>
        </w:rPr>
        <w:t xml:space="preserve">, degrees of freedom; ECT, Electroconvulsive therapy, </w:t>
      </w:r>
      <w:proofErr w:type="spellStart"/>
      <w:r w:rsidRPr="002A0497">
        <w:rPr>
          <w:rFonts w:cs="Arial"/>
          <w:color w:val="000000"/>
          <w:szCs w:val="20"/>
        </w:rPr>
        <w:t>Est</w:t>
      </w:r>
      <w:proofErr w:type="spellEnd"/>
      <w:r w:rsidR="00FB3DCF" w:rsidRPr="002A0497">
        <w:rPr>
          <w:rFonts w:cs="Arial"/>
          <w:color w:val="000000"/>
          <w:szCs w:val="20"/>
        </w:rPr>
        <w:t>,</w:t>
      </w:r>
      <w:r w:rsidRPr="002A0497">
        <w:rPr>
          <w:rFonts w:cs="Arial"/>
          <w:color w:val="000000"/>
          <w:szCs w:val="20"/>
        </w:rPr>
        <w:t xml:space="preserve"> estimate; </w:t>
      </w:r>
      <w:r w:rsidR="00FB3DCF" w:rsidRPr="002A0497">
        <w:rPr>
          <w:rFonts w:cs="Arial"/>
          <w:color w:val="000000"/>
          <w:szCs w:val="20"/>
        </w:rPr>
        <w:t xml:space="preserve">min, minutes; </w:t>
      </w:r>
      <w:r w:rsidRPr="002A0497">
        <w:rPr>
          <w:rFonts w:cs="Arial"/>
          <w:color w:val="000000"/>
          <w:szCs w:val="20"/>
        </w:rPr>
        <w:t>SE</w:t>
      </w:r>
      <w:r w:rsidR="00255295" w:rsidRPr="002A0497">
        <w:rPr>
          <w:rFonts w:cs="Arial"/>
          <w:color w:val="000000"/>
          <w:szCs w:val="20"/>
        </w:rPr>
        <w:t xml:space="preserve">, </w:t>
      </w:r>
      <w:r w:rsidR="001B4215" w:rsidRPr="002A0497">
        <w:rPr>
          <w:rFonts w:cs="Arial"/>
          <w:color w:val="000000"/>
          <w:szCs w:val="20"/>
        </w:rPr>
        <w:t>Standard error.</w:t>
      </w:r>
      <w:r w:rsidRPr="002A0497">
        <w:rPr>
          <w:rFonts w:cs="Arial"/>
          <w:color w:val="000000"/>
          <w:szCs w:val="20"/>
        </w:rPr>
        <w:t xml:space="preserve"> </w:t>
      </w:r>
    </w:p>
    <w:p w:rsidR="000F4240" w:rsidRPr="002A0497" w:rsidRDefault="000F4240" w:rsidP="00145824">
      <w:pPr>
        <w:widowControl w:val="0"/>
        <w:rPr>
          <w:rFonts w:cs="Arial"/>
          <w:color w:val="000000"/>
          <w:szCs w:val="20"/>
        </w:rPr>
      </w:pPr>
      <w:r w:rsidRPr="002A0497">
        <w:rPr>
          <w:rFonts w:cs="Arial"/>
          <w:b/>
          <w:color w:val="000000"/>
          <w:szCs w:val="20"/>
        </w:rPr>
        <w:t>Notes:</w:t>
      </w:r>
      <w:r w:rsidRPr="002A0497">
        <w:rPr>
          <w:rFonts w:cs="Arial"/>
          <w:color w:val="000000"/>
          <w:szCs w:val="20"/>
        </w:rPr>
        <w:t xml:space="preserve"> </w:t>
      </w:r>
      <w:proofErr w:type="spellStart"/>
      <w:r w:rsidRPr="002A0497">
        <w:rPr>
          <w:rFonts w:cs="Arial"/>
          <w:color w:val="000000"/>
          <w:szCs w:val="20"/>
        </w:rPr>
        <w:t>T</w:t>
      </w:r>
      <w:r w:rsidRPr="002A0497">
        <w:rPr>
          <w:color w:val="000000"/>
        </w:rPr>
        <w:t>ranscutaneous</w:t>
      </w:r>
      <w:proofErr w:type="spellEnd"/>
      <w:r w:rsidRPr="002A0497">
        <w:rPr>
          <w:color w:val="000000"/>
        </w:rPr>
        <w:t xml:space="preserve"> carbon dioxide measure</w:t>
      </w:r>
      <w:r w:rsidRPr="002A0497">
        <w:rPr>
          <w:rFonts w:cs="Arial"/>
          <w:color w:val="000000"/>
          <w:szCs w:val="20"/>
        </w:rPr>
        <w:t xml:space="preserve"> t</w:t>
      </w:r>
      <w:r w:rsidR="00145824" w:rsidRPr="002A0497">
        <w:rPr>
          <w:rFonts w:cs="Arial"/>
          <w:color w:val="000000"/>
          <w:szCs w:val="20"/>
        </w:rPr>
        <w:t>imes considered (T1-T8)</w:t>
      </w:r>
      <w:r w:rsidR="00FB3DCF" w:rsidRPr="002A0497">
        <w:rPr>
          <w:rFonts w:cs="Arial"/>
          <w:color w:val="000000"/>
          <w:szCs w:val="20"/>
        </w:rPr>
        <w:t xml:space="preserve"> throughout the ECT session</w:t>
      </w:r>
      <w:r w:rsidR="00145824" w:rsidRPr="002A0497">
        <w:rPr>
          <w:rFonts w:cs="Arial"/>
          <w:color w:val="000000"/>
          <w:szCs w:val="20"/>
        </w:rPr>
        <w:t>. Estimates for T2-T8 are shown as T1 was co</w:t>
      </w:r>
      <w:r w:rsidRPr="002A0497">
        <w:rPr>
          <w:rFonts w:cs="Arial"/>
          <w:color w:val="000000"/>
          <w:szCs w:val="20"/>
        </w:rPr>
        <w:t xml:space="preserve">nsidered the reference category. </w:t>
      </w:r>
    </w:p>
    <w:p w:rsidR="000F4240" w:rsidRPr="002A0497" w:rsidRDefault="00D53E34" w:rsidP="00D53E34">
      <w:pPr>
        <w:widowControl w:val="0"/>
        <w:rPr>
          <w:color w:val="000000"/>
        </w:rPr>
      </w:pPr>
      <w:r w:rsidRPr="002A0497">
        <w:rPr>
          <w:color w:val="000000"/>
        </w:rPr>
        <w:t xml:space="preserve">T1, basal values of </w:t>
      </w:r>
      <w:r w:rsidRPr="002A0497">
        <w:rPr>
          <w:rFonts w:cs="Arial"/>
          <w:color w:val="000000"/>
        </w:rPr>
        <w:t>TcPCO</w:t>
      </w:r>
      <w:r w:rsidRPr="002A0497">
        <w:rPr>
          <w:rFonts w:cs="Arial"/>
          <w:color w:val="000000"/>
          <w:vertAlign w:val="subscript"/>
        </w:rPr>
        <w:t xml:space="preserve">2 </w:t>
      </w:r>
      <w:r w:rsidRPr="002A0497">
        <w:rPr>
          <w:color w:val="000000"/>
        </w:rPr>
        <w:t xml:space="preserve">before the treatment session; T2, during </w:t>
      </w:r>
      <w:proofErr w:type="spellStart"/>
      <w:r w:rsidRPr="002A0497">
        <w:rPr>
          <w:color w:val="000000"/>
        </w:rPr>
        <w:t>preoxygenation</w:t>
      </w:r>
      <w:proofErr w:type="spellEnd"/>
      <w:r w:rsidRPr="002A0497">
        <w:rPr>
          <w:color w:val="000000"/>
        </w:rPr>
        <w:t xml:space="preserve"> and at the beginning of voluntary hyperventilation; T3, at the end of voluntary hyperventilation and beginning of anesthesia induction; T4, minimum value achieved after the 2-min voluntary hyperventilation; T5, after manual ventilation assistance performed avoiding vigorous hyperventilation, once the patient is asleep; T6, values at the moment of ECT stimulus delivery; T7, values at the end of the seizure; T8, </w:t>
      </w:r>
      <w:r w:rsidRPr="002A0497">
        <w:rPr>
          <w:rFonts w:cs="Arial"/>
          <w:color w:val="000000"/>
          <w:szCs w:val="20"/>
        </w:rPr>
        <w:t xml:space="preserve">post-ECT period value after </w:t>
      </w:r>
      <w:r w:rsidRPr="002A0497">
        <w:rPr>
          <w:color w:val="000000"/>
        </w:rPr>
        <w:t xml:space="preserve">patient’s recovery of autonomous breathing and consciousness and </w:t>
      </w:r>
      <w:r w:rsidRPr="002A0497">
        <w:rPr>
          <w:rFonts w:cs="Arial"/>
          <w:color w:val="000000"/>
          <w:szCs w:val="20"/>
        </w:rPr>
        <w:t>at the time of transferring the patient to the recovery room.</w:t>
      </w:r>
    </w:p>
    <w:sectPr w:rsidR="000F4240" w:rsidRPr="002A0497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D453DF" w15:done="0"/>
  <w15:commentEx w15:paraId="471FC49D" w15:done="0"/>
  <w15:commentEx w15:paraId="7BAFB9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14B5E" w16cex:dateUtc="2021-04-13T23:07:00Z"/>
  <w16cex:commentExtensible w16cex:durableId="24214B0F" w16cex:dateUtc="2021-04-13T23:05:00Z"/>
  <w16cex:commentExtensible w16cex:durableId="24214B4E" w16cex:dateUtc="2021-04-13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D453DF" w16cid:durableId="24214B5E"/>
  <w16cid:commentId w16cid:paraId="471FC49D" w16cid:durableId="24214B0F"/>
  <w16cid:commentId w16cid:paraId="7BAFB913" w16cid:durableId="24214B4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878" w:rsidRDefault="00EF5878">
      <w:r>
        <w:separator/>
      </w:r>
    </w:p>
  </w:endnote>
  <w:endnote w:type="continuationSeparator" w:id="0">
    <w:p w:rsidR="00EF5878" w:rsidRDefault="00EF5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95" w:rsidRDefault="00F07FB1" w:rsidP="00FF266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552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5295" w:rsidRDefault="00255295">
    <w:pPr>
      <w:pStyle w:val="Peu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295" w:rsidRDefault="00F07FB1" w:rsidP="00FF266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5529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6E3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55295" w:rsidRDefault="00255295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878" w:rsidRDefault="00EF5878">
      <w:r>
        <w:separator/>
      </w:r>
    </w:p>
  </w:footnote>
  <w:footnote w:type="continuationSeparator" w:id="0">
    <w:p w:rsidR="00EF5878" w:rsidRDefault="00EF5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74D"/>
    <w:multiLevelType w:val="hybridMultilevel"/>
    <w:tmpl w:val="9BFA34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954"/>
    <w:multiLevelType w:val="multilevel"/>
    <w:tmpl w:val="CAD2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633"/>
    <w:multiLevelType w:val="multilevel"/>
    <w:tmpl w:val="B5E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50036A"/>
    <w:multiLevelType w:val="hybridMultilevel"/>
    <w:tmpl w:val="58648A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2A9D"/>
    <w:multiLevelType w:val="hybridMultilevel"/>
    <w:tmpl w:val="29B806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E5BF0"/>
    <w:multiLevelType w:val="multilevel"/>
    <w:tmpl w:val="B68C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4414B"/>
    <w:multiLevelType w:val="hybridMultilevel"/>
    <w:tmpl w:val="49F003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A5E2F"/>
    <w:multiLevelType w:val="multilevel"/>
    <w:tmpl w:val="ECF2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FE0CC5"/>
    <w:multiLevelType w:val="hybridMultilevel"/>
    <w:tmpl w:val="1B6C65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476C9"/>
    <w:multiLevelType w:val="hybridMultilevel"/>
    <w:tmpl w:val="8F4A94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E00E83"/>
    <w:multiLevelType w:val="hybridMultilevel"/>
    <w:tmpl w:val="BBE48B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3"/>
  </w:num>
  <w:num w:numId="5">
    <w:abstractNumId w:val="3"/>
  </w:num>
  <w:num w:numId="6">
    <w:abstractNumId w:val="14"/>
  </w:num>
  <w:num w:numId="7">
    <w:abstractNumId w:val="0"/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adani, Lavina">
    <w15:presenceInfo w15:providerId="None" w15:userId="Thadani, Lav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14F98"/>
    <w:rsid w:val="00015FEF"/>
    <w:rsid w:val="000302D5"/>
    <w:rsid w:val="000311E8"/>
    <w:rsid w:val="00033695"/>
    <w:rsid w:val="000342A0"/>
    <w:rsid w:val="00035CCC"/>
    <w:rsid w:val="00043C1E"/>
    <w:rsid w:val="0005257A"/>
    <w:rsid w:val="00054361"/>
    <w:rsid w:val="00062025"/>
    <w:rsid w:val="00064EA3"/>
    <w:rsid w:val="000666AF"/>
    <w:rsid w:val="0007252D"/>
    <w:rsid w:val="0008150E"/>
    <w:rsid w:val="0008401B"/>
    <w:rsid w:val="00087F9B"/>
    <w:rsid w:val="000A1AE0"/>
    <w:rsid w:val="000A4388"/>
    <w:rsid w:val="000A5BF8"/>
    <w:rsid w:val="000B2BC9"/>
    <w:rsid w:val="000C59ED"/>
    <w:rsid w:val="000C64E7"/>
    <w:rsid w:val="000D3E37"/>
    <w:rsid w:val="000E6B48"/>
    <w:rsid w:val="000E7758"/>
    <w:rsid w:val="000F4240"/>
    <w:rsid w:val="000F74AF"/>
    <w:rsid w:val="00105E1E"/>
    <w:rsid w:val="001129DE"/>
    <w:rsid w:val="00117777"/>
    <w:rsid w:val="00121046"/>
    <w:rsid w:val="00127CD5"/>
    <w:rsid w:val="00134656"/>
    <w:rsid w:val="00145824"/>
    <w:rsid w:val="001465AA"/>
    <w:rsid w:val="0017004E"/>
    <w:rsid w:val="00170F20"/>
    <w:rsid w:val="00173279"/>
    <w:rsid w:val="00176AAB"/>
    <w:rsid w:val="00191F49"/>
    <w:rsid w:val="001B134B"/>
    <w:rsid w:val="001B4215"/>
    <w:rsid w:val="001B7FDD"/>
    <w:rsid w:val="001E7479"/>
    <w:rsid w:val="00203209"/>
    <w:rsid w:val="0021749C"/>
    <w:rsid w:val="00217D65"/>
    <w:rsid w:val="00240E76"/>
    <w:rsid w:val="00246A32"/>
    <w:rsid w:val="0024762F"/>
    <w:rsid w:val="00255295"/>
    <w:rsid w:val="00261E9C"/>
    <w:rsid w:val="00270A96"/>
    <w:rsid w:val="00272487"/>
    <w:rsid w:val="002827FD"/>
    <w:rsid w:val="00285503"/>
    <w:rsid w:val="00286E82"/>
    <w:rsid w:val="00294CB0"/>
    <w:rsid w:val="002A0497"/>
    <w:rsid w:val="002A2D9E"/>
    <w:rsid w:val="002B4B34"/>
    <w:rsid w:val="002C47A9"/>
    <w:rsid w:val="002D1A3E"/>
    <w:rsid w:val="002D72B3"/>
    <w:rsid w:val="002E11A7"/>
    <w:rsid w:val="002E2709"/>
    <w:rsid w:val="002E54E8"/>
    <w:rsid w:val="002F4012"/>
    <w:rsid w:val="00310F9D"/>
    <w:rsid w:val="003155A1"/>
    <w:rsid w:val="00315AFA"/>
    <w:rsid w:val="00315C4F"/>
    <w:rsid w:val="00320521"/>
    <w:rsid w:val="00324666"/>
    <w:rsid w:val="0036124E"/>
    <w:rsid w:val="00375A37"/>
    <w:rsid w:val="00380BEF"/>
    <w:rsid w:val="0038573C"/>
    <w:rsid w:val="00385888"/>
    <w:rsid w:val="0038598C"/>
    <w:rsid w:val="0039041E"/>
    <w:rsid w:val="003948EC"/>
    <w:rsid w:val="003A6F39"/>
    <w:rsid w:val="003B1D4B"/>
    <w:rsid w:val="003B4083"/>
    <w:rsid w:val="003D0497"/>
    <w:rsid w:val="003D42A9"/>
    <w:rsid w:val="003D69BD"/>
    <w:rsid w:val="003E01E7"/>
    <w:rsid w:val="003F195E"/>
    <w:rsid w:val="0040772F"/>
    <w:rsid w:val="00410570"/>
    <w:rsid w:val="00411796"/>
    <w:rsid w:val="00431388"/>
    <w:rsid w:val="00442BBE"/>
    <w:rsid w:val="00452A9C"/>
    <w:rsid w:val="00453B57"/>
    <w:rsid w:val="0046142F"/>
    <w:rsid w:val="00470E30"/>
    <w:rsid w:val="00473BF1"/>
    <w:rsid w:val="004754C9"/>
    <w:rsid w:val="0047639D"/>
    <w:rsid w:val="00481787"/>
    <w:rsid w:val="004B0930"/>
    <w:rsid w:val="004B52C5"/>
    <w:rsid w:val="004C018A"/>
    <w:rsid w:val="004C5313"/>
    <w:rsid w:val="004C5DB2"/>
    <w:rsid w:val="004D6607"/>
    <w:rsid w:val="004E0368"/>
    <w:rsid w:val="004E2F6D"/>
    <w:rsid w:val="004E4981"/>
    <w:rsid w:val="004E782D"/>
    <w:rsid w:val="00503C09"/>
    <w:rsid w:val="00511DB2"/>
    <w:rsid w:val="00553800"/>
    <w:rsid w:val="00556F09"/>
    <w:rsid w:val="00565970"/>
    <w:rsid w:val="00595394"/>
    <w:rsid w:val="0059614A"/>
    <w:rsid w:val="005A6431"/>
    <w:rsid w:val="005B2D86"/>
    <w:rsid w:val="005B7CB1"/>
    <w:rsid w:val="005C31D3"/>
    <w:rsid w:val="005C7E8C"/>
    <w:rsid w:val="005E1ECB"/>
    <w:rsid w:val="005F692D"/>
    <w:rsid w:val="00600B5C"/>
    <w:rsid w:val="0060400B"/>
    <w:rsid w:val="00611C5F"/>
    <w:rsid w:val="00616A5D"/>
    <w:rsid w:val="0062140C"/>
    <w:rsid w:val="00646CF0"/>
    <w:rsid w:val="0066159C"/>
    <w:rsid w:val="00661C2D"/>
    <w:rsid w:val="00662E52"/>
    <w:rsid w:val="00664525"/>
    <w:rsid w:val="00667BDF"/>
    <w:rsid w:val="00680193"/>
    <w:rsid w:val="00687F27"/>
    <w:rsid w:val="006B4827"/>
    <w:rsid w:val="006B696C"/>
    <w:rsid w:val="006C5368"/>
    <w:rsid w:val="006C58F2"/>
    <w:rsid w:val="006C6E88"/>
    <w:rsid w:val="006C7616"/>
    <w:rsid w:val="006D0474"/>
    <w:rsid w:val="006D142F"/>
    <w:rsid w:val="006D3387"/>
    <w:rsid w:val="006D4AC5"/>
    <w:rsid w:val="006E4154"/>
    <w:rsid w:val="006E6C31"/>
    <w:rsid w:val="006E7713"/>
    <w:rsid w:val="00711171"/>
    <w:rsid w:val="00723455"/>
    <w:rsid w:val="007265D3"/>
    <w:rsid w:val="00730575"/>
    <w:rsid w:val="00734EF7"/>
    <w:rsid w:val="00745C2A"/>
    <w:rsid w:val="007511ED"/>
    <w:rsid w:val="00753E6B"/>
    <w:rsid w:val="00776A7C"/>
    <w:rsid w:val="00780A29"/>
    <w:rsid w:val="007900DA"/>
    <w:rsid w:val="00794E5E"/>
    <w:rsid w:val="007A1BDB"/>
    <w:rsid w:val="007A2AB8"/>
    <w:rsid w:val="007A3BEE"/>
    <w:rsid w:val="007C1D57"/>
    <w:rsid w:val="007C30BC"/>
    <w:rsid w:val="007C4822"/>
    <w:rsid w:val="007E39E1"/>
    <w:rsid w:val="007E5D6F"/>
    <w:rsid w:val="007E64A7"/>
    <w:rsid w:val="007F32DA"/>
    <w:rsid w:val="007F3E8B"/>
    <w:rsid w:val="00827FC5"/>
    <w:rsid w:val="00852799"/>
    <w:rsid w:val="0085501F"/>
    <w:rsid w:val="00864E29"/>
    <w:rsid w:val="008754E8"/>
    <w:rsid w:val="00877441"/>
    <w:rsid w:val="0088598F"/>
    <w:rsid w:val="0088645B"/>
    <w:rsid w:val="00887016"/>
    <w:rsid w:val="008967F1"/>
    <w:rsid w:val="008A08C0"/>
    <w:rsid w:val="008A3174"/>
    <w:rsid w:val="008A4036"/>
    <w:rsid w:val="008A4DF3"/>
    <w:rsid w:val="008A52A5"/>
    <w:rsid w:val="008B2783"/>
    <w:rsid w:val="008B697C"/>
    <w:rsid w:val="008B7AD5"/>
    <w:rsid w:val="008C361E"/>
    <w:rsid w:val="008D689C"/>
    <w:rsid w:val="008D6C9A"/>
    <w:rsid w:val="008E3EA8"/>
    <w:rsid w:val="00900663"/>
    <w:rsid w:val="00901244"/>
    <w:rsid w:val="0091401F"/>
    <w:rsid w:val="009147B3"/>
    <w:rsid w:val="009265BD"/>
    <w:rsid w:val="009345FC"/>
    <w:rsid w:val="00937F3D"/>
    <w:rsid w:val="00946800"/>
    <w:rsid w:val="009563F4"/>
    <w:rsid w:val="00956C4D"/>
    <w:rsid w:val="00971FFB"/>
    <w:rsid w:val="009828D3"/>
    <w:rsid w:val="00992CB9"/>
    <w:rsid w:val="00994648"/>
    <w:rsid w:val="009A1F5A"/>
    <w:rsid w:val="009B1D49"/>
    <w:rsid w:val="009B57E4"/>
    <w:rsid w:val="009C6D70"/>
    <w:rsid w:val="009D3AD0"/>
    <w:rsid w:val="009D75B9"/>
    <w:rsid w:val="009F1084"/>
    <w:rsid w:val="00A07D83"/>
    <w:rsid w:val="00A10913"/>
    <w:rsid w:val="00A14DE7"/>
    <w:rsid w:val="00A20FFB"/>
    <w:rsid w:val="00A34502"/>
    <w:rsid w:val="00A3756A"/>
    <w:rsid w:val="00A445D7"/>
    <w:rsid w:val="00A6170F"/>
    <w:rsid w:val="00A63CD7"/>
    <w:rsid w:val="00A64AA2"/>
    <w:rsid w:val="00A70251"/>
    <w:rsid w:val="00A72772"/>
    <w:rsid w:val="00A73881"/>
    <w:rsid w:val="00A806AB"/>
    <w:rsid w:val="00AB389E"/>
    <w:rsid w:val="00AB3B99"/>
    <w:rsid w:val="00AB47E4"/>
    <w:rsid w:val="00AC1F93"/>
    <w:rsid w:val="00AC5480"/>
    <w:rsid w:val="00AC6F92"/>
    <w:rsid w:val="00AD76B0"/>
    <w:rsid w:val="00AE5062"/>
    <w:rsid w:val="00AF1FD4"/>
    <w:rsid w:val="00AF463F"/>
    <w:rsid w:val="00B20624"/>
    <w:rsid w:val="00B26A6E"/>
    <w:rsid w:val="00B30BC3"/>
    <w:rsid w:val="00B34E5A"/>
    <w:rsid w:val="00B63C47"/>
    <w:rsid w:val="00B73707"/>
    <w:rsid w:val="00B7570E"/>
    <w:rsid w:val="00B82724"/>
    <w:rsid w:val="00B86FEB"/>
    <w:rsid w:val="00B96017"/>
    <w:rsid w:val="00BA2949"/>
    <w:rsid w:val="00BB027B"/>
    <w:rsid w:val="00BB2256"/>
    <w:rsid w:val="00BD1289"/>
    <w:rsid w:val="00BE4D5F"/>
    <w:rsid w:val="00BF3DAA"/>
    <w:rsid w:val="00C2456D"/>
    <w:rsid w:val="00C43B3D"/>
    <w:rsid w:val="00C548FC"/>
    <w:rsid w:val="00C6799D"/>
    <w:rsid w:val="00C701F9"/>
    <w:rsid w:val="00C94612"/>
    <w:rsid w:val="00CA253F"/>
    <w:rsid w:val="00CB0023"/>
    <w:rsid w:val="00CB56CA"/>
    <w:rsid w:val="00CB68C5"/>
    <w:rsid w:val="00CC1ADF"/>
    <w:rsid w:val="00CD740F"/>
    <w:rsid w:val="00CD758F"/>
    <w:rsid w:val="00CE79D7"/>
    <w:rsid w:val="00CE7DDC"/>
    <w:rsid w:val="00CF7B8D"/>
    <w:rsid w:val="00D00B4B"/>
    <w:rsid w:val="00D069C6"/>
    <w:rsid w:val="00D0737C"/>
    <w:rsid w:val="00D100A7"/>
    <w:rsid w:val="00D10823"/>
    <w:rsid w:val="00D20F53"/>
    <w:rsid w:val="00D237F6"/>
    <w:rsid w:val="00D31C44"/>
    <w:rsid w:val="00D44B6D"/>
    <w:rsid w:val="00D50641"/>
    <w:rsid w:val="00D51863"/>
    <w:rsid w:val="00D53E34"/>
    <w:rsid w:val="00D578A6"/>
    <w:rsid w:val="00D700C3"/>
    <w:rsid w:val="00D7204D"/>
    <w:rsid w:val="00D72F3C"/>
    <w:rsid w:val="00D81B3E"/>
    <w:rsid w:val="00D91CAA"/>
    <w:rsid w:val="00D94F22"/>
    <w:rsid w:val="00DB0A0D"/>
    <w:rsid w:val="00DB42FD"/>
    <w:rsid w:val="00DC20B8"/>
    <w:rsid w:val="00DE486D"/>
    <w:rsid w:val="00DE5F42"/>
    <w:rsid w:val="00DF4C7F"/>
    <w:rsid w:val="00DF6A1F"/>
    <w:rsid w:val="00E013BB"/>
    <w:rsid w:val="00E031E1"/>
    <w:rsid w:val="00E1216B"/>
    <w:rsid w:val="00E12994"/>
    <w:rsid w:val="00E12F42"/>
    <w:rsid w:val="00E45ED2"/>
    <w:rsid w:val="00E45F10"/>
    <w:rsid w:val="00E61953"/>
    <w:rsid w:val="00E906D3"/>
    <w:rsid w:val="00E96D45"/>
    <w:rsid w:val="00EC4C2C"/>
    <w:rsid w:val="00ED0FC5"/>
    <w:rsid w:val="00ED4D96"/>
    <w:rsid w:val="00EE0017"/>
    <w:rsid w:val="00EE0B16"/>
    <w:rsid w:val="00EE2FBA"/>
    <w:rsid w:val="00EE6450"/>
    <w:rsid w:val="00EF5878"/>
    <w:rsid w:val="00EF6149"/>
    <w:rsid w:val="00F03012"/>
    <w:rsid w:val="00F0464F"/>
    <w:rsid w:val="00F05A9C"/>
    <w:rsid w:val="00F05E46"/>
    <w:rsid w:val="00F07878"/>
    <w:rsid w:val="00F07FB1"/>
    <w:rsid w:val="00F16121"/>
    <w:rsid w:val="00F210A1"/>
    <w:rsid w:val="00F24210"/>
    <w:rsid w:val="00F36ACC"/>
    <w:rsid w:val="00F41860"/>
    <w:rsid w:val="00F424C5"/>
    <w:rsid w:val="00F56A5E"/>
    <w:rsid w:val="00F670BE"/>
    <w:rsid w:val="00F67733"/>
    <w:rsid w:val="00F80DA5"/>
    <w:rsid w:val="00F82795"/>
    <w:rsid w:val="00F91124"/>
    <w:rsid w:val="00F9503E"/>
    <w:rsid w:val="00FA2EA1"/>
    <w:rsid w:val="00FB3DCF"/>
    <w:rsid w:val="00FB5A89"/>
    <w:rsid w:val="00FB6E3F"/>
    <w:rsid w:val="00FC05F2"/>
    <w:rsid w:val="00FC12EB"/>
    <w:rsid w:val="00FD4807"/>
    <w:rsid w:val="00FD7CD5"/>
    <w:rsid w:val="00FF2660"/>
    <w:rsid w:val="00FF6EA8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Ttol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Nmerodepgina">
    <w:name w:val="page number"/>
    <w:basedOn w:val="Tipusdelletraperdefectedelpargraf"/>
    <w:rsid w:val="00F82795"/>
  </w:style>
  <w:style w:type="character" w:styleId="mfasi">
    <w:name w:val="Emphasis"/>
    <w:qFormat/>
    <w:rsid w:val="00FF6EA8"/>
    <w:rPr>
      <w:b/>
      <w:bCs/>
      <w:i w:val="0"/>
      <w:iCs w:val="0"/>
    </w:rPr>
  </w:style>
  <w:style w:type="character" w:styleId="Enlla">
    <w:name w:val="Hyperlink"/>
    <w:rsid w:val="00887016"/>
    <w:rPr>
      <w:color w:val="0000FF"/>
      <w:u w:val="single"/>
    </w:rPr>
  </w:style>
  <w:style w:type="character" w:styleId="Refernciadecomentari">
    <w:name w:val="annotation reference"/>
    <w:uiPriority w:val="99"/>
    <w:semiHidden/>
    <w:rsid w:val="00D00B4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D00B4B"/>
    <w:rPr>
      <w:szCs w:val="20"/>
    </w:rPr>
  </w:style>
  <w:style w:type="paragraph" w:styleId="Temadelcomentari">
    <w:name w:val="annotation subject"/>
    <w:basedOn w:val="Textdecomentari"/>
    <w:next w:val="Textdecomentari"/>
    <w:semiHidden/>
    <w:rsid w:val="00D00B4B"/>
    <w:rPr>
      <w:b/>
      <w:bCs/>
    </w:rPr>
  </w:style>
  <w:style w:type="paragraph" w:styleId="Textdeglobus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Nmerodelnia">
    <w:name w:val="line number"/>
    <w:rsid w:val="00C94612"/>
  </w:style>
  <w:style w:type="paragraph" w:styleId="Pargrafdellista">
    <w:name w:val="List Paragraph"/>
    <w:basedOn w:val="Normal"/>
    <w:uiPriority w:val="34"/>
    <w:qFormat/>
    <w:rsid w:val="00453B57"/>
    <w:pPr>
      <w:ind w:left="720"/>
      <w:contextualSpacing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EE0B16"/>
    <w:rPr>
      <w:rFonts w:ascii="Arial" w:hAnsi="Arial"/>
      <w:lang w:val="en-US" w:eastAsia="en-US"/>
    </w:rPr>
  </w:style>
  <w:style w:type="character" w:styleId="Enllavisitat">
    <w:name w:val="FollowedHyperlink"/>
    <w:basedOn w:val="Tipusdelletraperdefectedelpargraf"/>
    <w:rsid w:val="0036124E"/>
    <w:rPr>
      <w:color w:val="800080" w:themeColor="followedHyperlink"/>
      <w:u w:val="single"/>
    </w:rPr>
  </w:style>
  <w:style w:type="character" w:styleId="Textennegreta">
    <w:name w:val="Strong"/>
    <w:basedOn w:val="Tipusdelletraperdefectedelpargraf"/>
    <w:uiPriority w:val="22"/>
    <w:qFormat/>
    <w:rsid w:val="0036124E"/>
    <w:rPr>
      <w:b/>
      <w:bCs/>
    </w:rPr>
  </w:style>
  <w:style w:type="paragraph" w:styleId="Revisi">
    <w:name w:val="Revision"/>
    <w:hidden/>
    <w:uiPriority w:val="99"/>
    <w:semiHidden/>
    <w:rsid w:val="0036124E"/>
    <w:rPr>
      <w:rFonts w:ascii="Arial" w:hAnsi="Arial"/>
      <w:szCs w:val="24"/>
      <w:lang w:val="en-US" w:eastAsia="en-US"/>
    </w:rPr>
  </w:style>
  <w:style w:type="paragraph" w:styleId="Capalera">
    <w:name w:val="header"/>
    <w:basedOn w:val="Normal"/>
    <w:link w:val="CapaleraCar"/>
    <w:rsid w:val="000F4240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0F424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424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7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CCCCCC"/>
                            <w:left w:val="single" w:sz="12" w:space="0" w:color="CCCCCC"/>
                            <w:bottom w:val="single" w:sz="12" w:space="0" w:color="CCCCCC"/>
                            <w:right w:val="single" w:sz="12" w:space="0" w:color="CCCCCC"/>
                          </w:divBdr>
                          <w:divsChild>
                            <w:div w:id="198065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6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1B6F6-8281-4F11-B9C0-D46A587B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contraceptive implant</vt:lpstr>
      <vt:lpstr>The contraceptive implant</vt:lpstr>
      <vt:lpstr>The contraceptive implant</vt:lpstr>
    </vt:vector>
  </TitlesOfParts>
  <Company>UPMC</Company>
  <LinksUpToDate>false</LinksUpToDate>
  <CharactersWithSpaces>2039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creator>hohmhl</dc:creator>
  <cp:lastModifiedBy>h501baaa</cp:lastModifiedBy>
  <cp:revision>4</cp:revision>
  <cp:lastPrinted>2021-04-09T10:35:00Z</cp:lastPrinted>
  <dcterms:created xsi:type="dcterms:W3CDTF">2021-04-14T10:31:00Z</dcterms:created>
  <dcterms:modified xsi:type="dcterms:W3CDTF">2021-04-14T10:35:00Z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http://www.zotero.org/styles/general-hospital-psychiatry</vt:lpwstr>
  </property>
  <property fmtid="{D5CDD505-2E9C-101B-9397-08002B2CF9AE}" pid="9" name="Mendeley Recent Style Name 3_1">
    <vt:lpwstr>General Hospital Psychiatry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http://www.zotero.org/styles/jama</vt:lpwstr>
  </property>
  <property fmtid="{D5CDD505-2E9C-101B-9397-08002B2CF9AE}" pid="13" name="Mendeley Recent Style Name 5_1">
    <vt:lpwstr>JAMA (The Journal of the American Medical Association)</vt:lpwstr>
  </property>
  <property fmtid="{D5CDD505-2E9C-101B-9397-08002B2CF9AE}" pid="14" name="Mendeley Recent Style Id 6_1">
    <vt:lpwstr>http://www.zotero.org/styles/journal-of-affective-disorders</vt:lpwstr>
  </property>
  <property fmtid="{D5CDD505-2E9C-101B-9397-08002B2CF9AE}" pid="15" name="Mendeley Recent Style Name 6_1">
    <vt:lpwstr>Journal of Affective Disorders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http://www.zotero.org/styles/progress-in-neuropsychopharmacology-and-biological-psychiatry</vt:lpwstr>
  </property>
  <property fmtid="{D5CDD505-2E9C-101B-9397-08002B2CF9AE}" pid="19" name="Mendeley Recent Style Name 8_1">
    <vt:lpwstr>Progress in Neuropsychopharmacology &amp; Biological Psychiatry</vt:lpwstr>
  </property>
  <property fmtid="{D5CDD505-2E9C-101B-9397-08002B2CF9AE}" pid="20" name="Mendeley Recent Style Id 9_1">
    <vt:lpwstr>http://www.zotero.org/styles/revista-de-psiquiatria-y-salud-mental</vt:lpwstr>
  </property>
  <property fmtid="{D5CDD505-2E9C-101B-9397-08002B2CF9AE}" pid="21" name="Mendeley Recent Style Name 9_1">
    <vt:lpwstr>Revista de Psiquiatría y Salud Mental (Spanish)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6ba2a6e6-24fd-32ee-810d-2b9cc64190e8</vt:lpwstr>
  </property>
  <property fmtid="{D5CDD505-2E9C-101B-9397-08002B2CF9AE}" pid="24" name="Mendeley Citation Style_1">
    <vt:lpwstr>http://www.zotero.org/styles/jama</vt:lpwstr>
  </property>
</Properties>
</file>