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C7C3E7" w14:textId="6C093753" w:rsidR="002D6448" w:rsidRPr="002D6448" w:rsidRDefault="007E56F0">
      <w:pPr>
        <w:rPr>
          <w:u w:val="single"/>
        </w:rPr>
      </w:pPr>
      <w:r w:rsidRPr="002D6448">
        <w:rPr>
          <w:b/>
          <w:u w:val="single"/>
        </w:rPr>
        <w:t>Supplementa</w:t>
      </w:r>
      <w:r w:rsidR="002B43A0">
        <w:rPr>
          <w:b/>
          <w:u w:val="single"/>
        </w:rPr>
        <w:t>l File</w:t>
      </w:r>
    </w:p>
    <w:p w14:paraId="2F4B631B" w14:textId="59A92A47" w:rsidR="00E87519" w:rsidRDefault="002D6448">
      <w:r>
        <w:t xml:space="preserve">Table S1: </w:t>
      </w:r>
      <w:r w:rsidR="00E87519">
        <w:t>Summary of Secondary Outcomes of Interest</w:t>
      </w:r>
    </w:p>
    <w:tbl>
      <w:tblPr>
        <w:tblStyle w:val="TableGrid"/>
        <w:tblW w:w="15570" w:type="dxa"/>
        <w:tblInd w:w="-432" w:type="dxa"/>
        <w:tblLayout w:type="fixed"/>
        <w:tblLook w:val="04A0" w:firstRow="1" w:lastRow="0" w:firstColumn="1" w:lastColumn="0" w:noHBand="0" w:noVBand="1"/>
      </w:tblPr>
      <w:tblGrid>
        <w:gridCol w:w="1710"/>
        <w:gridCol w:w="1980"/>
        <w:gridCol w:w="1440"/>
        <w:gridCol w:w="1620"/>
        <w:gridCol w:w="1440"/>
        <w:gridCol w:w="1440"/>
        <w:gridCol w:w="5940"/>
      </w:tblGrid>
      <w:tr w:rsidR="00F15F43" w:rsidRPr="00AC19EB" w14:paraId="3A2F36FF" w14:textId="77777777" w:rsidTr="004826D3">
        <w:tc>
          <w:tcPr>
            <w:tcW w:w="1710" w:type="dxa"/>
            <w:shd w:val="clear" w:color="auto" w:fill="D9D9D9" w:themeFill="background1" w:themeFillShade="D9"/>
          </w:tcPr>
          <w:p w14:paraId="7A25C14C" w14:textId="77777777" w:rsidR="00F15F43" w:rsidRPr="00AC19EB" w:rsidRDefault="00F15F43">
            <w:pPr>
              <w:rPr>
                <w:b/>
              </w:rPr>
            </w:pPr>
            <w:r w:rsidRPr="00AC19EB">
              <w:rPr>
                <w:b/>
              </w:rPr>
              <w:t>Study</w:t>
            </w:r>
          </w:p>
        </w:tc>
        <w:tc>
          <w:tcPr>
            <w:tcW w:w="1980" w:type="dxa"/>
            <w:shd w:val="clear" w:color="auto" w:fill="D9D9D9" w:themeFill="background1" w:themeFillShade="D9"/>
          </w:tcPr>
          <w:p w14:paraId="15756D2F" w14:textId="77777777" w:rsidR="00F15F43" w:rsidRPr="00AC19EB" w:rsidRDefault="00F15F43" w:rsidP="00F15F43">
            <w:pPr>
              <w:rPr>
                <w:b/>
              </w:rPr>
            </w:pPr>
            <w:r>
              <w:rPr>
                <w:b/>
              </w:rPr>
              <w:t>Pain Score at Rest</w:t>
            </w:r>
          </w:p>
        </w:tc>
        <w:tc>
          <w:tcPr>
            <w:tcW w:w="1440" w:type="dxa"/>
            <w:shd w:val="clear" w:color="auto" w:fill="D9D9D9" w:themeFill="background1" w:themeFillShade="D9"/>
          </w:tcPr>
          <w:p w14:paraId="54EA5F31" w14:textId="77777777" w:rsidR="00F15F43" w:rsidRPr="00AC19EB" w:rsidRDefault="00F15F43">
            <w:pPr>
              <w:rPr>
                <w:b/>
              </w:rPr>
            </w:pPr>
            <w:r w:rsidRPr="00AC19EB">
              <w:rPr>
                <w:b/>
              </w:rPr>
              <w:t>Patient Satisfaction</w:t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14:paraId="3E52C0B4" w14:textId="77777777" w:rsidR="00F15F43" w:rsidRPr="00AC19EB" w:rsidRDefault="00F15F43">
            <w:pPr>
              <w:rPr>
                <w:b/>
              </w:rPr>
            </w:pPr>
            <w:r w:rsidRPr="00AC19EB">
              <w:rPr>
                <w:b/>
              </w:rPr>
              <w:t>Hospital LOS</w:t>
            </w:r>
          </w:p>
        </w:tc>
        <w:tc>
          <w:tcPr>
            <w:tcW w:w="1440" w:type="dxa"/>
            <w:shd w:val="clear" w:color="auto" w:fill="D9D9D9" w:themeFill="background1" w:themeFillShade="D9"/>
          </w:tcPr>
          <w:p w14:paraId="07B7946F" w14:textId="77777777" w:rsidR="00F15F43" w:rsidRPr="00AC19EB" w:rsidRDefault="00F15F43">
            <w:pPr>
              <w:rPr>
                <w:b/>
              </w:rPr>
            </w:pPr>
            <w:r w:rsidRPr="00AC19EB">
              <w:rPr>
                <w:b/>
              </w:rPr>
              <w:t>Gait Distance</w:t>
            </w:r>
          </w:p>
        </w:tc>
        <w:tc>
          <w:tcPr>
            <w:tcW w:w="1440" w:type="dxa"/>
            <w:shd w:val="clear" w:color="auto" w:fill="D9D9D9" w:themeFill="background1" w:themeFillShade="D9"/>
          </w:tcPr>
          <w:p w14:paraId="28C60E0A" w14:textId="77777777" w:rsidR="00F15F43" w:rsidRPr="00AC19EB" w:rsidRDefault="00F15F43">
            <w:pPr>
              <w:rPr>
                <w:b/>
              </w:rPr>
            </w:pPr>
            <w:r w:rsidRPr="00AC19EB">
              <w:rPr>
                <w:b/>
              </w:rPr>
              <w:t>Range of Motion</w:t>
            </w:r>
          </w:p>
        </w:tc>
        <w:tc>
          <w:tcPr>
            <w:tcW w:w="5940" w:type="dxa"/>
            <w:shd w:val="clear" w:color="auto" w:fill="D9D9D9" w:themeFill="background1" w:themeFillShade="D9"/>
          </w:tcPr>
          <w:p w14:paraId="51155373" w14:textId="77777777" w:rsidR="00F15F43" w:rsidRPr="00AC19EB" w:rsidRDefault="00F15F43">
            <w:pPr>
              <w:rPr>
                <w:b/>
              </w:rPr>
            </w:pPr>
            <w:r w:rsidRPr="00AC19EB">
              <w:rPr>
                <w:b/>
              </w:rPr>
              <w:t>Complications</w:t>
            </w:r>
          </w:p>
        </w:tc>
      </w:tr>
      <w:tr w:rsidR="00207306" w14:paraId="6111D62B" w14:textId="77777777" w:rsidTr="004826D3">
        <w:tc>
          <w:tcPr>
            <w:tcW w:w="1710" w:type="dxa"/>
            <w:shd w:val="clear" w:color="auto" w:fill="D9D9D9" w:themeFill="background1" w:themeFillShade="D9"/>
          </w:tcPr>
          <w:p w14:paraId="405DB4C5" w14:textId="77777777" w:rsidR="00207306" w:rsidRDefault="00207306">
            <w:pPr>
              <w:rPr>
                <w:b/>
              </w:rPr>
            </w:pPr>
            <w:r>
              <w:rPr>
                <w:b/>
              </w:rPr>
              <w:t>Kampitak 2020</w:t>
            </w:r>
          </w:p>
          <w:p w14:paraId="65ECC520" w14:textId="77777777" w:rsidR="00207306" w:rsidRDefault="00207306">
            <w:pPr>
              <w:rPr>
                <w:b/>
              </w:rPr>
            </w:pPr>
          </w:p>
        </w:tc>
        <w:tc>
          <w:tcPr>
            <w:tcW w:w="1980" w:type="dxa"/>
          </w:tcPr>
          <w:p w14:paraId="47535B7A" w14:textId="77777777" w:rsidR="00207306" w:rsidRDefault="00F455A8">
            <w:r>
              <w:t>↑ in iPACK1 vs TNB and iPACK2</w:t>
            </w:r>
            <w:r w:rsidR="00120D8F">
              <w:t xml:space="preserve"> on POD1</w:t>
            </w:r>
          </w:p>
        </w:tc>
        <w:tc>
          <w:tcPr>
            <w:tcW w:w="1440" w:type="dxa"/>
          </w:tcPr>
          <w:p w14:paraId="63E94503" w14:textId="77777777" w:rsidR="00207306" w:rsidRDefault="00207306" w:rsidP="00DB5DCF">
            <w:pPr>
              <w:jc w:val="center"/>
            </w:pPr>
            <w:r>
              <w:t>No difference</w:t>
            </w:r>
          </w:p>
        </w:tc>
        <w:tc>
          <w:tcPr>
            <w:tcW w:w="1620" w:type="dxa"/>
          </w:tcPr>
          <w:p w14:paraId="0709814C" w14:textId="77777777" w:rsidR="00207306" w:rsidRDefault="00207306" w:rsidP="002A56FB">
            <w:r>
              <w:t>↓ in iPACK2 vs TNB</w:t>
            </w:r>
          </w:p>
        </w:tc>
        <w:tc>
          <w:tcPr>
            <w:tcW w:w="1440" w:type="dxa"/>
          </w:tcPr>
          <w:p w14:paraId="12B20818" w14:textId="77777777" w:rsidR="00207306" w:rsidRDefault="00207306" w:rsidP="00FD7D21">
            <w:pPr>
              <w:jc w:val="center"/>
            </w:pPr>
            <w:r>
              <w:t>–</w:t>
            </w:r>
          </w:p>
        </w:tc>
        <w:tc>
          <w:tcPr>
            <w:tcW w:w="1440" w:type="dxa"/>
          </w:tcPr>
          <w:p w14:paraId="52ED3F22" w14:textId="77777777" w:rsidR="00207306" w:rsidRDefault="00207306" w:rsidP="00FD7D21">
            <w:r>
              <w:t>No difference</w:t>
            </w:r>
          </w:p>
        </w:tc>
        <w:tc>
          <w:tcPr>
            <w:tcW w:w="5940" w:type="dxa"/>
          </w:tcPr>
          <w:p w14:paraId="729BE0F4" w14:textId="77777777" w:rsidR="00207306" w:rsidRDefault="00207306" w:rsidP="00FD7D21">
            <w:r>
              <w:t>No difference in nausea/vomiting</w:t>
            </w:r>
          </w:p>
        </w:tc>
      </w:tr>
      <w:tr w:rsidR="00207306" w14:paraId="6A819929" w14:textId="77777777" w:rsidTr="004826D3">
        <w:tc>
          <w:tcPr>
            <w:tcW w:w="1710" w:type="dxa"/>
            <w:shd w:val="clear" w:color="auto" w:fill="D9D9D9" w:themeFill="background1" w:themeFillShade="D9"/>
          </w:tcPr>
          <w:p w14:paraId="04520E42" w14:textId="77777777" w:rsidR="00207306" w:rsidRPr="00AC19EB" w:rsidRDefault="00207306">
            <w:pPr>
              <w:rPr>
                <w:b/>
              </w:rPr>
            </w:pPr>
            <w:r>
              <w:rPr>
                <w:b/>
              </w:rPr>
              <w:t>Kertkiatkachorn</w:t>
            </w:r>
            <w:r w:rsidRPr="00AC19EB">
              <w:rPr>
                <w:b/>
              </w:rPr>
              <w:t xml:space="preserve"> 2020</w:t>
            </w:r>
          </w:p>
        </w:tc>
        <w:tc>
          <w:tcPr>
            <w:tcW w:w="1980" w:type="dxa"/>
          </w:tcPr>
          <w:p w14:paraId="5AF9BD43" w14:textId="77777777" w:rsidR="00207306" w:rsidRDefault="00207306">
            <w:r>
              <w:t>No difference in POD0 and POD1</w:t>
            </w:r>
          </w:p>
        </w:tc>
        <w:tc>
          <w:tcPr>
            <w:tcW w:w="1440" w:type="dxa"/>
          </w:tcPr>
          <w:p w14:paraId="39DE9187" w14:textId="77777777" w:rsidR="00207306" w:rsidRDefault="00207306" w:rsidP="00DB5DCF">
            <w:pPr>
              <w:jc w:val="center"/>
            </w:pPr>
            <w:r>
              <w:t>–</w:t>
            </w:r>
          </w:p>
        </w:tc>
        <w:tc>
          <w:tcPr>
            <w:tcW w:w="1620" w:type="dxa"/>
          </w:tcPr>
          <w:p w14:paraId="2A81A7E2" w14:textId="77777777" w:rsidR="00207306" w:rsidRDefault="00207306" w:rsidP="000E4FA0">
            <w:pPr>
              <w:jc w:val="center"/>
            </w:pPr>
            <w:r>
              <w:t>–</w:t>
            </w:r>
          </w:p>
        </w:tc>
        <w:tc>
          <w:tcPr>
            <w:tcW w:w="1440" w:type="dxa"/>
          </w:tcPr>
          <w:p w14:paraId="4B1259A6" w14:textId="77777777" w:rsidR="00207306" w:rsidRDefault="00207306" w:rsidP="00B77616">
            <w:pPr>
              <w:jc w:val="center"/>
            </w:pPr>
            <w:r>
              <w:t>–</w:t>
            </w:r>
          </w:p>
        </w:tc>
        <w:tc>
          <w:tcPr>
            <w:tcW w:w="1440" w:type="dxa"/>
          </w:tcPr>
          <w:p w14:paraId="1A061943" w14:textId="77777777" w:rsidR="00207306" w:rsidRDefault="00207306" w:rsidP="009D3BCB">
            <w:r>
              <w:t>No difference in POD0 and POD1</w:t>
            </w:r>
          </w:p>
        </w:tc>
        <w:tc>
          <w:tcPr>
            <w:tcW w:w="5940" w:type="dxa"/>
          </w:tcPr>
          <w:p w14:paraId="7703DEA7" w14:textId="77777777" w:rsidR="00207306" w:rsidRDefault="00207306">
            <w:r>
              <w:t>No difference in nausea, vomiting, dizziness, and sleep disturbance</w:t>
            </w:r>
          </w:p>
        </w:tc>
      </w:tr>
      <w:tr w:rsidR="007B1D73" w14:paraId="6FA6F3CF" w14:textId="77777777" w:rsidTr="004826D3">
        <w:tc>
          <w:tcPr>
            <w:tcW w:w="1710" w:type="dxa"/>
            <w:shd w:val="clear" w:color="auto" w:fill="D9D9D9" w:themeFill="background1" w:themeFillShade="D9"/>
          </w:tcPr>
          <w:p w14:paraId="08DDBAB3" w14:textId="77777777" w:rsidR="007B1D73" w:rsidRDefault="007B1D73">
            <w:pPr>
              <w:rPr>
                <w:b/>
              </w:rPr>
            </w:pPr>
            <w:r>
              <w:rPr>
                <w:b/>
              </w:rPr>
              <w:t>Kim 2019</w:t>
            </w:r>
          </w:p>
          <w:p w14:paraId="3D5021B8" w14:textId="77777777" w:rsidR="007B1D73" w:rsidRDefault="007B1D73">
            <w:pPr>
              <w:rPr>
                <w:b/>
              </w:rPr>
            </w:pPr>
          </w:p>
        </w:tc>
        <w:tc>
          <w:tcPr>
            <w:tcW w:w="1980" w:type="dxa"/>
          </w:tcPr>
          <w:p w14:paraId="462A6EA1" w14:textId="77777777" w:rsidR="007B1D73" w:rsidRDefault="004A2366">
            <w:r>
              <w:t>↓ in POD0 and POD1</w:t>
            </w:r>
          </w:p>
        </w:tc>
        <w:tc>
          <w:tcPr>
            <w:tcW w:w="1440" w:type="dxa"/>
          </w:tcPr>
          <w:p w14:paraId="64E2E7B5" w14:textId="77777777" w:rsidR="007B1D73" w:rsidRDefault="007B1D73" w:rsidP="007B1D73">
            <w:r>
              <w:t>↑ in PACU and POD1</w:t>
            </w:r>
          </w:p>
        </w:tc>
        <w:tc>
          <w:tcPr>
            <w:tcW w:w="1620" w:type="dxa"/>
          </w:tcPr>
          <w:p w14:paraId="6FE0070F" w14:textId="77777777" w:rsidR="007B1D73" w:rsidRDefault="007B1D73" w:rsidP="00FD7D21">
            <w:r>
              <w:t>No difference</w:t>
            </w:r>
          </w:p>
        </w:tc>
        <w:tc>
          <w:tcPr>
            <w:tcW w:w="1440" w:type="dxa"/>
          </w:tcPr>
          <w:p w14:paraId="007BB168" w14:textId="77777777" w:rsidR="007B1D73" w:rsidRDefault="007B1D73" w:rsidP="00FD7D21">
            <w:r>
              <w:t>No difference</w:t>
            </w:r>
          </w:p>
        </w:tc>
        <w:tc>
          <w:tcPr>
            <w:tcW w:w="1440" w:type="dxa"/>
          </w:tcPr>
          <w:p w14:paraId="24518613" w14:textId="77777777" w:rsidR="007B1D73" w:rsidRDefault="007B1D73" w:rsidP="00FD7D21">
            <w:pPr>
              <w:jc w:val="center"/>
            </w:pPr>
            <w:r>
              <w:t>–</w:t>
            </w:r>
          </w:p>
        </w:tc>
        <w:tc>
          <w:tcPr>
            <w:tcW w:w="5940" w:type="dxa"/>
          </w:tcPr>
          <w:p w14:paraId="66914F95" w14:textId="77777777" w:rsidR="007B1D73" w:rsidRDefault="007B1D73" w:rsidP="00FD7D21">
            <w:r>
              <w:t>No difference in nerve injury</w:t>
            </w:r>
          </w:p>
        </w:tc>
      </w:tr>
      <w:tr w:rsidR="007B1D73" w14:paraId="4F395BEA" w14:textId="77777777" w:rsidTr="004826D3">
        <w:tc>
          <w:tcPr>
            <w:tcW w:w="1710" w:type="dxa"/>
            <w:shd w:val="clear" w:color="auto" w:fill="D9D9D9" w:themeFill="background1" w:themeFillShade="D9"/>
          </w:tcPr>
          <w:p w14:paraId="72E44B46" w14:textId="77777777" w:rsidR="007B1D73" w:rsidRPr="00AC19EB" w:rsidRDefault="007B1D73">
            <w:pPr>
              <w:rPr>
                <w:b/>
              </w:rPr>
            </w:pPr>
            <w:r>
              <w:rPr>
                <w:b/>
              </w:rPr>
              <w:t>Li 2020</w:t>
            </w:r>
          </w:p>
        </w:tc>
        <w:tc>
          <w:tcPr>
            <w:tcW w:w="1980" w:type="dxa"/>
          </w:tcPr>
          <w:p w14:paraId="3B28BF08" w14:textId="77777777" w:rsidR="007B1D73" w:rsidRDefault="007B1D73" w:rsidP="00D06783">
            <w:r>
              <w:t>↓ in POD0, no difference in POD1</w:t>
            </w:r>
          </w:p>
        </w:tc>
        <w:tc>
          <w:tcPr>
            <w:tcW w:w="1440" w:type="dxa"/>
          </w:tcPr>
          <w:p w14:paraId="25356076" w14:textId="77777777" w:rsidR="007B1D73" w:rsidRDefault="007B1D73" w:rsidP="00262DD9">
            <w:pPr>
              <w:jc w:val="center"/>
            </w:pPr>
            <w:r>
              <w:t>–</w:t>
            </w:r>
          </w:p>
        </w:tc>
        <w:tc>
          <w:tcPr>
            <w:tcW w:w="1620" w:type="dxa"/>
          </w:tcPr>
          <w:p w14:paraId="0BC25E72" w14:textId="77777777" w:rsidR="007B1D73" w:rsidRDefault="007B1D73">
            <w:r>
              <w:t>No difference</w:t>
            </w:r>
          </w:p>
        </w:tc>
        <w:tc>
          <w:tcPr>
            <w:tcW w:w="1440" w:type="dxa"/>
          </w:tcPr>
          <w:p w14:paraId="3AADEB25" w14:textId="77777777" w:rsidR="007B1D73" w:rsidRDefault="007B1D73" w:rsidP="00D30FCD">
            <w:r>
              <w:t>No difference in POD1</w:t>
            </w:r>
          </w:p>
        </w:tc>
        <w:tc>
          <w:tcPr>
            <w:tcW w:w="1440" w:type="dxa"/>
          </w:tcPr>
          <w:p w14:paraId="3D22B8F7" w14:textId="77777777" w:rsidR="007B1D73" w:rsidRDefault="007B1D73" w:rsidP="00912D6D">
            <w:r>
              <w:t>No difference in POD1</w:t>
            </w:r>
          </w:p>
        </w:tc>
        <w:tc>
          <w:tcPr>
            <w:tcW w:w="5940" w:type="dxa"/>
          </w:tcPr>
          <w:p w14:paraId="781EC35A" w14:textId="77777777" w:rsidR="007B1D73" w:rsidRDefault="007B1D73">
            <w:r>
              <w:t xml:space="preserve">No difference in nausea, vomiting, wound swelling, wound drainage, wound delayed healing, falls after surgery, calf numbness, DVT below knee, DVT above knee, pulmonary embolism, infection, neurovascular events, </w:t>
            </w:r>
            <w:proofErr w:type="gramStart"/>
            <w:r>
              <w:t>three month</w:t>
            </w:r>
            <w:proofErr w:type="gramEnd"/>
            <w:r>
              <w:t xml:space="preserve"> readmission</w:t>
            </w:r>
          </w:p>
        </w:tc>
      </w:tr>
      <w:tr w:rsidR="007B1D73" w14:paraId="69CBFE49" w14:textId="77777777" w:rsidTr="004826D3">
        <w:tc>
          <w:tcPr>
            <w:tcW w:w="1710" w:type="dxa"/>
            <w:shd w:val="clear" w:color="auto" w:fill="D9D9D9" w:themeFill="background1" w:themeFillShade="D9"/>
          </w:tcPr>
          <w:p w14:paraId="66880289" w14:textId="77777777" w:rsidR="007B1D73" w:rsidRPr="00AC19EB" w:rsidRDefault="007B1D73">
            <w:pPr>
              <w:rPr>
                <w:b/>
              </w:rPr>
            </w:pPr>
            <w:r>
              <w:rPr>
                <w:b/>
              </w:rPr>
              <w:t>Ochroch 2020</w:t>
            </w:r>
          </w:p>
        </w:tc>
        <w:tc>
          <w:tcPr>
            <w:tcW w:w="1980" w:type="dxa"/>
          </w:tcPr>
          <w:p w14:paraId="0AD63C81" w14:textId="77777777" w:rsidR="007B1D73" w:rsidRDefault="00FA1BB7" w:rsidP="00FA1BB7">
            <w:r>
              <w:t>↓ in POD1</w:t>
            </w:r>
          </w:p>
        </w:tc>
        <w:tc>
          <w:tcPr>
            <w:tcW w:w="1440" w:type="dxa"/>
          </w:tcPr>
          <w:p w14:paraId="57DBE892" w14:textId="77777777" w:rsidR="007B1D73" w:rsidRDefault="007B1D73" w:rsidP="00D06783">
            <w:r>
              <w:t>No difference in POD1</w:t>
            </w:r>
          </w:p>
        </w:tc>
        <w:tc>
          <w:tcPr>
            <w:tcW w:w="1620" w:type="dxa"/>
          </w:tcPr>
          <w:p w14:paraId="2A75FC5C" w14:textId="77777777" w:rsidR="007B1D73" w:rsidRDefault="007B1D73" w:rsidP="00256C30">
            <w:pPr>
              <w:jc w:val="center"/>
            </w:pPr>
            <w:r>
              <w:t>–</w:t>
            </w:r>
          </w:p>
        </w:tc>
        <w:tc>
          <w:tcPr>
            <w:tcW w:w="1440" w:type="dxa"/>
          </w:tcPr>
          <w:p w14:paraId="0B5F2EAA" w14:textId="77777777" w:rsidR="007B1D73" w:rsidRDefault="007B1D73">
            <w:r>
              <w:t>No difference in POD0 and POD1</w:t>
            </w:r>
          </w:p>
        </w:tc>
        <w:tc>
          <w:tcPr>
            <w:tcW w:w="1440" w:type="dxa"/>
          </w:tcPr>
          <w:p w14:paraId="5D8DF00B" w14:textId="77777777" w:rsidR="007B1D73" w:rsidRDefault="007B1D73" w:rsidP="00285A7E">
            <w:pPr>
              <w:jc w:val="center"/>
            </w:pPr>
            <w:r>
              <w:t>–</w:t>
            </w:r>
          </w:p>
        </w:tc>
        <w:tc>
          <w:tcPr>
            <w:tcW w:w="5940" w:type="dxa"/>
          </w:tcPr>
          <w:p w14:paraId="293ED05B" w14:textId="77777777" w:rsidR="007B1D73" w:rsidRDefault="007B1D73">
            <w:r>
              <w:t>No complications noted in study</w:t>
            </w:r>
          </w:p>
        </w:tc>
      </w:tr>
      <w:tr w:rsidR="007B1D73" w14:paraId="6973E67E" w14:textId="77777777" w:rsidTr="004826D3">
        <w:tc>
          <w:tcPr>
            <w:tcW w:w="1710" w:type="dxa"/>
            <w:shd w:val="clear" w:color="auto" w:fill="D9D9D9" w:themeFill="background1" w:themeFillShade="D9"/>
          </w:tcPr>
          <w:p w14:paraId="51E71E72" w14:textId="77777777" w:rsidR="007B1D73" w:rsidRPr="00AC19EB" w:rsidRDefault="007B1D73">
            <w:pPr>
              <w:rPr>
                <w:b/>
              </w:rPr>
            </w:pPr>
            <w:r w:rsidRPr="00AC19EB">
              <w:rPr>
                <w:b/>
              </w:rPr>
              <w:t>Patterson 2020</w:t>
            </w:r>
          </w:p>
        </w:tc>
        <w:tc>
          <w:tcPr>
            <w:tcW w:w="1980" w:type="dxa"/>
          </w:tcPr>
          <w:p w14:paraId="2A87D2C8" w14:textId="77777777" w:rsidR="007B1D73" w:rsidRDefault="007B1D73" w:rsidP="00BB3E3F">
            <w:r>
              <w:t>↓ in PACU, no difference in POD1</w:t>
            </w:r>
          </w:p>
        </w:tc>
        <w:tc>
          <w:tcPr>
            <w:tcW w:w="1440" w:type="dxa"/>
          </w:tcPr>
          <w:p w14:paraId="37AE148E" w14:textId="77777777" w:rsidR="007B1D73" w:rsidRDefault="007B1D73" w:rsidP="00B921B5">
            <w:pPr>
              <w:jc w:val="center"/>
            </w:pPr>
            <w:r>
              <w:t>–</w:t>
            </w:r>
          </w:p>
        </w:tc>
        <w:tc>
          <w:tcPr>
            <w:tcW w:w="1620" w:type="dxa"/>
          </w:tcPr>
          <w:p w14:paraId="2C575385" w14:textId="77777777" w:rsidR="007B1D73" w:rsidRDefault="007B1D73">
            <w:r>
              <w:t>No difference</w:t>
            </w:r>
          </w:p>
        </w:tc>
        <w:tc>
          <w:tcPr>
            <w:tcW w:w="1440" w:type="dxa"/>
          </w:tcPr>
          <w:p w14:paraId="2D2BD72E" w14:textId="77777777" w:rsidR="007B1D73" w:rsidRDefault="007B1D73" w:rsidP="009D3BCB">
            <w:r>
              <w:t>No difference in POD1</w:t>
            </w:r>
          </w:p>
        </w:tc>
        <w:tc>
          <w:tcPr>
            <w:tcW w:w="1440" w:type="dxa"/>
          </w:tcPr>
          <w:p w14:paraId="05EACC97" w14:textId="77777777" w:rsidR="007B1D73" w:rsidRDefault="007B1D73" w:rsidP="00891389">
            <w:pPr>
              <w:jc w:val="center"/>
            </w:pPr>
            <w:r>
              <w:t>–</w:t>
            </w:r>
          </w:p>
        </w:tc>
        <w:tc>
          <w:tcPr>
            <w:tcW w:w="5940" w:type="dxa"/>
          </w:tcPr>
          <w:p w14:paraId="1BB77E45" w14:textId="77777777" w:rsidR="007B1D73" w:rsidRDefault="007B1D73">
            <w:r>
              <w:t>No difference in nausea, vomiting, pruritus, and sedation</w:t>
            </w:r>
          </w:p>
        </w:tc>
      </w:tr>
      <w:tr w:rsidR="007B1D73" w14:paraId="2F81F659" w14:textId="77777777" w:rsidTr="004826D3">
        <w:tc>
          <w:tcPr>
            <w:tcW w:w="1710" w:type="dxa"/>
            <w:shd w:val="clear" w:color="auto" w:fill="D9D9D9" w:themeFill="background1" w:themeFillShade="D9"/>
          </w:tcPr>
          <w:p w14:paraId="1E5E7047" w14:textId="77777777" w:rsidR="007B1D73" w:rsidRPr="00AC19EB" w:rsidRDefault="007B1D73">
            <w:pPr>
              <w:rPr>
                <w:b/>
              </w:rPr>
            </w:pPr>
            <w:r>
              <w:rPr>
                <w:b/>
              </w:rPr>
              <w:t>Tak 2020</w:t>
            </w:r>
          </w:p>
        </w:tc>
        <w:tc>
          <w:tcPr>
            <w:tcW w:w="1980" w:type="dxa"/>
          </w:tcPr>
          <w:p w14:paraId="28061AFA" w14:textId="77777777" w:rsidR="007B1D73" w:rsidRDefault="007B1D73" w:rsidP="00BB3E3F">
            <w:r>
              <w:t>↑ in POD0 and POD1 when compared to cACB group but not ACB group</w:t>
            </w:r>
          </w:p>
        </w:tc>
        <w:tc>
          <w:tcPr>
            <w:tcW w:w="1440" w:type="dxa"/>
          </w:tcPr>
          <w:p w14:paraId="0D45B1BB" w14:textId="77777777" w:rsidR="007B1D73" w:rsidRDefault="007B1D73" w:rsidP="00EF4E91">
            <w:pPr>
              <w:jc w:val="center"/>
            </w:pPr>
            <w:r>
              <w:t>–</w:t>
            </w:r>
          </w:p>
        </w:tc>
        <w:tc>
          <w:tcPr>
            <w:tcW w:w="1620" w:type="dxa"/>
          </w:tcPr>
          <w:p w14:paraId="45BFFC4B" w14:textId="77777777" w:rsidR="007B1D73" w:rsidRDefault="007B1D73" w:rsidP="001D79C6">
            <w:pPr>
              <w:jc w:val="center"/>
            </w:pPr>
            <w:r>
              <w:t>–</w:t>
            </w:r>
          </w:p>
        </w:tc>
        <w:tc>
          <w:tcPr>
            <w:tcW w:w="1440" w:type="dxa"/>
          </w:tcPr>
          <w:p w14:paraId="713EAD46" w14:textId="77777777" w:rsidR="007B1D73" w:rsidRDefault="007B1D73" w:rsidP="00DB5DCF">
            <w:pPr>
              <w:jc w:val="center"/>
            </w:pPr>
            <w:r>
              <w:t>–</w:t>
            </w:r>
          </w:p>
        </w:tc>
        <w:tc>
          <w:tcPr>
            <w:tcW w:w="1440" w:type="dxa"/>
          </w:tcPr>
          <w:p w14:paraId="0C8A4314" w14:textId="77777777" w:rsidR="007B1D73" w:rsidRDefault="007B1D73" w:rsidP="00A662C4">
            <w:pPr>
              <w:jc w:val="center"/>
            </w:pPr>
            <w:r>
              <w:t>–</w:t>
            </w:r>
          </w:p>
        </w:tc>
        <w:tc>
          <w:tcPr>
            <w:tcW w:w="5940" w:type="dxa"/>
          </w:tcPr>
          <w:p w14:paraId="2F3C186E" w14:textId="77777777" w:rsidR="007B1D73" w:rsidRDefault="007B1D73" w:rsidP="0077193B">
            <w:pPr>
              <w:jc w:val="center"/>
            </w:pPr>
            <w:r>
              <w:t>–</w:t>
            </w:r>
          </w:p>
        </w:tc>
      </w:tr>
      <w:tr w:rsidR="007B1D73" w14:paraId="4E70DD85" w14:textId="77777777" w:rsidTr="004826D3">
        <w:tc>
          <w:tcPr>
            <w:tcW w:w="1710" w:type="dxa"/>
            <w:shd w:val="clear" w:color="auto" w:fill="D9D9D9" w:themeFill="background1" w:themeFillShade="D9"/>
          </w:tcPr>
          <w:p w14:paraId="27D48BA0" w14:textId="77777777" w:rsidR="007B1D73" w:rsidRPr="00AC19EB" w:rsidRDefault="007B1D73">
            <w:pPr>
              <w:rPr>
                <w:b/>
              </w:rPr>
            </w:pPr>
            <w:r>
              <w:rPr>
                <w:b/>
              </w:rPr>
              <w:t>Vichainarong 2020</w:t>
            </w:r>
          </w:p>
        </w:tc>
        <w:tc>
          <w:tcPr>
            <w:tcW w:w="1980" w:type="dxa"/>
          </w:tcPr>
          <w:p w14:paraId="1FFD440E" w14:textId="77777777" w:rsidR="007B1D73" w:rsidRDefault="007B1D73" w:rsidP="00AE5E11">
            <w:r>
              <w:t>No difference in PACU and POD1</w:t>
            </w:r>
          </w:p>
        </w:tc>
        <w:tc>
          <w:tcPr>
            <w:tcW w:w="1440" w:type="dxa"/>
          </w:tcPr>
          <w:p w14:paraId="52289923" w14:textId="77777777" w:rsidR="007B1D73" w:rsidRDefault="007B1D73" w:rsidP="00EF4E91">
            <w:pPr>
              <w:jc w:val="center"/>
            </w:pPr>
            <w:r>
              <w:t>–</w:t>
            </w:r>
          </w:p>
        </w:tc>
        <w:tc>
          <w:tcPr>
            <w:tcW w:w="1620" w:type="dxa"/>
          </w:tcPr>
          <w:p w14:paraId="7A87BB90" w14:textId="77777777" w:rsidR="007B1D73" w:rsidRDefault="007B1D73" w:rsidP="00F42629">
            <w:pPr>
              <w:jc w:val="center"/>
            </w:pPr>
            <w:r>
              <w:t>↓</w:t>
            </w:r>
          </w:p>
        </w:tc>
        <w:tc>
          <w:tcPr>
            <w:tcW w:w="1440" w:type="dxa"/>
          </w:tcPr>
          <w:p w14:paraId="44337A13" w14:textId="77777777" w:rsidR="007B1D73" w:rsidRDefault="007B1D73" w:rsidP="00DC2266">
            <w:pPr>
              <w:jc w:val="center"/>
            </w:pPr>
            <w:r>
              <w:t>–</w:t>
            </w:r>
          </w:p>
        </w:tc>
        <w:tc>
          <w:tcPr>
            <w:tcW w:w="1440" w:type="dxa"/>
          </w:tcPr>
          <w:p w14:paraId="05DF0100" w14:textId="77777777" w:rsidR="007B1D73" w:rsidRDefault="007B1D73" w:rsidP="00CB717E">
            <w:r>
              <w:t>↓ ROM extension in POD1, ↓ ROM flexion in POD0</w:t>
            </w:r>
          </w:p>
        </w:tc>
        <w:tc>
          <w:tcPr>
            <w:tcW w:w="5940" w:type="dxa"/>
          </w:tcPr>
          <w:p w14:paraId="57360529" w14:textId="77777777" w:rsidR="007B1D73" w:rsidRDefault="007B1D73" w:rsidP="00230F4D">
            <w:r>
              <w:t>No difference in nausea, vomiting, dizziness, and sleep disturbance</w:t>
            </w:r>
          </w:p>
        </w:tc>
      </w:tr>
    </w:tbl>
    <w:p w14:paraId="21A58F5E" w14:textId="6DB030D6" w:rsidR="00E87519" w:rsidRDefault="00166A1F" w:rsidP="00E17AF9">
      <w:r>
        <w:rPr>
          <w:b/>
        </w:rPr>
        <w:t xml:space="preserve">Supplemental Table </w:t>
      </w:r>
      <w:r w:rsidR="002D6448">
        <w:rPr>
          <w:b/>
        </w:rPr>
        <w:t>S</w:t>
      </w:r>
      <w:r>
        <w:rPr>
          <w:b/>
        </w:rPr>
        <w:t>1</w:t>
      </w:r>
      <w:r w:rsidR="00147358" w:rsidRPr="00147358">
        <w:rPr>
          <w:b/>
        </w:rPr>
        <w:t>.</w:t>
      </w:r>
      <w:r w:rsidR="00147358">
        <w:t xml:space="preserve"> </w:t>
      </w:r>
      <w:r w:rsidR="00B921B5">
        <w:t>Comparisons for secondary outcomes of measures are reported between iPACK and control arms</w:t>
      </w:r>
      <w:r w:rsidR="008262CE">
        <w:t xml:space="preserve"> up to 24 hours postoperatively</w:t>
      </w:r>
      <w:r w:rsidR="00B921B5">
        <w:t xml:space="preserve">. </w:t>
      </w:r>
      <w:r w:rsidR="00DC7E6F">
        <w:t xml:space="preserve">For certain outcomes, studies presented them at POD2, although these are not displayed in the table. </w:t>
      </w:r>
      <w:r w:rsidR="002B3234">
        <w:t>↑ refers to significantly higher scores in the iPACK cohort vs control cohort. ↓ refers to significantly lower scores in the iPACK cohort vs control cohort.</w:t>
      </w:r>
      <w:r w:rsidR="00F974DA">
        <w:t xml:space="preserve"> </w:t>
      </w:r>
      <w:r w:rsidR="00C37342">
        <w:t>“</w:t>
      </w:r>
      <w:proofErr w:type="gramStart"/>
      <w:r w:rsidR="0062786A">
        <w:t>–</w:t>
      </w:r>
      <w:r w:rsidR="00C37342">
        <w:t>“</w:t>
      </w:r>
      <w:r w:rsidR="0062786A">
        <w:t xml:space="preserve"> =</w:t>
      </w:r>
      <w:proofErr w:type="gramEnd"/>
      <w:r w:rsidR="0062786A">
        <w:t xml:space="preserve"> not reported</w:t>
      </w:r>
      <w:r w:rsidR="00E17AF9">
        <w:t>, PACU = post-operative care unit, POD = post-operative day</w:t>
      </w:r>
      <w:r w:rsidR="00F974DA">
        <w:t>, cACB = continuous adductor canal block, ACB = single-shot adductor canal block</w:t>
      </w:r>
      <w:r w:rsidR="00B73B1D">
        <w:t>, iPACK1 = proximal iPACK block, iPACK2 = distal iPACK block, TNB = tibial nerve block.</w:t>
      </w:r>
    </w:p>
    <w:p w14:paraId="6779CF94" w14:textId="77777777" w:rsidR="0033636D" w:rsidRDefault="0033636D" w:rsidP="00E17AF9"/>
    <w:p w14:paraId="471D5714" w14:textId="77777777" w:rsidR="0033636D" w:rsidRPr="00DA1FA0" w:rsidRDefault="0033636D" w:rsidP="0033636D">
      <w:pPr>
        <w:pStyle w:val="Normal1"/>
        <w:spacing w:after="0" w:line="360" w:lineRule="auto"/>
        <w:rPr>
          <w:rStyle w:val="normalchar1"/>
          <w:rFonts w:ascii="Arial" w:hAnsi="Arial" w:cs="Arial"/>
          <w:b/>
          <w:sz w:val="24"/>
          <w:szCs w:val="24"/>
          <w:u w:val="single"/>
        </w:rPr>
      </w:pPr>
      <w:r w:rsidRPr="00DA1FA0">
        <w:rPr>
          <w:rStyle w:val="normalchar1"/>
          <w:rFonts w:ascii="Arial" w:hAnsi="Arial" w:cs="Arial"/>
          <w:b/>
          <w:sz w:val="24"/>
          <w:szCs w:val="24"/>
          <w:u w:val="single"/>
        </w:rPr>
        <w:t>Supplemental Material (Search Strategy)</w:t>
      </w:r>
    </w:p>
    <w:p w14:paraId="4BA26CD6" w14:textId="77777777" w:rsidR="0033636D" w:rsidRPr="003F2F10" w:rsidRDefault="0033636D" w:rsidP="0033636D">
      <w:pPr>
        <w:pStyle w:val="Normal1"/>
        <w:spacing w:after="0" w:line="360" w:lineRule="auto"/>
        <w:rPr>
          <w:rFonts w:ascii="Arial" w:hAnsi="Arial" w:cs="Arial"/>
          <w:sz w:val="24"/>
          <w:szCs w:val="24"/>
        </w:rPr>
      </w:pPr>
      <w:r w:rsidRPr="003F2F10">
        <w:rPr>
          <w:rStyle w:val="normalchar1"/>
          <w:rFonts w:ascii="Arial" w:hAnsi="Arial" w:cs="Arial"/>
          <w:sz w:val="24"/>
          <w:szCs w:val="24"/>
        </w:rPr>
        <w:t xml:space="preserve">The </w:t>
      </w:r>
      <w:r w:rsidRPr="003F2F10">
        <w:rPr>
          <w:rStyle w:val="normalchar1"/>
          <w:rFonts w:ascii="Arial" w:hAnsi="Arial" w:cs="Arial"/>
          <w:b/>
          <w:sz w:val="24"/>
          <w:szCs w:val="24"/>
          <w:u w:val="single"/>
        </w:rPr>
        <w:t>PubMed</w:t>
      </w:r>
      <w:r w:rsidRPr="003F2F10">
        <w:rPr>
          <w:rStyle w:val="normalchar1"/>
          <w:rFonts w:ascii="Arial" w:hAnsi="Arial" w:cs="Arial"/>
          <w:sz w:val="24"/>
          <w:szCs w:val="24"/>
        </w:rPr>
        <w:t xml:space="preserve"> search strategy will employ the following terms (yielded </w:t>
      </w:r>
      <w:r>
        <w:rPr>
          <w:rStyle w:val="normalchar1"/>
          <w:rFonts w:ascii="Arial" w:hAnsi="Arial" w:cs="Arial"/>
          <w:b/>
          <w:bCs/>
          <w:sz w:val="24"/>
          <w:szCs w:val="24"/>
          <w:u w:val="single"/>
        </w:rPr>
        <w:t>1,158</w:t>
      </w:r>
      <w:r w:rsidRPr="003F2F10">
        <w:rPr>
          <w:rStyle w:val="normalchar1"/>
          <w:rFonts w:ascii="Arial" w:hAnsi="Arial" w:cs="Arial"/>
          <w:b/>
          <w:bCs/>
          <w:sz w:val="24"/>
          <w:szCs w:val="24"/>
          <w:u w:val="single"/>
        </w:rPr>
        <w:t xml:space="preserve"> hits on </w:t>
      </w:r>
      <w:r>
        <w:rPr>
          <w:rStyle w:val="normalchar1"/>
          <w:rFonts w:ascii="Arial" w:hAnsi="Arial" w:cs="Arial"/>
          <w:b/>
          <w:bCs/>
          <w:sz w:val="24"/>
          <w:szCs w:val="24"/>
          <w:u w:val="single"/>
        </w:rPr>
        <w:t>10-11-20</w:t>
      </w:r>
      <w:r w:rsidRPr="003F2F10">
        <w:rPr>
          <w:rStyle w:val="normalchar1"/>
          <w:rFonts w:ascii="Arial" w:hAnsi="Arial" w:cs="Arial"/>
          <w:sz w:val="24"/>
          <w:szCs w:val="24"/>
        </w:rPr>
        <w:t xml:space="preserve">): </w:t>
      </w:r>
    </w:p>
    <w:p w14:paraId="31362E07" w14:textId="77777777" w:rsidR="0033636D" w:rsidRDefault="0033636D" w:rsidP="0033636D">
      <w:pPr>
        <w:pStyle w:val="Normal1"/>
        <w:spacing w:after="0" w:line="360" w:lineRule="auto"/>
        <w:rPr>
          <w:rStyle w:val="normalchar1"/>
          <w:rFonts w:ascii="Arial" w:hAnsi="Arial" w:cs="Arial"/>
          <w:sz w:val="24"/>
          <w:szCs w:val="24"/>
        </w:rPr>
      </w:pPr>
      <w:r>
        <w:rPr>
          <w:rStyle w:val="normalchar1"/>
          <w:rFonts w:ascii="Arial" w:hAnsi="Arial" w:cs="Arial"/>
          <w:sz w:val="24"/>
          <w:szCs w:val="24"/>
        </w:rPr>
        <w:t>(“Arthroplasty, replacement, knee”[Mesh] OR “total knee arthroplasty”[tiab] OR “knee arthroplasty”[tiab] OR “knee joint”[Mesh] OR “knee surgery”[tiab] OR “joint capsule”[Mesh]) AND (“IPACK”[tiab] OR “Nerve block”[Mesh] OR “Popliteal artery”[Mesh] OR “Anesthetics, local”[Mesh]) AND (“Pain, postoperative”[Mesh] OR “postoperative pain”[tiab] OR “Recovery of function”[Mesh] OR “analgesics, opioid”[Mesh] OR “pain measurement”[Mesh] OR “patient satisfaction”[Mesh] OR “treatment outcome”[Mesh] OR “opioid consumption”[tiab] OR “pain score”[tiab])</w:t>
      </w:r>
    </w:p>
    <w:p w14:paraId="069085AF" w14:textId="77777777" w:rsidR="0033636D" w:rsidRDefault="0033636D" w:rsidP="0033636D">
      <w:pPr>
        <w:pStyle w:val="Normal1"/>
        <w:spacing w:after="0" w:line="360" w:lineRule="auto"/>
        <w:rPr>
          <w:rStyle w:val="normalchar1"/>
          <w:rFonts w:ascii="Arial" w:hAnsi="Arial" w:cs="Arial"/>
          <w:sz w:val="24"/>
          <w:szCs w:val="24"/>
        </w:rPr>
      </w:pPr>
    </w:p>
    <w:p w14:paraId="71653475" w14:textId="77777777" w:rsidR="0033636D" w:rsidRDefault="0033636D" w:rsidP="0033636D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3F2F10">
        <w:rPr>
          <w:rStyle w:val="normalchar1"/>
          <w:rFonts w:ascii="Arial" w:hAnsi="Arial" w:cs="Arial"/>
          <w:sz w:val="24"/>
          <w:szCs w:val="24"/>
        </w:rPr>
        <w:t xml:space="preserve">The </w:t>
      </w:r>
      <w:r w:rsidRPr="003F2F10">
        <w:rPr>
          <w:rStyle w:val="normalchar1"/>
          <w:rFonts w:ascii="Arial" w:hAnsi="Arial" w:cs="Arial"/>
          <w:b/>
          <w:sz w:val="24"/>
          <w:szCs w:val="24"/>
          <w:u w:val="single"/>
        </w:rPr>
        <w:t>Scopus</w:t>
      </w:r>
      <w:r w:rsidRPr="003F2F10">
        <w:rPr>
          <w:rStyle w:val="normalchar1"/>
          <w:rFonts w:ascii="Arial" w:hAnsi="Arial" w:cs="Arial"/>
          <w:sz w:val="24"/>
          <w:szCs w:val="24"/>
        </w:rPr>
        <w:t xml:space="preserve"> search strategy will employ the following terms (yielded </w:t>
      </w:r>
      <w:r>
        <w:rPr>
          <w:rStyle w:val="normalchar1"/>
          <w:rFonts w:ascii="Arial" w:hAnsi="Arial" w:cs="Arial"/>
          <w:b/>
          <w:sz w:val="24"/>
          <w:szCs w:val="24"/>
          <w:u w:val="single"/>
        </w:rPr>
        <w:t>1,176</w:t>
      </w:r>
      <w:r w:rsidRPr="003F2F10">
        <w:rPr>
          <w:rStyle w:val="normalchar1"/>
          <w:rFonts w:ascii="Arial" w:hAnsi="Arial" w:cs="Arial"/>
          <w:b/>
          <w:sz w:val="24"/>
          <w:szCs w:val="24"/>
          <w:u w:val="single"/>
        </w:rPr>
        <w:t xml:space="preserve"> </w:t>
      </w:r>
      <w:r w:rsidRPr="003F2F10">
        <w:rPr>
          <w:rStyle w:val="normalchar1"/>
          <w:rFonts w:ascii="Arial" w:hAnsi="Arial" w:cs="Arial"/>
          <w:b/>
          <w:bCs/>
          <w:sz w:val="24"/>
          <w:szCs w:val="24"/>
          <w:u w:val="single"/>
        </w:rPr>
        <w:t xml:space="preserve">hits on </w:t>
      </w:r>
      <w:r>
        <w:rPr>
          <w:rStyle w:val="normalchar1"/>
          <w:rFonts w:ascii="Arial" w:hAnsi="Arial" w:cs="Arial"/>
          <w:b/>
          <w:bCs/>
          <w:sz w:val="24"/>
          <w:szCs w:val="24"/>
          <w:u w:val="single"/>
        </w:rPr>
        <w:t>10-11-20</w:t>
      </w:r>
      <w:r w:rsidRPr="003F2F10">
        <w:rPr>
          <w:rStyle w:val="normalchar1"/>
          <w:rFonts w:ascii="Arial" w:hAnsi="Arial" w:cs="Arial"/>
          <w:sz w:val="24"/>
          <w:szCs w:val="24"/>
        </w:rPr>
        <w:t>):</w:t>
      </w:r>
      <w:r>
        <w:rPr>
          <w:rFonts w:ascii="Arial" w:hAnsi="Arial" w:cs="Arial"/>
          <w:sz w:val="24"/>
          <w:szCs w:val="24"/>
        </w:rPr>
        <w:br/>
        <w:t>(“total knee arthroplasty”</w:t>
      </w:r>
      <w:r w:rsidRPr="003F2F10">
        <w:rPr>
          <w:rFonts w:ascii="Arial" w:hAnsi="Arial" w:cs="Arial"/>
          <w:sz w:val="24"/>
          <w:szCs w:val="24"/>
        </w:rPr>
        <w:t xml:space="preserve"> or </w:t>
      </w:r>
      <w:r>
        <w:rPr>
          <w:rFonts w:ascii="Arial" w:hAnsi="Arial" w:cs="Arial"/>
          <w:sz w:val="24"/>
          <w:szCs w:val="24"/>
        </w:rPr>
        <w:t>“knee surgery”</w:t>
      </w:r>
      <w:r w:rsidRPr="003F2F10">
        <w:rPr>
          <w:rFonts w:ascii="Arial" w:hAnsi="Arial" w:cs="Arial"/>
          <w:sz w:val="24"/>
          <w:szCs w:val="24"/>
        </w:rPr>
        <w:t xml:space="preserve"> or </w:t>
      </w:r>
      <w:r>
        <w:rPr>
          <w:rFonts w:ascii="Arial" w:hAnsi="Arial" w:cs="Arial"/>
          <w:sz w:val="24"/>
          <w:szCs w:val="24"/>
        </w:rPr>
        <w:t>“knee joint”</w:t>
      </w:r>
      <w:r w:rsidRPr="003F2F10">
        <w:rPr>
          <w:rFonts w:ascii="Arial" w:hAnsi="Arial" w:cs="Arial"/>
          <w:sz w:val="24"/>
          <w:szCs w:val="24"/>
        </w:rPr>
        <w:t xml:space="preserve"> or </w:t>
      </w:r>
      <w:r>
        <w:rPr>
          <w:rFonts w:ascii="Arial" w:hAnsi="Arial" w:cs="Arial"/>
          <w:sz w:val="24"/>
          <w:szCs w:val="24"/>
        </w:rPr>
        <w:t>“posterior capsule”)</w:t>
      </w:r>
    </w:p>
    <w:p w14:paraId="529A5AF3" w14:textId="77777777" w:rsidR="0033636D" w:rsidRPr="003F2F10" w:rsidRDefault="0033636D" w:rsidP="0033636D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3F2F10">
        <w:rPr>
          <w:rFonts w:ascii="Arial" w:hAnsi="Arial" w:cs="Arial"/>
          <w:sz w:val="24"/>
          <w:szCs w:val="24"/>
        </w:rPr>
        <w:t>AND (</w:t>
      </w:r>
      <w:r>
        <w:rPr>
          <w:rFonts w:ascii="Arial" w:hAnsi="Arial" w:cs="Arial"/>
          <w:sz w:val="24"/>
          <w:szCs w:val="24"/>
        </w:rPr>
        <w:t>“IPACK”</w:t>
      </w:r>
      <w:r w:rsidRPr="003F2F10">
        <w:rPr>
          <w:rFonts w:ascii="Arial" w:hAnsi="Arial" w:cs="Arial"/>
          <w:sz w:val="24"/>
          <w:szCs w:val="24"/>
        </w:rPr>
        <w:t xml:space="preserve"> or </w:t>
      </w:r>
      <w:r>
        <w:rPr>
          <w:rFonts w:ascii="Arial" w:hAnsi="Arial" w:cs="Arial"/>
          <w:sz w:val="24"/>
          <w:szCs w:val="24"/>
        </w:rPr>
        <w:t>“nerve block”</w:t>
      </w:r>
      <w:r w:rsidRPr="003F2F10">
        <w:rPr>
          <w:rFonts w:ascii="Arial" w:hAnsi="Arial" w:cs="Arial"/>
          <w:sz w:val="24"/>
          <w:szCs w:val="24"/>
        </w:rPr>
        <w:t xml:space="preserve"> or </w:t>
      </w:r>
      <w:r>
        <w:rPr>
          <w:rFonts w:ascii="Arial" w:hAnsi="Arial" w:cs="Arial"/>
          <w:sz w:val="24"/>
          <w:szCs w:val="24"/>
        </w:rPr>
        <w:t>“popliteal artery”</w:t>
      </w:r>
      <w:r w:rsidRPr="003F2F10">
        <w:rPr>
          <w:rFonts w:ascii="Arial" w:hAnsi="Arial" w:cs="Arial"/>
          <w:sz w:val="24"/>
          <w:szCs w:val="24"/>
        </w:rPr>
        <w:t xml:space="preserve"> or </w:t>
      </w:r>
      <w:r>
        <w:rPr>
          <w:rFonts w:ascii="Arial" w:hAnsi="Arial" w:cs="Arial"/>
          <w:sz w:val="24"/>
          <w:szCs w:val="24"/>
        </w:rPr>
        <w:t>“local anesthetic”</w:t>
      </w:r>
      <w:r w:rsidRPr="003F2F10">
        <w:rPr>
          <w:rFonts w:ascii="Arial" w:hAnsi="Arial" w:cs="Arial"/>
          <w:sz w:val="24"/>
          <w:szCs w:val="24"/>
        </w:rPr>
        <w:t>)</w:t>
      </w:r>
    </w:p>
    <w:p w14:paraId="069FEC3B" w14:textId="77777777" w:rsidR="0033636D" w:rsidRPr="003F2F10" w:rsidRDefault="0033636D" w:rsidP="0033636D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3F2F10">
        <w:rPr>
          <w:rFonts w:ascii="Arial" w:hAnsi="Arial" w:cs="Arial"/>
          <w:sz w:val="24"/>
          <w:szCs w:val="24"/>
        </w:rPr>
        <w:t>AND (</w:t>
      </w:r>
      <w:r>
        <w:rPr>
          <w:rFonts w:ascii="Arial" w:hAnsi="Arial" w:cs="Arial"/>
          <w:sz w:val="24"/>
          <w:szCs w:val="24"/>
        </w:rPr>
        <w:t>“pain score”</w:t>
      </w:r>
      <w:r w:rsidRPr="003F2F10">
        <w:rPr>
          <w:rFonts w:ascii="Arial" w:hAnsi="Arial" w:cs="Arial"/>
          <w:sz w:val="24"/>
          <w:szCs w:val="24"/>
        </w:rPr>
        <w:t xml:space="preserve"> or </w:t>
      </w:r>
      <w:r>
        <w:rPr>
          <w:rFonts w:ascii="Arial" w:hAnsi="Arial" w:cs="Arial"/>
          <w:sz w:val="24"/>
          <w:szCs w:val="24"/>
        </w:rPr>
        <w:t>“</w:t>
      </w:r>
      <w:r w:rsidRPr="003F2F10">
        <w:rPr>
          <w:rFonts w:ascii="Arial" w:hAnsi="Arial" w:cs="Arial"/>
          <w:sz w:val="24"/>
          <w:szCs w:val="24"/>
        </w:rPr>
        <w:t>patient satisfaction</w:t>
      </w:r>
      <w:r>
        <w:rPr>
          <w:rFonts w:ascii="Arial" w:hAnsi="Arial" w:cs="Arial"/>
          <w:sz w:val="24"/>
          <w:szCs w:val="24"/>
        </w:rPr>
        <w:t>”</w:t>
      </w:r>
      <w:r w:rsidRPr="003F2F10">
        <w:rPr>
          <w:rFonts w:ascii="Arial" w:hAnsi="Arial" w:cs="Arial"/>
          <w:sz w:val="24"/>
          <w:szCs w:val="24"/>
        </w:rPr>
        <w:t xml:space="preserve"> or </w:t>
      </w:r>
      <w:r>
        <w:rPr>
          <w:rFonts w:ascii="Arial" w:hAnsi="Arial" w:cs="Arial"/>
          <w:sz w:val="24"/>
          <w:szCs w:val="24"/>
        </w:rPr>
        <w:t>“pain measurement”</w:t>
      </w:r>
      <w:r w:rsidRPr="003F2F10">
        <w:rPr>
          <w:rFonts w:ascii="Arial" w:hAnsi="Arial" w:cs="Arial"/>
          <w:sz w:val="24"/>
          <w:szCs w:val="24"/>
        </w:rPr>
        <w:t xml:space="preserve"> or </w:t>
      </w:r>
      <w:r>
        <w:rPr>
          <w:rFonts w:ascii="Arial" w:hAnsi="Arial" w:cs="Arial"/>
          <w:sz w:val="24"/>
          <w:szCs w:val="24"/>
        </w:rPr>
        <w:t>“opioid consumption”</w:t>
      </w:r>
      <w:r w:rsidRPr="003F2F10">
        <w:rPr>
          <w:rFonts w:ascii="Arial" w:hAnsi="Arial" w:cs="Arial"/>
          <w:sz w:val="24"/>
          <w:szCs w:val="24"/>
        </w:rPr>
        <w:t xml:space="preserve"> or </w:t>
      </w:r>
      <w:r>
        <w:rPr>
          <w:rFonts w:ascii="Arial" w:hAnsi="Arial" w:cs="Arial"/>
          <w:sz w:val="24"/>
          <w:szCs w:val="24"/>
        </w:rPr>
        <w:t>“postoperative pain”</w:t>
      </w:r>
      <w:r w:rsidRPr="003F2F10">
        <w:rPr>
          <w:rFonts w:ascii="Arial" w:hAnsi="Arial" w:cs="Arial"/>
          <w:sz w:val="24"/>
          <w:szCs w:val="24"/>
        </w:rPr>
        <w:t>)</w:t>
      </w:r>
    </w:p>
    <w:p w14:paraId="40363FA4" w14:textId="77777777" w:rsidR="0033636D" w:rsidRPr="003F2F10" w:rsidRDefault="0033636D" w:rsidP="0033636D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7C3456DC" w14:textId="77777777" w:rsidR="0033636D" w:rsidRPr="003F2F10" w:rsidRDefault="0033636D" w:rsidP="0033636D">
      <w:pPr>
        <w:spacing w:after="0" w:line="360" w:lineRule="auto"/>
        <w:rPr>
          <w:rStyle w:val="normalchar1"/>
          <w:rFonts w:ascii="Arial" w:hAnsi="Arial" w:cs="Arial"/>
          <w:sz w:val="24"/>
          <w:szCs w:val="24"/>
        </w:rPr>
      </w:pPr>
      <w:r w:rsidRPr="003F2F10">
        <w:rPr>
          <w:rStyle w:val="normalchar1"/>
          <w:rFonts w:ascii="Arial" w:hAnsi="Arial" w:cs="Arial"/>
          <w:sz w:val="24"/>
          <w:szCs w:val="24"/>
        </w:rPr>
        <w:t xml:space="preserve">The </w:t>
      </w:r>
      <w:r w:rsidRPr="003F2F10">
        <w:rPr>
          <w:rStyle w:val="normalchar1"/>
          <w:rFonts w:ascii="Arial" w:hAnsi="Arial" w:cs="Arial"/>
          <w:b/>
          <w:sz w:val="24"/>
          <w:szCs w:val="24"/>
          <w:u w:val="single"/>
        </w:rPr>
        <w:t>Web of Science</w:t>
      </w:r>
      <w:r w:rsidRPr="003F2F10">
        <w:rPr>
          <w:rStyle w:val="normalchar1"/>
          <w:rFonts w:ascii="Arial" w:hAnsi="Arial" w:cs="Arial"/>
          <w:sz w:val="24"/>
          <w:szCs w:val="24"/>
        </w:rPr>
        <w:t xml:space="preserve"> search strategy will employ the following terms (yielded </w:t>
      </w:r>
      <w:r>
        <w:rPr>
          <w:rStyle w:val="normalchar1"/>
          <w:rFonts w:ascii="Arial" w:hAnsi="Arial" w:cs="Arial"/>
          <w:b/>
          <w:sz w:val="24"/>
          <w:szCs w:val="24"/>
          <w:u w:val="single"/>
        </w:rPr>
        <w:t>665</w:t>
      </w:r>
      <w:r w:rsidRPr="003F2F10">
        <w:rPr>
          <w:rStyle w:val="normalchar1"/>
          <w:rFonts w:ascii="Arial" w:hAnsi="Arial" w:cs="Arial"/>
          <w:b/>
          <w:sz w:val="24"/>
          <w:szCs w:val="24"/>
          <w:u w:val="single"/>
        </w:rPr>
        <w:t xml:space="preserve"> </w:t>
      </w:r>
      <w:r>
        <w:rPr>
          <w:rStyle w:val="normalchar1"/>
          <w:rFonts w:ascii="Arial" w:hAnsi="Arial" w:cs="Arial"/>
          <w:b/>
          <w:bCs/>
          <w:sz w:val="24"/>
          <w:szCs w:val="24"/>
          <w:u w:val="single"/>
        </w:rPr>
        <w:t>hits on 10-11-20</w:t>
      </w:r>
      <w:r w:rsidRPr="003F2F10">
        <w:rPr>
          <w:rStyle w:val="normalchar1"/>
          <w:rFonts w:ascii="Arial" w:hAnsi="Arial" w:cs="Arial"/>
          <w:sz w:val="24"/>
          <w:szCs w:val="24"/>
        </w:rPr>
        <w:t>):</w:t>
      </w:r>
    </w:p>
    <w:p w14:paraId="7EF51F6B" w14:textId="77777777" w:rsidR="0033636D" w:rsidRPr="003F2F10" w:rsidRDefault="0033636D" w:rsidP="0033636D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3F2F10">
        <w:rPr>
          <w:rFonts w:ascii="Arial" w:hAnsi="Arial" w:cs="Arial"/>
          <w:sz w:val="24"/>
          <w:szCs w:val="24"/>
        </w:rPr>
        <w:t>(TS</w:t>
      </w:r>
      <w:proofErr w:type="gramStart"/>
      <w:r w:rsidRPr="003F2F10">
        <w:rPr>
          <w:rFonts w:ascii="Arial" w:hAnsi="Arial" w:cs="Arial"/>
          <w:sz w:val="24"/>
          <w:szCs w:val="24"/>
        </w:rPr>
        <w:t>=(</w:t>
      </w:r>
      <w:proofErr w:type="gramEnd"/>
      <w:r>
        <w:rPr>
          <w:rFonts w:ascii="Arial" w:hAnsi="Arial" w:cs="Arial"/>
          <w:sz w:val="24"/>
          <w:szCs w:val="24"/>
        </w:rPr>
        <w:t>“total knee arthroplasty”</w:t>
      </w:r>
      <w:r w:rsidRPr="003F2F10">
        <w:rPr>
          <w:rFonts w:ascii="Arial" w:hAnsi="Arial" w:cs="Arial"/>
          <w:sz w:val="24"/>
          <w:szCs w:val="24"/>
        </w:rPr>
        <w:t xml:space="preserve"> or </w:t>
      </w:r>
      <w:r>
        <w:rPr>
          <w:rFonts w:ascii="Arial" w:hAnsi="Arial" w:cs="Arial"/>
          <w:sz w:val="24"/>
          <w:szCs w:val="24"/>
        </w:rPr>
        <w:t>“knee surgery”</w:t>
      </w:r>
      <w:r w:rsidRPr="003F2F10">
        <w:rPr>
          <w:rFonts w:ascii="Arial" w:hAnsi="Arial" w:cs="Arial"/>
          <w:sz w:val="24"/>
          <w:szCs w:val="24"/>
        </w:rPr>
        <w:t xml:space="preserve"> or </w:t>
      </w:r>
      <w:r>
        <w:rPr>
          <w:rFonts w:ascii="Arial" w:hAnsi="Arial" w:cs="Arial"/>
          <w:sz w:val="24"/>
          <w:szCs w:val="24"/>
        </w:rPr>
        <w:t>“knee joint”</w:t>
      </w:r>
      <w:r w:rsidRPr="003F2F10">
        <w:rPr>
          <w:rFonts w:ascii="Arial" w:hAnsi="Arial" w:cs="Arial"/>
          <w:sz w:val="24"/>
          <w:szCs w:val="24"/>
        </w:rPr>
        <w:t xml:space="preserve"> or </w:t>
      </w:r>
      <w:r>
        <w:rPr>
          <w:rFonts w:ascii="Arial" w:hAnsi="Arial" w:cs="Arial"/>
          <w:sz w:val="24"/>
          <w:szCs w:val="24"/>
        </w:rPr>
        <w:t>“posterior capsule”</w:t>
      </w:r>
      <w:r w:rsidRPr="003F2F10">
        <w:rPr>
          <w:rFonts w:ascii="Arial" w:hAnsi="Arial" w:cs="Arial"/>
          <w:sz w:val="24"/>
          <w:szCs w:val="24"/>
        </w:rPr>
        <w:t>))</w:t>
      </w:r>
    </w:p>
    <w:p w14:paraId="1CC3427C" w14:textId="77777777" w:rsidR="0033636D" w:rsidRPr="003F2F10" w:rsidRDefault="0033636D" w:rsidP="0033636D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3F2F10">
        <w:rPr>
          <w:rFonts w:ascii="Arial" w:hAnsi="Arial" w:cs="Arial"/>
          <w:sz w:val="24"/>
          <w:szCs w:val="24"/>
        </w:rPr>
        <w:t>AND (TS</w:t>
      </w:r>
      <w:proofErr w:type="gramStart"/>
      <w:r w:rsidRPr="003F2F10">
        <w:rPr>
          <w:rFonts w:ascii="Arial" w:hAnsi="Arial" w:cs="Arial"/>
          <w:sz w:val="24"/>
          <w:szCs w:val="24"/>
        </w:rPr>
        <w:t>=(</w:t>
      </w:r>
      <w:proofErr w:type="gramEnd"/>
      <w:r>
        <w:rPr>
          <w:rFonts w:ascii="Arial" w:hAnsi="Arial" w:cs="Arial"/>
          <w:sz w:val="24"/>
          <w:szCs w:val="24"/>
        </w:rPr>
        <w:t>“IPACK”</w:t>
      </w:r>
      <w:r w:rsidRPr="003F2F10">
        <w:rPr>
          <w:rFonts w:ascii="Arial" w:hAnsi="Arial" w:cs="Arial"/>
          <w:sz w:val="24"/>
          <w:szCs w:val="24"/>
        </w:rPr>
        <w:t xml:space="preserve"> or </w:t>
      </w:r>
      <w:r>
        <w:rPr>
          <w:rFonts w:ascii="Arial" w:hAnsi="Arial" w:cs="Arial"/>
          <w:sz w:val="24"/>
          <w:szCs w:val="24"/>
        </w:rPr>
        <w:t>“nerve block”</w:t>
      </w:r>
      <w:r w:rsidRPr="003F2F10">
        <w:rPr>
          <w:rFonts w:ascii="Arial" w:hAnsi="Arial" w:cs="Arial"/>
          <w:sz w:val="24"/>
          <w:szCs w:val="24"/>
        </w:rPr>
        <w:t xml:space="preserve"> or </w:t>
      </w:r>
      <w:r>
        <w:rPr>
          <w:rFonts w:ascii="Arial" w:hAnsi="Arial" w:cs="Arial"/>
          <w:sz w:val="24"/>
          <w:szCs w:val="24"/>
        </w:rPr>
        <w:t>“popliteal artery”</w:t>
      </w:r>
      <w:r w:rsidRPr="003F2F10">
        <w:rPr>
          <w:rFonts w:ascii="Arial" w:hAnsi="Arial" w:cs="Arial"/>
          <w:sz w:val="24"/>
          <w:szCs w:val="24"/>
        </w:rPr>
        <w:t xml:space="preserve"> or </w:t>
      </w:r>
      <w:r>
        <w:rPr>
          <w:rFonts w:ascii="Arial" w:hAnsi="Arial" w:cs="Arial"/>
          <w:sz w:val="24"/>
          <w:szCs w:val="24"/>
        </w:rPr>
        <w:t>“local anesthetic”</w:t>
      </w:r>
      <w:r w:rsidRPr="003F2F10">
        <w:rPr>
          <w:rFonts w:ascii="Arial" w:hAnsi="Arial" w:cs="Arial"/>
          <w:sz w:val="24"/>
          <w:szCs w:val="24"/>
        </w:rPr>
        <w:t>))</w:t>
      </w:r>
    </w:p>
    <w:p w14:paraId="09DA5735" w14:textId="77777777" w:rsidR="0033636D" w:rsidRDefault="0033636D" w:rsidP="0033636D">
      <w:pPr>
        <w:spacing w:after="0" w:line="360" w:lineRule="auto"/>
        <w:rPr>
          <w:rStyle w:val="normalchar1"/>
          <w:rFonts w:ascii="Arial" w:hAnsi="Arial" w:cs="Arial"/>
          <w:sz w:val="24"/>
          <w:szCs w:val="24"/>
        </w:rPr>
      </w:pPr>
      <w:r w:rsidRPr="003F2F10">
        <w:rPr>
          <w:rFonts w:ascii="Arial" w:hAnsi="Arial" w:cs="Arial"/>
          <w:sz w:val="24"/>
          <w:szCs w:val="24"/>
        </w:rPr>
        <w:t>AND (TS</w:t>
      </w:r>
      <w:proofErr w:type="gramStart"/>
      <w:r w:rsidRPr="003F2F10">
        <w:rPr>
          <w:rFonts w:ascii="Arial" w:hAnsi="Arial" w:cs="Arial"/>
          <w:sz w:val="24"/>
          <w:szCs w:val="24"/>
        </w:rPr>
        <w:t>=(</w:t>
      </w:r>
      <w:proofErr w:type="gramEnd"/>
      <w:r>
        <w:rPr>
          <w:rFonts w:ascii="Arial" w:hAnsi="Arial" w:cs="Arial"/>
          <w:sz w:val="24"/>
          <w:szCs w:val="24"/>
        </w:rPr>
        <w:t>“pain score”</w:t>
      </w:r>
      <w:r w:rsidRPr="003F2F10">
        <w:rPr>
          <w:rFonts w:ascii="Arial" w:hAnsi="Arial" w:cs="Arial"/>
          <w:sz w:val="24"/>
          <w:szCs w:val="24"/>
        </w:rPr>
        <w:t xml:space="preserve"> or </w:t>
      </w:r>
      <w:r>
        <w:rPr>
          <w:rFonts w:ascii="Arial" w:hAnsi="Arial" w:cs="Arial"/>
          <w:sz w:val="24"/>
          <w:szCs w:val="24"/>
        </w:rPr>
        <w:t>“</w:t>
      </w:r>
      <w:r w:rsidRPr="003F2F10">
        <w:rPr>
          <w:rFonts w:ascii="Arial" w:hAnsi="Arial" w:cs="Arial"/>
          <w:sz w:val="24"/>
          <w:szCs w:val="24"/>
        </w:rPr>
        <w:t>patient satisfaction</w:t>
      </w:r>
      <w:r>
        <w:rPr>
          <w:rFonts w:ascii="Arial" w:hAnsi="Arial" w:cs="Arial"/>
          <w:sz w:val="24"/>
          <w:szCs w:val="24"/>
        </w:rPr>
        <w:t>”</w:t>
      </w:r>
      <w:r w:rsidRPr="003F2F10">
        <w:rPr>
          <w:rFonts w:ascii="Arial" w:hAnsi="Arial" w:cs="Arial"/>
          <w:sz w:val="24"/>
          <w:szCs w:val="24"/>
        </w:rPr>
        <w:t xml:space="preserve"> or </w:t>
      </w:r>
      <w:r>
        <w:rPr>
          <w:rFonts w:ascii="Arial" w:hAnsi="Arial" w:cs="Arial"/>
          <w:sz w:val="24"/>
          <w:szCs w:val="24"/>
        </w:rPr>
        <w:t>“pain measurement”</w:t>
      </w:r>
      <w:r w:rsidRPr="003F2F10">
        <w:rPr>
          <w:rFonts w:ascii="Arial" w:hAnsi="Arial" w:cs="Arial"/>
          <w:sz w:val="24"/>
          <w:szCs w:val="24"/>
        </w:rPr>
        <w:t xml:space="preserve"> or </w:t>
      </w:r>
      <w:r>
        <w:rPr>
          <w:rFonts w:ascii="Arial" w:hAnsi="Arial" w:cs="Arial"/>
          <w:sz w:val="24"/>
          <w:szCs w:val="24"/>
        </w:rPr>
        <w:t>“opioid consumption”</w:t>
      </w:r>
      <w:r w:rsidRPr="003F2F10">
        <w:rPr>
          <w:rFonts w:ascii="Arial" w:hAnsi="Arial" w:cs="Arial"/>
          <w:sz w:val="24"/>
          <w:szCs w:val="24"/>
        </w:rPr>
        <w:t xml:space="preserve"> or </w:t>
      </w:r>
      <w:r>
        <w:rPr>
          <w:rFonts w:ascii="Arial" w:hAnsi="Arial" w:cs="Arial"/>
          <w:sz w:val="24"/>
          <w:szCs w:val="24"/>
        </w:rPr>
        <w:t>“postoperative pain”</w:t>
      </w:r>
      <w:r w:rsidRPr="003F2F10">
        <w:rPr>
          <w:rFonts w:ascii="Arial" w:hAnsi="Arial" w:cs="Arial"/>
          <w:sz w:val="24"/>
          <w:szCs w:val="24"/>
        </w:rPr>
        <w:t>))</w:t>
      </w:r>
    </w:p>
    <w:p w14:paraId="18503CA9" w14:textId="77777777" w:rsidR="0033636D" w:rsidRPr="003F2F10" w:rsidRDefault="0033636D" w:rsidP="0033636D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5933DFE8" w14:textId="77777777" w:rsidR="0033636D" w:rsidRPr="003F2F10" w:rsidRDefault="0033636D" w:rsidP="0033636D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3F2F10">
        <w:rPr>
          <w:rStyle w:val="normalchar1"/>
          <w:rFonts w:ascii="Arial" w:hAnsi="Arial" w:cs="Arial"/>
          <w:sz w:val="24"/>
          <w:szCs w:val="24"/>
        </w:rPr>
        <w:t xml:space="preserve">The </w:t>
      </w:r>
      <w:r w:rsidRPr="003F2F10">
        <w:rPr>
          <w:rStyle w:val="normalchar1"/>
          <w:rFonts w:ascii="Arial" w:hAnsi="Arial" w:cs="Arial"/>
          <w:b/>
          <w:sz w:val="24"/>
          <w:szCs w:val="24"/>
          <w:u w:val="single"/>
        </w:rPr>
        <w:t>Cochrane</w:t>
      </w:r>
      <w:r w:rsidRPr="003F2F10">
        <w:rPr>
          <w:rStyle w:val="normalchar1"/>
          <w:rFonts w:ascii="Arial" w:hAnsi="Arial" w:cs="Arial"/>
          <w:sz w:val="24"/>
          <w:szCs w:val="24"/>
        </w:rPr>
        <w:t xml:space="preserve"> search strategy will employ the following terms (yielded </w:t>
      </w:r>
      <w:r>
        <w:rPr>
          <w:rStyle w:val="normalchar1"/>
          <w:rFonts w:ascii="Arial" w:hAnsi="Arial" w:cs="Arial"/>
          <w:b/>
          <w:sz w:val="24"/>
          <w:szCs w:val="24"/>
          <w:u w:val="single"/>
        </w:rPr>
        <w:t>35</w:t>
      </w:r>
      <w:r w:rsidRPr="003F2F10">
        <w:rPr>
          <w:rStyle w:val="normalchar1"/>
          <w:rFonts w:ascii="Arial" w:hAnsi="Arial" w:cs="Arial"/>
          <w:b/>
          <w:sz w:val="24"/>
          <w:szCs w:val="24"/>
          <w:u w:val="single"/>
        </w:rPr>
        <w:t xml:space="preserve"> </w:t>
      </w:r>
      <w:r w:rsidRPr="003F2F10">
        <w:rPr>
          <w:rStyle w:val="normalchar1"/>
          <w:rFonts w:ascii="Arial" w:hAnsi="Arial" w:cs="Arial"/>
          <w:b/>
          <w:bCs/>
          <w:sz w:val="24"/>
          <w:szCs w:val="24"/>
          <w:u w:val="single"/>
        </w:rPr>
        <w:t xml:space="preserve">hits on </w:t>
      </w:r>
      <w:r>
        <w:rPr>
          <w:rStyle w:val="normalchar1"/>
          <w:rFonts w:ascii="Arial" w:hAnsi="Arial" w:cs="Arial"/>
          <w:b/>
          <w:bCs/>
          <w:sz w:val="24"/>
          <w:szCs w:val="24"/>
          <w:u w:val="single"/>
        </w:rPr>
        <w:t>10-11-20</w:t>
      </w:r>
      <w:r w:rsidRPr="003F2F10">
        <w:rPr>
          <w:rStyle w:val="normalchar1"/>
          <w:rFonts w:ascii="Arial" w:hAnsi="Arial" w:cs="Arial"/>
          <w:sz w:val="24"/>
          <w:szCs w:val="24"/>
        </w:rPr>
        <w:t>):</w:t>
      </w:r>
    </w:p>
    <w:p w14:paraId="3621B02F" w14:textId="77777777" w:rsidR="0033636D" w:rsidRPr="003F2F10" w:rsidRDefault="0033636D" w:rsidP="0033636D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3F2F10">
        <w:rPr>
          <w:rFonts w:ascii="Arial" w:hAnsi="Arial" w:cs="Arial"/>
          <w:sz w:val="24"/>
          <w:szCs w:val="24"/>
        </w:rPr>
        <w:t>(</w:t>
      </w:r>
      <w:r>
        <w:rPr>
          <w:rFonts w:ascii="Arial" w:hAnsi="Arial" w:cs="Arial"/>
          <w:sz w:val="24"/>
          <w:szCs w:val="24"/>
        </w:rPr>
        <w:t xml:space="preserve">total knee </w:t>
      </w:r>
      <w:proofErr w:type="gramStart"/>
      <w:r>
        <w:rPr>
          <w:rFonts w:ascii="Arial" w:hAnsi="Arial" w:cs="Arial"/>
          <w:sz w:val="24"/>
          <w:szCs w:val="24"/>
        </w:rPr>
        <w:t>arthroplasty</w:t>
      </w:r>
      <w:r w:rsidRPr="003F2F10">
        <w:rPr>
          <w:rFonts w:ascii="Arial" w:hAnsi="Arial" w:cs="Arial"/>
          <w:sz w:val="24"/>
          <w:szCs w:val="24"/>
        </w:rPr>
        <w:t>:ti</w:t>
      </w:r>
      <w:proofErr w:type="gramEnd"/>
      <w:r w:rsidRPr="003F2F10">
        <w:rPr>
          <w:rFonts w:ascii="Arial" w:hAnsi="Arial" w:cs="Arial"/>
          <w:sz w:val="24"/>
          <w:szCs w:val="24"/>
        </w:rPr>
        <w:t xml:space="preserve">,ab,kw or </w:t>
      </w:r>
      <w:r>
        <w:rPr>
          <w:rFonts w:ascii="Arial" w:hAnsi="Arial" w:cs="Arial"/>
          <w:sz w:val="24"/>
          <w:szCs w:val="24"/>
        </w:rPr>
        <w:t>knee surgery</w:t>
      </w:r>
      <w:r w:rsidRPr="003F2F10">
        <w:rPr>
          <w:rFonts w:ascii="Arial" w:hAnsi="Arial" w:cs="Arial"/>
          <w:sz w:val="24"/>
          <w:szCs w:val="24"/>
        </w:rPr>
        <w:t xml:space="preserve">:ti,ab,kw or </w:t>
      </w:r>
      <w:r>
        <w:rPr>
          <w:rFonts w:ascii="Arial" w:hAnsi="Arial" w:cs="Arial"/>
          <w:sz w:val="24"/>
          <w:szCs w:val="24"/>
        </w:rPr>
        <w:t>knee joint</w:t>
      </w:r>
      <w:r w:rsidRPr="003F2F10">
        <w:rPr>
          <w:rFonts w:ascii="Arial" w:hAnsi="Arial" w:cs="Arial"/>
          <w:sz w:val="24"/>
          <w:szCs w:val="24"/>
        </w:rPr>
        <w:t xml:space="preserve">:ti,ab,kw or </w:t>
      </w:r>
      <w:r>
        <w:rPr>
          <w:rFonts w:ascii="Arial" w:hAnsi="Arial" w:cs="Arial"/>
          <w:sz w:val="24"/>
          <w:szCs w:val="24"/>
        </w:rPr>
        <w:t>posterior capsule</w:t>
      </w:r>
      <w:r w:rsidRPr="003F2F10">
        <w:rPr>
          <w:rFonts w:ascii="Arial" w:hAnsi="Arial" w:cs="Arial"/>
          <w:sz w:val="24"/>
          <w:szCs w:val="24"/>
        </w:rPr>
        <w:t>:ti,ab,kw)</w:t>
      </w:r>
    </w:p>
    <w:p w14:paraId="4570B9F0" w14:textId="77777777" w:rsidR="0033636D" w:rsidRPr="003F2F10" w:rsidRDefault="0033636D" w:rsidP="0033636D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3F2F10">
        <w:rPr>
          <w:rFonts w:ascii="Arial" w:hAnsi="Arial" w:cs="Arial"/>
          <w:sz w:val="24"/>
          <w:szCs w:val="24"/>
        </w:rPr>
        <w:t>AND (</w:t>
      </w:r>
      <w:proofErr w:type="gramStart"/>
      <w:r>
        <w:rPr>
          <w:rFonts w:ascii="Arial" w:hAnsi="Arial" w:cs="Arial"/>
          <w:sz w:val="24"/>
          <w:szCs w:val="24"/>
        </w:rPr>
        <w:t>IPACK</w:t>
      </w:r>
      <w:r w:rsidRPr="003F2F10">
        <w:rPr>
          <w:rFonts w:ascii="Arial" w:hAnsi="Arial" w:cs="Arial"/>
          <w:sz w:val="24"/>
          <w:szCs w:val="24"/>
        </w:rPr>
        <w:t>:ti</w:t>
      </w:r>
      <w:proofErr w:type="gramEnd"/>
      <w:r w:rsidRPr="003F2F10">
        <w:rPr>
          <w:rFonts w:ascii="Arial" w:hAnsi="Arial" w:cs="Arial"/>
          <w:sz w:val="24"/>
          <w:szCs w:val="24"/>
        </w:rPr>
        <w:t xml:space="preserve">,ab,kw or </w:t>
      </w:r>
      <w:r>
        <w:rPr>
          <w:rFonts w:ascii="Arial" w:hAnsi="Arial" w:cs="Arial"/>
          <w:sz w:val="24"/>
          <w:szCs w:val="24"/>
        </w:rPr>
        <w:t>nerve block</w:t>
      </w:r>
      <w:r w:rsidRPr="003F2F10">
        <w:rPr>
          <w:rFonts w:ascii="Arial" w:hAnsi="Arial" w:cs="Arial"/>
          <w:sz w:val="24"/>
          <w:szCs w:val="24"/>
        </w:rPr>
        <w:t xml:space="preserve">:ti,ab,kw or </w:t>
      </w:r>
      <w:r>
        <w:rPr>
          <w:rFonts w:ascii="Arial" w:hAnsi="Arial" w:cs="Arial"/>
          <w:sz w:val="24"/>
          <w:szCs w:val="24"/>
        </w:rPr>
        <w:t>popliteal artery</w:t>
      </w:r>
      <w:r w:rsidRPr="003F2F10">
        <w:rPr>
          <w:rFonts w:ascii="Arial" w:hAnsi="Arial" w:cs="Arial"/>
          <w:sz w:val="24"/>
          <w:szCs w:val="24"/>
        </w:rPr>
        <w:t xml:space="preserve">:ti,ab,kw or </w:t>
      </w:r>
      <w:r>
        <w:rPr>
          <w:rFonts w:ascii="Arial" w:hAnsi="Arial" w:cs="Arial"/>
          <w:sz w:val="24"/>
          <w:szCs w:val="24"/>
        </w:rPr>
        <w:t>local anesthetic</w:t>
      </w:r>
      <w:r w:rsidRPr="003F2F10">
        <w:rPr>
          <w:rFonts w:ascii="Arial" w:hAnsi="Arial" w:cs="Arial"/>
          <w:sz w:val="24"/>
          <w:szCs w:val="24"/>
        </w:rPr>
        <w:t>:ti,ab,kw)</w:t>
      </w:r>
    </w:p>
    <w:p w14:paraId="022D91F7" w14:textId="0FB35428" w:rsidR="0033636D" w:rsidRPr="00147358" w:rsidRDefault="0033636D" w:rsidP="002D6448">
      <w:pPr>
        <w:spacing w:after="0" w:line="360" w:lineRule="auto"/>
      </w:pPr>
      <w:r w:rsidRPr="003F2F10">
        <w:rPr>
          <w:rFonts w:ascii="Arial" w:hAnsi="Arial" w:cs="Arial"/>
          <w:sz w:val="24"/>
          <w:szCs w:val="24"/>
        </w:rPr>
        <w:t>AND (</w:t>
      </w:r>
      <w:r>
        <w:rPr>
          <w:rFonts w:ascii="Arial" w:hAnsi="Arial" w:cs="Arial"/>
          <w:sz w:val="24"/>
          <w:szCs w:val="24"/>
        </w:rPr>
        <w:t xml:space="preserve">pain </w:t>
      </w:r>
      <w:proofErr w:type="gramStart"/>
      <w:r>
        <w:rPr>
          <w:rFonts w:ascii="Arial" w:hAnsi="Arial" w:cs="Arial"/>
          <w:sz w:val="24"/>
          <w:szCs w:val="24"/>
        </w:rPr>
        <w:t>score</w:t>
      </w:r>
      <w:r w:rsidRPr="003F2F10">
        <w:rPr>
          <w:rFonts w:ascii="Arial" w:hAnsi="Arial" w:cs="Arial"/>
          <w:sz w:val="24"/>
          <w:szCs w:val="24"/>
        </w:rPr>
        <w:t>:ti</w:t>
      </w:r>
      <w:proofErr w:type="gramEnd"/>
      <w:r w:rsidRPr="003F2F10">
        <w:rPr>
          <w:rFonts w:ascii="Arial" w:hAnsi="Arial" w:cs="Arial"/>
          <w:sz w:val="24"/>
          <w:szCs w:val="24"/>
        </w:rPr>
        <w:t xml:space="preserve">,ab,kw or patient satisfaction:ti,ab,kw or </w:t>
      </w:r>
      <w:r>
        <w:rPr>
          <w:rFonts w:ascii="Arial" w:hAnsi="Arial" w:cs="Arial"/>
          <w:sz w:val="24"/>
          <w:szCs w:val="24"/>
        </w:rPr>
        <w:t>pain measurement</w:t>
      </w:r>
      <w:r w:rsidRPr="003F2F10">
        <w:rPr>
          <w:rFonts w:ascii="Arial" w:hAnsi="Arial" w:cs="Arial"/>
          <w:sz w:val="24"/>
          <w:szCs w:val="24"/>
        </w:rPr>
        <w:t xml:space="preserve">:ti,ab,kw or </w:t>
      </w:r>
      <w:r>
        <w:rPr>
          <w:rFonts w:ascii="Arial" w:hAnsi="Arial" w:cs="Arial"/>
          <w:sz w:val="24"/>
          <w:szCs w:val="24"/>
        </w:rPr>
        <w:t>opioid consumption</w:t>
      </w:r>
      <w:r w:rsidRPr="003F2F10">
        <w:rPr>
          <w:rFonts w:ascii="Arial" w:hAnsi="Arial" w:cs="Arial"/>
          <w:sz w:val="24"/>
          <w:szCs w:val="24"/>
        </w:rPr>
        <w:t xml:space="preserve">:ti,ab,kw or </w:t>
      </w:r>
      <w:r>
        <w:rPr>
          <w:rFonts w:ascii="Arial" w:hAnsi="Arial" w:cs="Arial"/>
          <w:sz w:val="24"/>
          <w:szCs w:val="24"/>
        </w:rPr>
        <w:t>postoperative pain</w:t>
      </w:r>
      <w:r w:rsidRPr="003F2F10">
        <w:rPr>
          <w:rFonts w:ascii="Arial" w:hAnsi="Arial" w:cs="Arial"/>
          <w:sz w:val="24"/>
          <w:szCs w:val="24"/>
        </w:rPr>
        <w:t>:ti,ab,kw)</w:t>
      </w:r>
    </w:p>
    <w:sectPr w:rsidR="0033636D" w:rsidRPr="00147358" w:rsidSect="00E87519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519"/>
    <w:rsid w:val="0003491C"/>
    <w:rsid w:val="00080710"/>
    <w:rsid w:val="000863B7"/>
    <w:rsid w:val="000E4FA0"/>
    <w:rsid w:val="00103D4A"/>
    <w:rsid w:val="00120D8F"/>
    <w:rsid w:val="00143C1F"/>
    <w:rsid w:val="00147358"/>
    <w:rsid w:val="00153181"/>
    <w:rsid w:val="00166A1F"/>
    <w:rsid w:val="00170DED"/>
    <w:rsid w:val="001D79C6"/>
    <w:rsid w:val="00202230"/>
    <w:rsid w:val="00207306"/>
    <w:rsid w:val="00230F4D"/>
    <w:rsid w:val="00256C30"/>
    <w:rsid w:val="00262DD9"/>
    <w:rsid w:val="00285A7E"/>
    <w:rsid w:val="002A56FB"/>
    <w:rsid w:val="002B3234"/>
    <w:rsid w:val="002B43A0"/>
    <w:rsid w:val="002D6448"/>
    <w:rsid w:val="00326CF1"/>
    <w:rsid w:val="0033636D"/>
    <w:rsid w:val="00337DF0"/>
    <w:rsid w:val="0034503D"/>
    <w:rsid w:val="00384D81"/>
    <w:rsid w:val="003B755A"/>
    <w:rsid w:val="003C640C"/>
    <w:rsid w:val="00447C81"/>
    <w:rsid w:val="0045578F"/>
    <w:rsid w:val="004826D3"/>
    <w:rsid w:val="00494522"/>
    <w:rsid w:val="004A2366"/>
    <w:rsid w:val="004F73A4"/>
    <w:rsid w:val="004F7629"/>
    <w:rsid w:val="00550470"/>
    <w:rsid w:val="00570D15"/>
    <w:rsid w:val="005C14A1"/>
    <w:rsid w:val="0062786A"/>
    <w:rsid w:val="0063292E"/>
    <w:rsid w:val="00642856"/>
    <w:rsid w:val="0064712E"/>
    <w:rsid w:val="006B3469"/>
    <w:rsid w:val="006D08F2"/>
    <w:rsid w:val="006E119C"/>
    <w:rsid w:val="0070355B"/>
    <w:rsid w:val="00722EC3"/>
    <w:rsid w:val="007444C5"/>
    <w:rsid w:val="0077193B"/>
    <w:rsid w:val="007901FE"/>
    <w:rsid w:val="00790489"/>
    <w:rsid w:val="00794598"/>
    <w:rsid w:val="007B1030"/>
    <w:rsid w:val="007B1D73"/>
    <w:rsid w:val="007C17AF"/>
    <w:rsid w:val="007D27D0"/>
    <w:rsid w:val="007D4B58"/>
    <w:rsid w:val="007E1F5E"/>
    <w:rsid w:val="007E56F0"/>
    <w:rsid w:val="007F23B6"/>
    <w:rsid w:val="008262CE"/>
    <w:rsid w:val="00836597"/>
    <w:rsid w:val="00891389"/>
    <w:rsid w:val="008B6A32"/>
    <w:rsid w:val="008D5552"/>
    <w:rsid w:val="00912D6D"/>
    <w:rsid w:val="009923D6"/>
    <w:rsid w:val="00995D0B"/>
    <w:rsid w:val="009B70F6"/>
    <w:rsid w:val="009C4058"/>
    <w:rsid w:val="009D3BCB"/>
    <w:rsid w:val="009E6253"/>
    <w:rsid w:val="00A662C4"/>
    <w:rsid w:val="00A73D5D"/>
    <w:rsid w:val="00AA6469"/>
    <w:rsid w:val="00AC19EB"/>
    <w:rsid w:val="00AD096F"/>
    <w:rsid w:val="00AE01B0"/>
    <w:rsid w:val="00AE2FC2"/>
    <w:rsid w:val="00AE5E11"/>
    <w:rsid w:val="00B06299"/>
    <w:rsid w:val="00B06766"/>
    <w:rsid w:val="00B215EB"/>
    <w:rsid w:val="00B2766F"/>
    <w:rsid w:val="00B42FAC"/>
    <w:rsid w:val="00B73B1D"/>
    <w:rsid w:val="00B77616"/>
    <w:rsid w:val="00B921B5"/>
    <w:rsid w:val="00BB3E3F"/>
    <w:rsid w:val="00C05679"/>
    <w:rsid w:val="00C13C63"/>
    <w:rsid w:val="00C15784"/>
    <w:rsid w:val="00C37342"/>
    <w:rsid w:val="00C63E4F"/>
    <w:rsid w:val="00C66DCB"/>
    <w:rsid w:val="00CB717E"/>
    <w:rsid w:val="00CE663E"/>
    <w:rsid w:val="00D0003F"/>
    <w:rsid w:val="00D06783"/>
    <w:rsid w:val="00D24724"/>
    <w:rsid w:val="00D30FCD"/>
    <w:rsid w:val="00D31639"/>
    <w:rsid w:val="00D359C0"/>
    <w:rsid w:val="00D501E2"/>
    <w:rsid w:val="00DB5DCF"/>
    <w:rsid w:val="00DC2266"/>
    <w:rsid w:val="00DC7E6F"/>
    <w:rsid w:val="00DE6383"/>
    <w:rsid w:val="00DE6944"/>
    <w:rsid w:val="00DF6EF9"/>
    <w:rsid w:val="00E1160D"/>
    <w:rsid w:val="00E17AF9"/>
    <w:rsid w:val="00E61E15"/>
    <w:rsid w:val="00E87519"/>
    <w:rsid w:val="00E87FB8"/>
    <w:rsid w:val="00EC672E"/>
    <w:rsid w:val="00EE0970"/>
    <w:rsid w:val="00EF4E91"/>
    <w:rsid w:val="00F15F43"/>
    <w:rsid w:val="00F165DB"/>
    <w:rsid w:val="00F32240"/>
    <w:rsid w:val="00F42629"/>
    <w:rsid w:val="00F455A8"/>
    <w:rsid w:val="00F72736"/>
    <w:rsid w:val="00F73AF1"/>
    <w:rsid w:val="00F83732"/>
    <w:rsid w:val="00F8763B"/>
    <w:rsid w:val="00F974DA"/>
    <w:rsid w:val="00FA1BB7"/>
    <w:rsid w:val="00FB6F86"/>
    <w:rsid w:val="00FC2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2D6AE6"/>
  <w15:docId w15:val="{9418F1F3-52F7-49FA-A7EA-0439FF31C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75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875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D0003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0003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0003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0003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0003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00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003F"/>
    <w:rPr>
      <w:rFonts w:ascii="Tahoma" w:hAnsi="Tahoma" w:cs="Tahoma"/>
      <w:sz w:val="16"/>
      <w:szCs w:val="16"/>
    </w:rPr>
  </w:style>
  <w:style w:type="paragraph" w:customStyle="1" w:styleId="Normal1">
    <w:name w:val="Normal1"/>
    <w:basedOn w:val="Normal"/>
    <w:rsid w:val="0033636D"/>
    <w:pPr>
      <w:spacing w:line="260" w:lineRule="atLeast"/>
    </w:pPr>
    <w:rPr>
      <w:rFonts w:ascii="Calibri" w:eastAsia="Times New Roman" w:hAnsi="Calibri" w:cs="Times New Roman"/>
    </w:rPr>
  </w:style>
  <w:style w:type="character" w:customStyle="1" w:styleId="normalchar1">
    <w:name w:val="normal__char1"/>
    <w:basedOn w:val="DefaultParagraphFont"/>
    <w:rsid w:val="0033636D"/>
    <w:rPr>
      <w:rFonts w:ascii="Calibri" w:hAnsi="Calibri" w:hint="defaul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593</Words>
  <Characters>3384</Characters>
  <Application>Microsoft Office Word</Application>
  <DocSecurity>0</DocSecurity>
  <Lines>28</Lines>
  <Paragraphs>7</Paragraphs>
  <ScaleCrop>false</ScaleCrop>
  <Company/>
  <LinksUpToDate>false</LinksUpToDate>
  <CharactersWithSpaces>3970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Shawn</dc:creator>
  <cp:lastModifiedBy>Mel Phimester</cp:lastModifiedBy>
  <cp:revision>3</cp:revision>
  <dcterms:created xsi:type="dcterms:W3CDTF">2021-04-27T10:56:00Z</dcterms:created>
  <dcterms:modified xsi:type="dcterms:W3CDTF">2021-04-27T10:56:00Z</dcterms:modified>
</cp:coreProperties>
</file>