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default" w:ascii="Arial" w:hAnsi="Arial" w:cs="Arial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Table. 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default" w:ascii="Arial" w:hAnsi="Arial" w:cs="Arial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 The purity of neutrophils isolated from human peripheral whole blood.</w:t>
      </w:r>
    </w:p>
    <w:p/>
    <w:tbl>
      <w:tblPr>
        <w:tblStyle w:val="3"/>
        <w:tblpPr w:leftFromText="180" w:rightFromText="180" w:vertAnchor="page" w:horzAnchor="page" w:tblpX="1767" w:tblpY="22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0"/>
        <w:gridCol w:w="21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Cell type</w:t>
            </w:r>
          </w:p>
        </w:tc>
        <w:tc>
          <w:tcPr>
            <w:tcW w:w="214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Counting data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Mononuclear</w:t>
            </w:r>
          </w:p>
        </w:tc>
        <w:tc>
          <w:tcPr>
            <w:tcW w:w="214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4.0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ACaslonPro-Regular" w:cs="Arial"/>
                <w:color w:val="231F20"/>
                <w:kern w:val="0"/>
                <w:sz w:val="24"/>
                <w:szCs w:val="24"/>
              </w:rPr>
              <w:t>10</w:t>
            </w: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superscript"/>
                <w:lang w:val="en-US" w:eastAsia="zh-CN"/>
              </w:rPr>
              <w:t>6</w:t>
            </w: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Polymorphonuclear</w:t>
            </w:r>
          </w:p>
        </w:tc>
        <w:tc>
          <w:tcPr>
            <w:tcW w:w="214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76.0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AdvOTb9e9c06b" w:cs="Arial"/>
                <w:color w:val="231F20"/>
                <w:kern w:val="0"/>
                <w:sz w:val="24"/>
                <w:szCs w:val="24"/>
                <w:vertAlign w:val="baseline"/>
              </w:rPr>
            </w:pPr>
            <w:r>
              <w:rPr>
                <w:rFonts w:hint="default" w:ascii="Arial" w:hAnsi="Arial" w:eastAsia="ACaslonPro-Regular" w:cs="Arial"/>
                <w:color w:val="231F20"/>
                <w:kern w:val="0"/>
                <w:sz w:val="24"/>
                <w:szCs w:val="24"/>
              </w:rPr>
              <w:t>10</w:t>
            </w: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superscript"/>
                <w:lang w:val="en-US" w:eastAsia="zh-CN"/>
              </w:rPr>
              <w:t>6</w:t>
            </w: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Percentage of mononuclear</w:t>
            </w:r>
          </w:p>
        </w:tc>
        <w:tc>
          <w:tcPr>
            <w:tcW w:w="214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5.0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Percentage of polymorphonuclear</w:t>
            </w:r>
          </w:p>
        </w:tc>
        <w:tc>
          <w:tcPr>
            <w:tcW w:w="214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95.0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231F20"/>
                <w:kern w:val="0"/>
                <w:sz w:val="24"/>
                <w:szCs w:val="24"/>
                <w:vertAlign w:val="baseline"/>
                <w:lang w:val="en-US" w:eastAsia="zh-CN"/>
              </w:rPr>
              <w:t>%</w:t>
            </w:r>
          </w:p>
        </w:tc>
      </w:tr>
    </w:tbl>
    <w:p>
      <w:bookmarkStart w:id="0" w:name="_GoBack"/>
      <w:bookmarkEnd w:id="0"/>
    </w:p>
    <w:p/>
    <w:p/>
    <w:tbl>
      <w:tblPr>
        <w:tblStyle w:val="2"/>
        <w:tblW w:w="754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4"/>
        <w:gridCol w:w="2729"/>
        <w:gridCol w:w="2275"/>
        <w:gridCol w:w="1029"/>
        <w:gridCol w:w="8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7548" w:type="dxa"/>
            <w:gridSpan w:val="5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Table. S</w:t>
            </w:r>
            <w:r>
              <w:rPr>
                <w:rFonts w:hint="eastAsia" w:ascii="Arial" w:hAnsi="Arial" w:eastAsia="等线" w:cs="Arial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等线" w:cs="Arial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 Clinicopathological characteristics of HCC patients for NETs-CitH3 pathological analysis (n = 85)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7548" w:type="dxa"/>
            <w:gridSpan w:val="5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vMerge w:val="restart"/>
            <w:tcBorders>
              <w:top w:val="single" w:color="auto" w:sz="8" w:space="0"/>
              <w:bottom w:val="single" w:color="000000" w:sz="1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Characteristics</w:t>
            </w:r>
          </w:p>
        </w:tc>
        <w:tc>
          <w:tcPr>
            <w:tcW w:w="2275" w:type="dxa"/>
            <w:vMerge w:val="restart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Case number</w:t>
            </w:r>
          </w:p>
        </w:tc>
        <w:tc>
          <w:tcPr>
            <w:tcW w:w="1029" w:type="dxa"/>
            <w:vMerge w:val="restart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vMerge w:val="continue"/>
            <w:tcBorders>
              <w:top w:val="single" w:color="000000" w:sz="18" w:space="0"/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75" w:type="dxa"/>
            <w:vMerge w:val="continue"/>
            <w:tcBorders>
              <w:top w:val="single" w:color="000000" w:sz="18" w:space="0"/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9" w:type="dxa"/>
            <w:vMerge w:val="continue"/>
            <w:tcBorders>
              <w:top w:val="single" w:color="000000" w:sz="18" w:space="0"/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Extra-hepatic Metastasis</w:t>
            </w:r>
          </w:p>
        </w:tc>
        <w:tc>
          <w:tcPr>
            <w:tcW w:w="2275" w:type="dxa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9" w:type="dxa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No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65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76.4%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Yes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23.6%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Sex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Female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Male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Age (years)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≤ 55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41.1%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&gt; 55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58.9%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HBV-DNA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≤1000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85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&gt;1000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Liver cirrhosis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No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Yes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Tumor size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≤ 5cm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&gt; 5cm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cs="Arial" w:eastAsia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P</w:t>
            </w:r>
            <w:r>
              <w:rPr>
                <w:rFonts w:hint="default" w:ascii="Arial" w:hAnsi="Arial" w:cs="Arial"/>
                <w:sz w:val="24"/>
                <w:szCs w:val="24"/>
              </w:rPr>
              <w:t>ortal vein tumor thrombosis</w: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(PVTT)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No</w:t>
            </w:r>
          </w:p>
        </w:tc>
        <w:tc>
          <w:tcPr>
            <w:tcW w:w="227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29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75.2%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65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9" w:type="dxa"/>
            <w:tcBorders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Yes</w:t>
            </w:r>
          </w:p>
        </w:tc>
        <w:tc>
          <w:tcPr>
            <w:tcW w:w="2275" w:type="dxa"/>
            <w:tcBorders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29" w:type="dxa"/>
            <w:tcBorders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24.8%</w:t>
            </w:r>
          </w:p>
        </w:tc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/>
    <w:p/>
    <w:p/>
    <w:tbl>
      <w:tblPr>
        <w:tblStyle w:val="2"/>
        <w:tblW w:w="1445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2"/>
        <w:gridCol w:w="2915"/>
        <w:gridCol w:w="2125"/>
        <w:gridCol w:w="961"/>
        <w:gridCol w:w="612"/>
        <w:gridCol w:w="2"/>
        <w:gridCol w:w="7225"/>
        <w:gridCol w:w="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7227" w:type="dxa"/>
            <w:gridSpan w:val="6"/>
            <w:vMerge w:val="restart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Table. S</w:t>
            </w:r>
            <w:r>
              <w:rPr>
                <w:rFonts w:hint="eastAsia" w:ascii="Arial" w:hAnsi="Arial" w:eastAsia="等线" w:cs="Arial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default" w:ascii="Arial" w:hAnsi="Arial" w:eastAsia="等线" w:cs="Arial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 Clinicopathological characteristics of HCC patients for serum detection of MPO-DNA level (n = 90)</w:t>
            </w: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227" w:type="dxa"/>
            <w:gridSpan w:val="6"/>
            <w:vMerge w:val="continue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16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vMerge w:val="restart"/>
            <w:tcBorders>
              <w:top w:val="single" w:color="auto" w:sz="4" w:space="0"/>
              <w:bottom w:val="single" w:color="000000" w:sz="1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Characteristics</w:t>
            </w:r>
          </w:p>
        </w:tc>
        <w:tc>
          <w:tcPr>
            <w:tcW w:w="2125" w:type="dxa"/>
            <w:vMerge w:val="restart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Case number</w:t>
            </w:r>
          </w:p>
        </w:tc>
        <w:tc>
          <w:tcPr>
            <w:tcW w:w="961" w:type="dxa"/>
            <w:vMerge w:val="restart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16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vMerge w:val="continue"/>
            <w:tcBorders>
              <w:top w:val="single" w:color="000000" w:sz="18" w:space="0"/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5" w:type="dxa"/>
            <w:vMerge w:val="continue"/>
            <w:tcBorders>
              <w:top w:val="single" w:color="000000" w:sz="18" w:space="0"/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1" w:type="dxa"/>
            <w:vMerge w:val="continue"/>
            <w:tcBorders>
              <w:top w:val="single" w:color="000000" w:sz="18" w:space="0"/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16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Extra-hepatic Metastasis</w:t>
            </w:r>
          </w:p>
        </w:tc>
        <w:tc>
          <w:tcPr>
            <w:tcW w:w="2125" w:type="dxa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1" w:type="dxa"/>
            <w:tcBorders>
              <w:top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No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66.7%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Yes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33.3%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Sex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Female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52.2%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Male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47.8%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Age (years)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≤ 55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44.4%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&gt; 55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55.6%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Preoperative serum AFP (ng/mL)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≤ 20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32.2%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&gt; 20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67.8%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HBV-DNA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≤1000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&gt;1000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Tumor size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≤ 5cm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58.8%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&gt; 5cm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41.2%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301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cs="Arial" w:eastAsia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P</w:t>
            </w:r>
            <w:r>
              <w:rPr>
                <w:rFonts w:hint="default" w:ascii="Arial" w:hAnsi="Arial" w:cs="Arial"/>
                <w:sz w:val="24"/>
                <w:szCs w:val="24"/>
              </w:rPr>
              <w:t>ortal vein tumor thrombosis</w: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(PVTT)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90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No</w:t>
            </w:r>
          </w:p>
        </w:tc>
        <w:tc>
          <w:tcPr>
            <w:tcW w:w="2125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61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66.6%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90" w:hRule="atLeast"/>
        </w:trPr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15" w:type="dxa"/>
            <w:tcBorders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Yes</w:t>
            </w:r>
          </w:p>
        </w:tc>
        <w:tc>
          <w:tcPr>
            <w:tcW w:w="2125" w:type="dxa"/>
            <w:tcBorders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61" w:type="dxa"/>
            <w:tcBorders>
              <w:bottom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center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33.4%</w:t>
            </w:r>
          </w:p>
        </w:tc>
        <w:tc>
          <w:tcPr>
            <w:tcW w:w="61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27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Arial" w:hAnsi="Arial" w:eastAsia="等线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p>
      <w:pPr>
        <w:tabs>
          <w:tab w:val="left" w:pos="312"/>
        </w:tabs>
        <w:spacing w:line="480" w:lineRule="auto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color w:val="212121"/>
          <w:sz w:val="24"/>
          <w:shd w:val="clear" w:color="auto" w:fill="FFFFFF"/>
          <w:lang w:val="en-US" w:eastAsia="zh-CN"/>
        </w:rPr>
        <w:t>Supplementary f</w:t>
      </w:r>
      <w:r>
        <w:rPr>
          <w:rFonts w:hint="default" w:ascii="Arial" w:hAnsi="Arial" w:cs="Arial"/>
          <w:b/>
          <w:bCs/>
          <w:color w:val="212121"/>
          <w:sz w:val="24"/>
          <w:shd w:val="clear" w:color="auto" w:fill="FFFFFF"/>
        </w:rPr>
        <w:t>igure legend</w:t>
      </w:r>
    </w:p>
    <w:p>
      <w:pPr>
        <w:spacing w:line="480" w:lineRule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Figure. S1 HCC patient serum-derived IL-8 stimulated HD neutrophils to form NETs via NADPH pathway. (a) </w:t>
      </w:r>
      <w:r>
        <w:rPr>
          <w:rFonts w:hint="default" w:ascii="Arial" w:hAnsi="Arial" w:cs="Arial"/>
          <w:sz w:val="24"/>
          <w:szCs w:val="24"/>
        </w:rPr>
        <w:t>Co-incubation of HD neutrophils(2.5x10</w:t>
      </w:r>
      <w:r>
        <w:rPr>
          <w:rFonts w:hint="default" w:ascii="Arial" w:hAnsi="Arial" w:cs="Arial" w:eastAsiaTheme="minorEastAsia"/>
          <w:sz w:val="24"/>
          <w:szCs w:val="24"/>
          <w:vertAlign w:val="superscript"/>
        </w:rPr>
        <w:t>6</w:t>
      </w:r>
      <w:r>
        <w:rPr>
          <w:rFonts w:hint="default" w:ascii="Arial" w:hAnsi="Arial" w:cs="Arial"/>
          <w:sz w:val="24"/>
          <w:szCs w:val="24"/>
        </w:rPr>
        <w:t xml:space="preserve">/ml) with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serum from HCC patients or healthy donor </w:t>
      </w:r>
      <w:r>
        <w:rPr>
          <w:rFonts w:hint="default" w:ascii="Arial" w:hAnsi="Arial" w:cs="Arial"/>
          <w:sz w:val="24"/>
          <w:szCs w:val="24"/>
        </w:rPr>
        <w:t>(1:2) was performed to explore the effect of IL-8 on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HCC-induced </w:t>
      </w:r>
      <w:r>
        <w:rPr>
          <w:rFonts w:hint="default" w:ascii="Arial" w:hAnsi="Arial" w:cs="Arial"/>
          <w:sz w:val="24"/>
          <w:szCs w:val="24"/>
        </w:rPr>
        <w:t xml:space="preserve">NETs formation. The expression of CitH3 was detected by immunofluorescence staining on coverslip for the identification of NETs formation. Representative images were shown. IL-8 neutralizing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antibody </w:t>
      </w:r>
      <w:r>
        <w:rPr>
          <w:rFonts w:hint="default" w:ascii="Arial" w:hAnsi="Arial" w:cs="Arial"/>
          <w:sz w:val="24"/>
          <w:szCs w:val="24"/>
        </w:rPr>
        <w:t>was added into the culture medium at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the concentration of 5ug/ml</w:t>
      </w:r>
      <w:r>
        <w:rPr>
          <w:rFonts w:hint="default" w:ascii="Arial" w:hAnsi="Arial" w:cs="Arial"/>
          <w:sz w:val="24"/>
          <w:szCs w:val="24"/>
        </w:rPr>
        <w:t>. NOX inhibitor apocynin was added into medium at the final concentration of 10uM.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R</w:t>
      </w:r>
      <w:r>
        <w:rPr>
          <w:rFonts w:hint="default" w:ascii="Arial" w:hAnsi="Arial" w:cs="Arial"/>
          <w:sz w:val="24"/>
          <w:szCs w:val="24"/>
        </w:rPr>
        <w:t>epresentative image</w:t>
      </w:r>
      <w:r>
        <w:rPr>
          <w:rFonts w:hint="default" w:ascii="Arial" w:hAnsi="Arial" w:cs="Arial"/>
          <w:sz w:val="24"/>
          <w:szCs w:val="24"/>
          <w:lang w:val="en-US" w:eastAsia="zh-CN"/>
        </w:rPr>
        <w:t>s</w:t>
      </w: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were </w:t>
      </w:r>
      <w:r>
        <w:rPr>
          <w:rFonts w:hint="default" w:ascii="Arial" w:hAnsi="Arial" w:cs="Arial"/>
          <w:sz w:val="24"/>
          <w:szCs w:val="24"/>
        </w:rPr>
        <w:t>shown. Scare bar: 100um.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Experiment was repeated three times. </w:t>
      </w:r>
    </w:p>
    <w:p>
      <w:pPr>
        <w:numPr>
          <w:ilvl w:val="0"/>
          <w:numId w:val="0"/>
        </w:numPr>
        <w:spacing w:line="480" w:lineRule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Figure. S2 NETs formation during lung metastasis process. (a) </w:t>
      </w:r>
      <w:r>
        <w:rPr>
          <w:rFonts w:hint="default" w:ascii="Arial" w:hAnsi="Arial" w:cs="Arial"/>
          <w:sz w:val="24"/>
          <w:szCs w:val="24"/>
        </w:rPr>
        <w:t xml:space="preserve">HuH7 cells were injected into nude mice </w:t>
      </w:r>
      <w:r>
        <w:rPr>
          <w:rFonts w:hint="default" w:ascii="Arial" w:hAnsi="Arial" w:cs="Arial"/>
          <w:sz w:val="24"/>
          <w:szCs w:val="24"/>
          <w:lang w:val="en-US" w:eastAsia="zh-CN"/>
        </w:rPr>
        <w:t>via</w:t>
      </w:r>
      <w:r>
        <w:rPr>
          <w:rFonts w:hint="default" w:ascii="Arial" w:hAnsi="Arial" w:cs="Arial"/>
          <w:sz w:val="24"/>
          <w:szCs w:val="24"/>
        </w:rPr>
        <w:t xml:space="preserve"> tail vein. At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various time points(12, 34, 50days) after HCC cells injection, the mice was killed and examined NETs-CitH3 infiltration in lung. </w:t>
      </w:r>
      <w:r>
        <w:rPr>
          <w:rFonts w:hint="default" w:ascii="Arial" w:hAnsi="Arial" w:cs="Arial"/>
          <w:sz w:val="24"/>
          <w:szCs w:val="24"/>
        </w:rPr>
        <w:t>NETs-CitH3 were detected by immunofluorescence staining with lung frozen section. Representative images of CitH3 in the lung were shown</w:t>
      </w:r>
      <w:r>
        <w:rPr>
          <w:rFonts w:hint="default" w:ascii="Arial" w:hAnsi="Arial" w:cs="Arial"/>
          <w:sz w:val="24"/>
          <w:szCs w:val="24"/>
          <w:lang w:val="en-US" w:eastAsia="zh-CN"/>
        </w:rPr>
        <w:t>(n=7each)</w:t>
      </w:r>
      <w:r>
        <w:rPr>
          <w:rFonts w:hint="default" w:ascii="Arial" w:hAnsi="Arial" w:cs="Arial"/>
          <w:sz w:val="24"/>
          <w:szCs w:val="24"/>
        </w:rPr>
        <w:t>. Scare bar: 100um.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CaslonPro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vOTb9e9c06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A12CC"/>
    <w:rsid w:val="039C1FD6"/>
    <w:rsid w:val="05676639"/>
    <w:rsid w:val="0A12398E"/>
    <w:rsid w:val="0C091845"/>
    <w:rsid w:val="0CBC67CF"/>
    <w:rsid w:val="146C3062"/>
    <w:rsid w:val="15761BA2"/>
    <w:rsid w:val="15A71E42"/>
    <w:rsid w:val="161651ED"/>
    <w:rsid w:val="197D07AE"/>
    <w:rsid w:val="1E1A717C"/>
    <w:rsid w:val="22E85EF9"/>
    <w:rsid w:val="31213C49"/>
    <w:rsid w:val="3C454966"/>
    <w:rsid w:val="3F6C4276"/>
    <w:rsid w:val="408733EA"/>
    <w:rsid w:val="42471CD5"/>
    <w:rsid w:val="495663D6"/>
    <w:rsid w:val="4E774D0F"/>
    <w:rsid w:val="4FBF27C0"/>
    <w:rsid w:val="58BD41BB"/>
    <w:rsid w:val="5EEF5337"/>
    <w:rsid w:val="5F0862DF"/>
    <w:rsid w:val="629B78A0"/>
    <w:rsid w:val="6A61127E"/>
    <w:rsid w:val="75607DC7"/>
    <w:rsid w:val="771E30A6"/>
    <w:rsid w:val="7BEE0E01"/>
    <w:rsid w:val="7BF86892"/>
    <w:rsid w:val="7DF6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关向前</cp:lastModifiedBy>
  <dcterms:modified xsi:type="dcterms:W3CDTF">2021-04-10T01:06:20Z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A3138C54C42F4E65BA6E2329DA9AE294</vt:lpwstr>
  </property>
</Properties>
</file>