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871F90" w14:textId="77777777" w:rsidR="005E4E2E" w:rsidRPr="00B07D58" w:rsidRDefault="005E4E2E" w:rsidP="005E4E2E">
      <w:pPr>
        <w:spacing w:line="360" w:lineRule="auto"/>
        <w:jc w:val="both"/>
        <w:rPr>
          <w:rFonts w:ascii="Times New Roman" w:hAnsi="Times New Roman" w:cs="Times New Roman"/>
          <w:b/>
          <w:sz w:val="24"/>
          <w:szCs w:val="24"/>
        </w:rPr>
      </w:pPr>
      <w:r w:rsidRPr="00B07D58">
        <w:rPr>
          <w:rFonts w:ascii="Times New Roman" w:hAnsi="Times New Roman" w:cs="Times New Roman"/>
          <w:b/>
          <w:sz w:val="24"/>
          <w:szCs w:val="24"/>
        </w:rPr>
        <w:t>Safety and tolerability of cariprazine in patients with schizophrenia: a pooled analysis of eight phase II/III studies</w:t>
      </w:r>
    </w:p>
    <w:p w14:paraId="60D2BA24" w14:textId="77777777" w:rsidR="005E4E2E" w:rsidRPr="00B07D58" w:rsidRDefault="005E4E2E" w:rsidP="005E4E2E">
      <w:pPr>
        <w:spacing w:line="360" w:lineRule="auto"/>
        <w:jc w:val="both"/>
        <w:rPr>
          <w:rFonts w:ascii="Times New Roman" w:hAnsi="Times New Roman" w:cs="Times New Roman"/>
          <w:sz w:val="24"/>
          <w:szCs w:val="24"/>
        </w:rPr>
      </w:pPr>
      <w:proofErr w:type="spellStart"/>
      <w:r w:rsidRPr="00B07D58">
        <w:rPr>
          <w:rFonts w:ascii="Times New Roman" w:hAnsi="Times New Roman" w:cs="Times New Roman"/>
          <w:sz w:val="24"/>
          <w:szCs w:val="24"/>
        </w:rPr>
        <w:t>Ágota</w:t>
      </w:r>
      <w:proofErr w:type="spellEnd"/>
      <w:r w:rsidRPr="00B07D58">
        <w:rPr>
          <w:rFonts w:ascii="Times New Roman" w:hAnsi="Times New Roman" w:cs="Times New Roman"/>
          <w:sz w:val="24"/>
          <w:szCs w:val="24"/>
        </w:rPr>
        <w:t xml:space="preserve"> Barabássy,</w:t>
      </w:r>
      <w:r w:rsidRPr="00B07D58">
        <w:rPr>
          <w:rFonts w:ascii="Times New Roman" w:hAnsi="Times New Roman" w:cs="Times New Roman"/>
          <w:sz w:val="24"/>
          <w:szCs w:val="24"/>
          <w:vertAlign w:val="superscript"/>
        </w:rPr>
        <w:t>1</w:t>
      </w:r>
      <w:r w:rsidRPr="00B07D58">
        <w:rPr>
          <w:rFonts w:ascii="Times New Roman" w:hAnsi="Times New Roman" w:cs="Times New Roman"/>
          <w:sz w:val="24"/>
          <w:szCs w:val="24"/>
        </w:rPr>
        <w:t xml:space="preserve"> Barbara Sebe,</w:t>
      </w:r>
      <w:r w:rsidRPr="00B07D58">
        <w:rPr>
          <w:rFonts w:ascii="Times New Roman" w:hAnsi="Times New Roman" w:cs="Times New Roman"/>
          <w:sz w:val="24"/>
          <w:szCs w:val="24"/>
          <w:vertAlign w:val="superscript"/>
        </w:rPr>
        <w:t>1</w:t>
      </w:r>
      <w:r w:rsidRPr="00B07D58">
        <w:rPr>
          <w:rFonts w:ascii="Times New Roman" w:hAnsi="Times New Roman" w:cs="Times New Roman"/>
          <w:sz w:val="24"/>
          <w:szCs w:val="24"/>
        </w:rPr>
        <w:t xml:space="preserve"> Károly Acsai,</w:t>
      </w:r>
      <w:r w:rsidRPr="00B07D58">
        <w:rPr>
          <w:rFonts w:ascii="Times New Roman" w:hAnsi="Times New Roman" w:cs="Times New Roman"/>
          <w:sz w:val="24"/>
          <w:szCs w:val="24"/>
          <w:vertAlign w:val="superscript"/>
        </w:rPr>
        <w:t>1</w:t>
      </w:r>
      <w:r w:rsidRPr="00B07D58">
        <w:rPr>
          <w:rFonts w:ascii="Times New Roman" w:hAnsi="Times New Roman" w:cs="Times New Roman"/>
          <w:sz w:val="24"/>
          <w:szCs w:val="24"/>
        </w:rPr>
        <w:t xml:space="preserve"> István Laszlovszky,</w:t>
      </w:r>
      <w:r w:rsidRPr="00B07D58">
        <w:rPr>
          <w:rFonts w:ascii="Times New Roman" w:hAnsi="Times New Roman" w:cs="Times New Roman"/>
          <w:sz w:val="24"/>
          <w:szCs w:val="24"/>
          <w:vertAlign w:val="superscript"/>
        </w:rPr>
        <w:t>1</w:t>
      </w:r>
      <w:r w:rsidRPr="00B07D58">
        <w:rPr>
          <w:rFonts w:ascii="Times New Roman" w:hAnsi="Times New Roman" w:cs="Times New Roman"/>
          <w:sz w:val="24"/>
          <w:szCs w:val="24"/>
        </w:rPr>
        <w:t xml:space="preserve"> Balázs Szatmári,</w:t>
      </w:r>
      <w:r w:rsidRPr="00B07D58">
        <w:rPr>
          <w:rFonts w:ascii="Times New Roman" w:hAnsi="Times New Roman" w:cs="Times New Roman"/>
          <w:sz w:val="24"/>
          <w:szCs w:val="24"/>
          <w:vertAlign w:val="superscript"/>
        </w:rPr>
        <w:t>1</w:t>
      </w:r>
      <w:r w:rsidRPr="00B07D58">
        <w:rPr>
          <w:rFonts w:ascii="Times New Roman" w:hAnsi="Times New Roman" w:cs="Times New Roman"/>
          <w:sz w:val="24"/>
          <w:szCs w:val="24"/>
        </w:rPr>
        <w:t xml:space="preserve"> Willie R. Earley,</w:t>
      </w:r>
      <w:r w:rsidRPr="00B07D58">
        <w:rPr>
          <w:rFonts w:ascii="Times New Roman" w:hAnsi="Times New Roman" w:cs="Times New Roman"/>
          <w:sz w:val="24"/>
          <w:szCs w:val="24"/>
          <w:vertAlign w:val="superscript"/>
        </w:rPr>
        <w:t>2</w:t>
      </w:r>
      <w:r w:rsidRPr="00B07D58">
        <w:rPr>
          <w:rFonts w:ascii="Times New Roman" w:hAnsi="Times New Roman" w:cs="Times New Roman"/>
          <w:sz w:val="24"/>
          <w:szCs w:val="24"/>
        </w:rPr>
        <w:t xml:space="preserve"> György Németh</w:t>
      </w:r>
      <w:r w:rsidRPr="00B07D58">
        <w:rPr>
          <w:rFonts w:ascii="Times New Roman" w:hAnsi="Times New Roman" w:cs="Times New Roman"/>
          <w:sz w:val="24"/>
          <w:szCs w:val="24"/>
          <w:vertAlign w:val="superscript"/>
        </w:rPr>
        <w:t>1</w:t>
      </w:r>
    </w:p>
    <w:p w14:paraId="0F3BE753" w14:textId="77777777" w:rsidR="005E4E2E" w:rsidRPr="00B07D58" w:rsidRDefault="005E4E2E" w:rsidP="005E4E2E">
      <w:pPr>
        <w:pStyle w:val="ListParagraph"/>
        <w:numPr>
          <w:ilvl w:val="0"/>
          <w:numId w:val="1"/>
        </w:numPr>
        <w:spacing w:after="0" w:line="360" w:lineRule="auto"/>
        <w:jc w:val="both"/>
        <w:rPr>
          <w:rFonts w:ascii="Times New Roman" w:hAnsi="Times New Roman"/>
          <w:sz w:val="24"/>
          <w:szCs w:val="24"/>
        </w:rPr>
      </w:pPr>
      <w:r w:rsidRPr="00B07D58">
        <w:rPr>
          <w:rFonts w:ascii="Times New Roman" w:hAnsi="Times New Roman"/>
          <w:sz w:val="24"/>
          <w:szCs w:val="24"/>
        </w:rPr>
        <w:t>Gedeon Richter Plc. Budapest, Hungary</w:t>
      </w:r>
    </w:p>
    <w:p w14:paraId="08261261" w14:textId="0000F173" w:rsidR="005E4E2E" w:rsidRDefault="005E4E2E" w:rsidP="005E4E2E">
      <w:pPr>
        <w:pStyle w:val="ListParagraph"/>
        <w:numPr>
          <w:ilvl w:val="0"/>
          <w:numId w:val="1"/>
        </w:numPr>
        <w:spacing w:after="0" w:line="360" w:lineRule="auto"/>
        <w:jc w:val="both"/>
        <w:rPr>
          <w:rFonts w:ascii="Times New Roman" w:hAnsi="Times New Roman"/>
          <w:sz w:val="24"/>
          <w:szCs w:val="24"/>
        </w:rPr>
      </w:pPr>
      <w:r w:rsidRPr="00B07D58">
        <w:rPr>
          <w:rFonts w:ascii="Times New Roman" w:hAnsi="Times New Roman"/>
          <w:sz w:val="24"/>
          <w:szCs w:val="24"/>
        </w:rPr>
        <w:t>AbbVie, Madison, New Jersey, USA</w:t>
      </w:r>
    </w:p>
    <w:p w14:paraId="3F3B81E0" w14:textId="77777777" w:rsidR="005E4E2E" w:rsidRDefault="005E4E2E" w:rsidP="005E4E2E">
      <w:pPr>
        <w:pStyle w:val="ListParagraph"/>
        <w:spacing w:after="0" w:line="240" w:lineRule="auto"/>
        <w:jc w:val="both"/>
        <w:rPr>
          <w:rFonts w:ascii="Times New Roman" w:hAnsi="Times New Roman"/>
          <w:sz w:val="24"/>
          <w:szCs w:val="24"/>
        </w:rPr>
      </w:pPr>
    </w:p>
    <w:p w14:paraId="0C60AF36" w14:textId="77777777" w:rsidR="005E4E2E" w:rsidRDefault="005E4E2E">
      <w:pPr>
        <w:rPr>
          <w:rFonts w:ascii="Times New Roman" w:eastAsia="Calibri" w:hAnsi="Times New Roman" w:cs="Times New Roman"/>
          <w:b/>
          <w:bCs/>
          <w:sz w:val="24"/>
          <w:szCs w:val="24"/>
          <w:lang w:val="hu-HU"/>
        </w:rPr>
      </w:pPr>
      <w:r>
        <w:rPr>
          <w:rFonts w:ascii="Times New Roman" w:eastAsia="Calibri" w:hAnsi="Times New Roman" w:cs="Times New Roman"/>
          <w:b/>
          <w:bCs/>
          <w:sz w:val="24"/>
          <w:szCs w:val="24"/>
          <w:lang w:val="hu-HU"/>
        </w:rPr>
        <w:br w:type="page"/>
      </w:r>
    </w:p>
    <w:p w14:paraId="2F1C2E65" w14:textId="0B4E0064" w:rsidR="004E3D20" w:rsidRPr="004E3D20" w:rsidRDefault="004E3D20" w:rsidP="004E3D20">
      <w:pPr>
        <w:rPr>
          <w:rFonts w:ascii="Times New Roman" w:eastAsia="Calibri" w:hAnsi="Times New Roman" w:cs="Times New Roman"/>
          <w:sz w:val="24"/>
          <w:szCs w:val="24"/>
        </w:rPr>
      </w:pPr>
      <w:r w:rsidRPr="004E3D20">
        <w:rPr>
          <w:rFonts w:ascii="Times New Roman" w:eastAsia="Calibri" w:hAnsi="Times New Roman" w:cs="Times New Roman"/>
          <w:b/>
          <w:bCs/>
          <w:sz w:val="24"/>
          <w:szCs w:val="24"/>
          <w:lang w:val="hu-HU"/>
        </w:rPr>
        <w:lastRenderedPageBreak/>
        <w:t xml:space="preserve">Supplemental Table </w:t>
      </w:r>
      <w:r w:rsidR="007945D2">
        <w:rPr>
          <w:rFonts w:ascii="Times New Roman" w:eastAsia="Calibri" w:hAnsi="Times New Roman" w:cs="Times New Roman"/>
          <w:b/>
          <w:bCs/>
          <w:sz w:val="24"/>
          <w:szCs w:val="24"/>
          <w:lang w:val="hu-HU"/>
        </w:rPr>
        <w:t>2</w:t>
      </w:r>
      <w:r w:rsidRPr="004E3D20">
        <w:rPr>
          <w:rFonts w:ascii="Times New Roman" w:eastAsia="Calibri" w:hAnsi="Times New Roman" w:cs="Times New Roman"/>
          <w:b/>
          <w:bCs/>
          <w:sz w:val="24"/>
          <w:szCs w:val="24"/>
          <w:lang w:val="hu-HU"/>
        </w:rPr>
        <w:t>. Pooled Adverse Event Terms</w:t>
      </w:r>
    </w:p>
    <w:tbl>
      <w:tblPr>
        <w:tblStyle w:val="TableGrid"/>
        <w:tblW w:w="9450" w:type="dxa"/>
        <w:tblInd w:w="-95" w:type="dxa"/>
        <w:tblLayout w:type="fixed"/>
        <w:tblLook w:val="04A0" w:firstRow="1" w:lastRow="0" w:firstColumn="1" w:lastColumn="0" w:noHBand="0" w:noVBand="1"/>
      </w:tblPr>
      <w:tblGrid>
        <w:gridCol w:w="1710"/>
        <w:gridCol w:w="7740"/>
      </w:tblGrid>
      <w:tr w:rsidR="004E3D20" w:rsidRPr="004E3D20" w14:paraId="7C5DB579" w14:textId="77777777" w:rsidTr="005E4E2E">
        <w:tc>
          <w:tcPr>
            <w:tcW w:w="1710" w:type="dxa"/>
            <w:shd w:val="clear" w:color="auto" w:fill="auto"/>
            <w:vAlign w:val="bottom"/>
          </w:tcPr>
          <w:p w14:paraId="672CA651" w14:textId="77777777" w:rsidR="004E3D20" w:rsidRPr="004E3D20" w:rsidRDefault="004E3D20" w:rsidP="004E3D20">
            <w:pPr>
              <w:spacing w:line="360" w:lineRule="auto"/>
              <w:rPr>
                <w:rFonts w:ascii="Times New Roman" w:hAnsi="Times New Roman"/>
                <w:b/>
                <w:bCs/>
              </w:rPr>
            </w:pPr>
            <w:r w:rsidRPr="004E3D20">
              <w:rPr>
                <w:rFonts w:ascii="Times New Roman" w:hAnsi="Times New Roman"/>
                <w:b/>
                <w:bCs/>
              </w:rPr>
              <w:t>Adverse Event</w:t>
            </w:r>
          </w:p>
        </w:tc>
        <w:tc>
          <w:tcPr>
            <w:tcW w:w="7740" w:type="dxa"/>
            <w:shd w:val="clear" w:color="auto" w:fill="auto"/>
            <w:vAlign w:val="bottom"/>
          </w:tcPr>
          <w:p w14:paraId="36F55229" w14:textId="77777777" w:rsidR="004E3D20" w:rsidRPr="004E3D20" w:rsidRDefault="004E3D20" w:rsidP="004E3D20">
            <w:pPr>
              <w:spacing w:line="360" w:lineRule="auto"/>
              <w:rPr>
                <w:rFonts w:ascii="Times New Roman" w:hAnsi="Times New Roman"/>
                <w:b/>
                <w:bCs/>
              </w:rPr>
            </w:pPr>
            <w:r w:rsidRPr="004E3D20">
              <w:rPr>
                <w:rFonts w:ascii="Times New Roman" w:hAnsi="Times New Roman"/>
                <w:b/>
                <w:bCs/>
              </w:rPr>
              <w:t>Grouped Terms</w:t>
            </w:r>
          </w:p>
        </w:tc>
      </w:tr>
      <w:tr w:rsidR="004E3D20" w:rsidRPr="004E3D20" w14:paraId="7C2F6307" w14:textId="77777777" w:rsidTr="005E4E2E">
        <w:tc>
          <w:tcPr>
            <w:tcW w:w="1710" w:type="dxa"/>
            <w:shd w:val="clear" w:color="auto" w:fill="auto"/>
          </w:tcPr>
          <w:p w14:paraId="3207E735" w14:textId="77777777" w:rsidR="004E3D20" w:rsidRPr="004E3D20" w:rsidRDefault="004E3D20" w:rsidP="004E3D20">
            <w:pPr>
              <w:spacing w:line="360" w:lineRule="auto"/>
              <w:jc w:val="both"/>
              <w:rPr>
                <w:rFonts w:ascii="Times New Roman" w:hAnsi="Times New Roman"/>
              </w:rPr>
            </w:pPr>
            <w:r w:rsidRPr="004E3D20">
              <w:rPr>
                <w:rFonts w:ascii="Times New Roman" w:hAnsi="Times New Roman"/>
              </w:rPr>
              <w:t>Prolactin elevation</w:t>
            </w:r>
          </w:p>
        </w:tc>
        <w:tc>
          <w:tcPr>
            <w:tcW w:w="7740" w:type="dxa"/>
            <w:shd w:val="clear" w:color="auto" w:fill="auto"/>
            <w:vAlign w:val="bottom"/>
          </w:tcPr>
          <w:p w14:paraId="743DA6A8" w14:textId="77777777" w:rsidR="004E3D20" w:rsidRPr="004E3D20" w:rsidRDefault="004E3D20" w:rsidP="004E3D20">
            <w:pPr>
              <w:spacing w:line="360" w:lineRule="auto"/>
              <w:rPr>
                <w:rFonts w:ascii="Times New Roman" w:hAnsi="Times New Roman"/>
              </w:rPr>
            </w:pPr>
            <w:r w:rsidRPr="004E3D20">
              <w:rPr>
                <w:rFonts w:ascii="Times New Roman" w:hAnsi="Times New Roman"/>
              </w:rPr>
              <w:t>Blood prolactin increase, hyperprolactinemia</w:t>
            </w:r>
          </w:p>
        </w:tc>
      </w:tr>
      <w:tr w:rsidR="004E3D20" w:rsidRPr="004E3D20" w14:paraId="148F3227" w14:textId="77777777" w:rsidTr="005E4E2E">
        <w:tc>
          <w:tcPr>
            <w:tcW w:w="1710" w:type="dxa"/>
            <w:shd w:val="clear" w:color="auto" w:fill="auto"/>
          </w:tcPr>
          <w:p w14:paraId="40F7083E" w14:textId="77777777" w:rsidR="004E3D20" w:rsidRPr="004E3D20" w:rsidRDefault="004E3D20" w:rsidP="004E3D20">
            <w:pPr>
              <w:spacing w:line="360" w:lineRule="auto"/>
              <w:jc w:val="both"/>
              <w:rPr>
                <w:rFonts w:ascii="Times New Roman" w:hAnsi="Times New Roman"/>
              </w:rPr>
            </w:pPr>
            <w:r w:rsidRPr="004E3D20">
              <w:rPr>
                <w:rFonts w:ascii="Times New Roman" w:hAnsi="Times New Roman"/>
              </w:rPr>
              <w:t>Cognition impairment</w:t>
            </w:r>
          </w:p>
        </w:tc>
        <w:tc>
          <w:tcPr>
            <w:tcW w:w="7740" w:type="dxa"/>
            <w:shd w:val="clear" w:color="auto" w:fill="auto"/>
            <w:vAlign w:val="bottom"/>
          </w:tcPr>
          <w:p w14:paraId="6004005F" w14:textId="77777777" w:rsidR="004E3D20" w:rsidRPr="004E3D20" w:rsidRDefault="004E3D20" w:rsidP="004E3D20">
            <w:pPr>
              <w:spacing w:line="360" w:lineRule="auto"/>
              <w:ind w:left="-14"/>
              <w:rPr>
                <w:rFonts w:ascii="Times New Roman" w:hAnsi="Times New Roman"/>
              </w:rPr>
            </w:pPr>
            <w:r w:rsidRPr="004E3D20">
              <w:rPr>
                <w:rFonts w:ascii="Times New Roman" w:hAnsi="Times New Roman"/>
              </w:rPr>
              <w:t xml:space="preserve">Delirium, </w:t>
            </w:r>
            <w:proofErr w:type="spellStart"/>
            <w:r w:rsidRPr="004E3D20">
              <w:rPr>
                <w:rFonts w:ascii="Times New Roman" w:hAnsi="Times New Roman"/>
              </w:rPr>
              <w:t>confusional</w:t>
            </w:r>
            <w:proofErr w:type="spellEnd"/>
            <w:r w:rsidRPr="004E3D20">
              <w:rPr>
                <w:rFonts w:ascii="Times New Roman" w:hAnsi="Times New Roman"/>
              </w:rPr>
              <w:t xml:space="preserve"> state, disorientation, mental status changes, disturbance in attention, mental impairment, cognitive </w:t>
            </w:r>
            <w:proofErr w:type="gramStart"/>
            <w:r w:rsidRPr="004E3D20">
              <w:rPr>
                <w:rFonts w:ascii="Times New Roman" w:hAnsi="Times New Roman"/>
              </w:rPr>
              <w:t>disorder</w:t>
            </w:r>
            <w:proofErr w:type="gramEnd"/>
            <w:r w:rsidRPr="004E3D20">
              <w:rPr>
                <w:rFonts w:ascii="Times New Roman" w:hAnsi="Times New Roman"/>
              </w:rPr>
              <w:t xml:space="preserve"> and memory impairment</w:t>
            </w:r>
          </w:p>
        </w:tc>
      </w:tr>
      <w:tr w:rsidR="004E3D20" w:rsidRPr="004E3D20" w14:paraId="72353695" w14:textId="77777777" w:rsidTr="005E4E2E">
        <w:tc>
          <w:tcPr>
            <w:tcW w:w="1710" w:type="dxa"/>
            <w:shd w:val="clear" w:color="auto" w:fill="auto"/>
          </w:tcPr>
          <w:p w14:paraId="5483BC63" w14:textId="77777777" w:rsidR="004E3D20" w:rsidRPr="004E3D20" w:rsidRDefault="004E3D20" w:rsidP="004E3D20">
            <w:pPr>
              <w:spacing w:line="360" w:lineRule="auto"/>
              <w:jc w:val="both"/>
              <w:rPr>
                <w:rFonts w:ascii="Times New Roman" w:hAnsi="Times New Roman"/>
              </w:rPr>
            </w:pPr>
            <w:r w:rsidRPr="004E3D20">
              <w:rPr>
                <w:rFonts w:ascii="Times New Roman" w:hAnsi="Times New Roman"/>
              </w:rPr>
              <w:t>Sexual dysfunction</w:t>
            </w:r>
          </w:p>
        </w:tc>
        <w:tc>
          <w:tcPr>
            <w:tcW w:w="7740" w:type="dxa"/>
            <w:shd w:val="clear" w:color="auto" w:fill="auto"/>
            <w:vAlign w:val="bottom"/>
          </w:tcPr>
          <w:p w14:paraId="5CDF00F9" w14:textId="77777777" w:rsidR="004E3D20" w:rsidRPr="004E3D20" w:rsidRDefault="004E3D20" w:rsidP="004E3D20">
            <w:pPr>
              <w:spacing w:line="360" w:lineRule="auto"/>
              <w:rPr>
                <w:rFonts w:ascii="Times New Roman" w:hAnsi="Times New Roman"/>
              </w:rPr>
            </w:pPr>
            <w:r w:rsidRPr="004E3D20">
              <w:rPr>
                <w:rFonts w:ascii="Times New Roman" w:hAnsi="Times New Roman"/>
              </w:rPr>
              <w:t>Libido decreased, anorgasmia, female orgasmic disorder, male orgasmic disorder, orgasm abnormal, erectile dysfunction, ejaculation disorder, ejaculation failure, sexual dysfunction, amenorrhea</w:t>
            </w:r>
          </w:p>
        </w:tc>
      </w:tr>
      <w:tr w:rsidR="004E3D20" w:rsidRPr="004E3D20" w14:paraId="23CF9028" w14:textId="77777777" w:rsidTr="005E4E2E">
        <w:tc>
          <w:tcPr>
            <w:tcW w:w="1710" w:type="dxa"/>
            <w:shd w:val="clear" w:color="auto" w:fill="auto"/>
          </w:tcPr>
          <w:p w14:paraId="7E7BE211" w14:textId="77777777" w:rsidR="004E3D20" w:rsidRPr="004E3D20" w:rsidRDefault="004E3D20" w:rsidP="004E3D20">
            <w:pPr>
              <w:spacing w:line="360" w:lineRule="auto"/>
              <w:jc w:val="both"/>
              <w:rPr>
                <w:rFonts w:ascii="Times New Roman" w:hAnsi="Times New Roman"/>
              </w:rPr>
            </w:pPr>
            <w:r w:rsidRPr="004E3D20">
              <w:rPr>
                <w:rFonts w:ascii="Times New Roman" w:hAnsi="Times New Roman"/>
              </w:rPr>
              <w:t>Suicidality</w:t>
            </w:r>
          </w:p>
        </w:tc>
        <w:tc>
          <w:tcPr>
            <w:tcW w:w="7740" w:type="dxa"/>
            <w:shd w:val="clear" w:color="auto" w:fill="auto"/>
            <w:vAlign w:val="bottom"/>
          </w:tcPr>
          <w:p w14:paraId="719CB4C3" w14:textId="77777777" w:rsidR="004E3D20" w:rsidRPr="004E3D20" w:rsidRDefault="004E3D20" w:rsidP="004E3D20">
            <w:pPr>
              <w:spacing w:line="360" w:lineRule="auto"/>
              <w:rPr>
                <w:rFonts w:ascii="Times New Roman" w:hAnsi="Times New Roman"/>
              </w:rPr>
            </w:pPr>
            <w:r w:rsidRPr="004E3D20">
              <w:rPr>
                <w:rFonts w:ascii="Times New Roman" w:hAnsi="Times New Roman"/>
              </w:rPr>
              <w:t>Completed suicide, depression suicidal, intentional overdose, intentional self-injury, multiple drug overdose intentional, poisoning deliberate, self-injurious behavior, self</w:t>
            </w:r>
            <w:r w:rsidRPr="004E3D20">
              <w:rPr>
                <w:rFonts w:ascii="Times New Roman" w:hAnsi="Times New Roman"/>
              </w:rPr>
              <w:noBreakHyphen/>
              <w:t>injurious ideation, suicidal behavior, suicidal ideation, and suicide attempt</w:t>
            </w:r>
          </w:p>
        </w:tc>
      </w:tr>
      <w:tr w:rsidR="004E3D20" w:rsidRPr="004E3D20" w14:paraId="66FD6BFA" w14:textId="77777777" w:rsidTr="005E4E2E">
        <w:tc>
          <w:tcPr>
            <w:tcW w:w="1710" w:type="dxa"/>
            <w:shd w:val="clear" w:color="auto" w:fill="auto"/>
          </w:tcPr>
          <w:p w14:paraId="6CDA16FC" w14:textId="77777777" w:rsidR="004E3D20" w:rsidRPr="004E3D20" w:rsidRDefault="004E3D20" w:rsidP="004E3D20">
            <w:pPr>
              <w:spacing w:line="360" w:lineRule="auto"/>
              <w:jc w:val="both"/>
              <w:rPr>
                <w:rFonts w:ascii="Times New Roman" w:hAnsi="Times New Roman"/>
              </w:rPr>
            </w:pPr>
            <w:r w:rsidRPr="004E3D20">
              <w:rPr>
                <w:rFonts w:ascii="Times New Roman" w:hAnsi="Times New Roman"/>
              </w:rPr>
              <w:t>QT prolongation</w:t>
            </w:r>
          </w:p>
        </w:tc>
        <w:tc>
          <w:tcPr>
            <w:tcW w:w="7740" w:type="dxa"/>
            <w:shd w:val="clear" w:color="auto" w:fill="auto"/>
            <w:vAlign w:val="bottom"/>
          </w:tcPr>
          <w:p w14:paraId="05B0B431" w14:textId="77777777" w:rsidR="004E3D20" w:rsidRPr="004E3D20" w:rsidRDefault="004E3D20" w:rsidP="004E3D20">
            <w:pPr>
              <w:spacing w:line="360" w:lineRule="auto"/>
              <w:rPr>
                <w:rFonts w:ascii="Times New Roman" w:hAnsi="Times New Roman"/>
              </w:rPr>
            </w:pPr>
            <w:r w:rsidRPr="004E3D20">
              <w:rPr>
                <w:rFonts w:ascii="Times New Roman" w:hAnsi="Times New Roman"/>
              </w:rPr>
              <w:t>Electrocardiogram QT, electrocardiogram QT interval abnormal, electrocardiogram QT prolonged, long QT syndrome</w:t>
            </w:r>
          </w:p>
        </w:tc>
      </w:tr>
      <w:tr w:rsidR="004E3D20" w:rsidRPr="004E3D20" w14:paraId="52771710" w14:textId="77777777" w:rsidTr="005E4E2E">
        <w:tc>
          <w:tcPr>
            <w:tcW w:w="1710" w:type="dxa"/>
            <w:shd w:val="clear" w:color="auto" w:fill="auto"/>
          </w:tcPr>
          <w:p w14:paraId="23244E28" w14:textId="77777777" w:rsidR="004E3D20" w:rsidRPr="004E3D20" w:rsidRDefault="004E3D20" w:rsidP="004E3D20">
            <w:pPr>
              <w:spacing w:line="360" w:lineRule="auto"/>
              <w:rPr>
                <w:rFonts w:ascii="Times New Roman" w:hAnsi="Times New Roman"/>
              </w:rPr>
            </w:pPr>
            <w:r w:rsidRPr="004E3D20">
              <w:rPr>
                <w:rFonts w:ascii="Times New Roman" w:hAnsi="Times New Roman"/>
              </w:rPr>
              <w:t>Hyperlipidemia-related</w:t>
            </w:r>
          </w:p>
        </w:tc>
        <w:tc>
          <w:tcPr>
            <w:tcW w:w="7740" w:type="dxa"/>
            <w:shd w:val="clear" w:color="auto" w:fill="auto"/>
            <w:vAlign w:val="bottom"/>
          </w:tcPr>
          <w:p w14:paraId="42D7236E" w14:textId="77777777" w:rsidR="004E3D20" w:rsidRPr="004E3D20" w:rsidRDefault="004E3D20" w:rsidP="004E3D20">
            <w:pPr>
              <w:spacing w:line="360" w:lineRule="auto"/>
              <w:rPr>
                <w:rFonts w:ascii="Times New Roman" w:hAnsi="Times New Roman"/>
              </w:rPr>
            </w:pPr>
            <w:r w:rsidRPr="004E3D20">
              <w:rPr>
                <w:rFonts w:ascii="Times New Roman" w:hAnsi="Times New Roman"/>
              </w:rPr>
              <w:t xml:space="preserve">Apolipoprotein B/apolipoprotein A-1 ratio increased, autoimmune hyperlipidemia, blood cholesterol abnormal, blood cholesterol decreased, blood cholesterol esterase increased, blood cholesterol increased, blood triglycerides abnormal, blood triglycerides increased, diabetic dyslipidemia, dyslipidemia, familial hypertriglyceridemia, high density lipoprotein abnormal, high density lipoprotein increased, hypercholesterolemia, hyperlipidemia, hypertriglyceridemia, hypo HDL </w:t>
            </w:r>
            <w:proofErr w:type="spellStart"/>
            <w:r w:rsidRPr="004E3D20">
              <w:rPr>
                <w:rFonts w:ascii="Times New Roman" w:hAnsi="Times New Roman"/>
              </w:rPr>
              <w:t>cholesterolemia</w:t>
            </w:r>
            <w:proofErr w:type="spellEnd"/>
            <w:r w:rsidRPr="004E3D20">
              <w:rPr>
                <w:rFonts w:ascii="Times New Roman" w:hAnsi="Times New Roman"/>
              </w:rPr>
              <w:t xml:space="preserve">, intermediate density lipoprotein increased, LDL/HDL ratio increased, lipid metabolism disorder, lipids abnormal, lipids increased, lipoprotein (a) abnormal, lipoprotein (a) increased, low density lipoprotein abnormal low density lipoprotein increased, non-high density lipoprotein cholesterol increased, remnant hyperlipidemia, total cholesterol/HDL ratio abnormal, total cholesterol/HDL ratio increased, type I hyperlipidemia, type II hyperlipidemia, type I </w:t>
            </w:r>
            <w:proofErr w:type="spellStart"/>
            <w:r w:rsidRPr="004E3D20">
              <w:rPr>
                <w:rFonts w:ascii="Times New Roman" w:hAnsi="Times New Roman"/>
              </w:rPr>
              <w:t>ia</w:t>
            </w:r>
            <w:proofErr w:type="spellEnd"/>
            <w:r w:rsidRPr="004E3D20">
              <w:rPr>
                <w:rFonts w:ascii="Times New Roman" w:hAnsi="Times New Roman"/>
              </w:rPr>
              <w:t xml:space="preserve"> hyperlipidemia, type I </w:t>
            </w:r>
            <w:proofErr w:type="spellStart"/>
            <w:r w:rsidRPr="004E3D20">
              <w:rPr>
                <w:rFonts w:ascii="Times New Roman" w:hAnsi="Times New Roman"/>
              </w:rPr>
              <w:t>ib</w:t>
            </w:r>
            <w:proofErr w:type="spellEnd"/>
            <w:r w:rsidRPr="004E3D20">
              <w:rPr>
                <w:rFonts w:ascii="Times New Roman" w:hAnsi="Times New Roman"/>
              </w:rPr>
              <w:t xml:space="preserve"> hyperlipidemia, type III hyperlipidemia, type IV hyperlipidemia, type V hyperlipidemia, very low density lipoprotein abnormal, very low density lipoprotein increased</w:t>
            </w:r>
          </w:p>
        </w:tc>
      </w:tr>
      <w:tr w:rsidR="004E3D20" w:rsidRPr="004E3D20" w14:paraId="614E8F62" w14:textId="77777777" w:rsidTr="005E4E2E">
        <w:tc>
          <w:tcPr>
            <w:tcW w:w="1710" w:type="dxa"/>
            <w:shd w:val="clear" w:color="auto" w:fill="auto"/>
          </w:tcPr>
          <w:p w14:paraId="3DBCB46D" w14:textId="77777777" w:rsidR="004E3D20" w:rsidRPr="004E3D20" w:rsidRDefault="004E3D20" w:rsidP="004E3D20">
            <w:pPr>
              <w:spacing w:line="360" w:lineRule="auto"/>
              <w:rPr>
                <w:rFonts w:ascii="Times New Roman" w:hAnsi="Times New Roman"/>
              </w:rPr>
            </w:pPr>
            <w:r w:rsidRPr="004E3D20">
              <w:rPr>
                <w:rFonts w:ascii="Times New Roman" w:hAnsi="Times New Roman"/>
              </w:rPr>
              <w:t>Hyperglycemia/ diabetes mellitus-related</w:t>
            </w:r>
          </w:p>
        </w:tc>
        <w:tc>
          <w:tcPr>
            <w:tcW w:w="7740" w:type="dxa"/>
            <w:shd w:val="clear" w:color="auto" w:fill="auto"/>
            <w:vAlign w:val="bottom"/>
          </w:tcPr>
          <w:p w14:paraId="0B629DDB" w14:textId="77777777" w:rsidR="004E3D20" w:rsidRPr="004E3D20" w:rsidRDefault="004E3D20" w:rsidP="004E3D20">
            <w:pPr>
              <w:spacing w:line="360" w:lineRule="auto"/>
              <w:rPr>
                <w:rFonts w:ascii="Times New Roman" w:hAnsi="Times New Roman"/>
              </w:rPr>
            </w:pPr>
            <w:r w:rsidRPr="004E3D20">
              <w:rPr>
                <w:rFonts w:ascii="Times New Roman" w:hAnsi="Times New Roman"/>
              </w:rPr>
              <w:t xml:space="preserve">Blood 1,5-anhydroglucitol decreased, blood glucose increased, diabetes complicating pregnancy, diabetes mellitus, diabetes mellitus inadequate control, diabetes with hyperosmolarity, diabetic coma, diabetic hepatopathy, diabetic hyperglycemic coma, diabetic hyperosmolar coma, diabetic ketoacidosis, diabetic </w:t>
            </w:r>
            <w:proofErr w:type="spellStart"/>
            <w:r w:rsidRPr="004E3D20">
              <w:rPr>
                <w:rFonts w:ascii="Times New Roman" w:hAnsi="Times New Roman"/>
              </w:rPr>
              <w:t>ketoacidotic</w:t>
            </w:r>
            <w:proofErr w:type="spellEnd"/>
            <w:r w:rsidRPr="004E3D20">
              <w:rPr>
                <w:rFonts w:ascii="Times New Roman" w:hAnsi="Times New Roman"/>
              </w:rPr>
              <w:t xml:space="preserve"> hyperglycemic coma, </w:t>
            </w:r>
            <w:proofErr w:type="spellStart"/>
            <w:r w:rsidRPr="004E3D20">
              <w:rPr>
                <w:rFonts w:ascii="Times New Roman" w:hAnsi="Times New Roman"/>
              </w:rPr>
              <w:t>fructosamine</w:t>
            </w:r>
            <w:proofErr w:type="spellEnd"/>
            <w:r w:rsidRPr="004E3D20">
              <w:rPr>
                <w:rFonts w:ascii="Times New Roman" w:hAnsi="Times New Roman"/>
              </w:rPr>
              <w:t xml:space="preserve"> increased, gestational diabetes, glucose tolerance impaired, glucose tolerance impaired in pregnancy, glucose urine present, glycosuria, glycosuria during pregnancy, glycosylated hemoglobin increased, hyperglycemia, hyperglycemic hyperosmolar nonketotic syndrome, hyperglycemic seizure, hyperglycemic unconsciousness, impaired fasting glucose, insulin resistance, insulin resistance syndrome, insulin resistant diabetes, insulin-requiring type 2 diabetes mellitus, ketoacidosis, ketonuria, ketosis, latent autoimmune diabetes in adults, metabolic syndrome, neonatal diabetes mellitus, </w:t>
            </w:r>
            <w:proofErr w:type="spellStart"/>
            <w:r w:rsidRPr="004E3D20">
              <w:rPr>
                <w:rFonts w:ascii="Times New Roman" w:hAnsi="Times New Roman"/>
              </w:rPr>
              <w:t>pancreatogenous</w:t>
            </w:r>
            <w:proofErr w:type="spellEnd"/>
            <w:r w:rsidRPr="004E3D20">
              <w:rPr>
                <w:rFonts w:ascii="Times New Roman" w:hAnsi="Times New Roman"/>
              </w:rPr>
              <w:t xml:space="preserve"> diabetes, type 1 diabetes mellitus, type 2 diabetes mellitus, urine ketone body present</w:t>
            </w:r>
          </w:p>
        </w:tc>
      </w:tr>
    </w:tbl>
    <w:p w14:paraId="0042CF30" w14:textId="77777777" w:rsidR="00492895" w:rsidRDefault="00492895" w:rsidP="004E3D20"/>
    <w:sectPr w:rsidR="00492895" w:rsidSect="004E3D20">
      <w:pgSz w:w="12240" w:h="15840"/>
      <w:pgMar w:top="1170" w:right="144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6577B6"/>
    <w:multiLevelType w:val="hybridMultilevel"/>
    <w:tmpl w:val="4A24D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D20"/>
    <w:rsid w:val="00492895"/>
    <w:rsid w:val="004E3D20"/>
    <w:rsid w:val="005E4E2E"/>
    <w:rsid w:val="007945D2"/>
    <w:rsid w:val="00B773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2195B"/>
  <w15:chartTrackingRefBased/>
  <w15:docId w15:val="{F1D25692-FDC6-415C-9443-AD7536D8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E3D2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5E4E2E"/>
    <w:pPr>
      <w:spacing w:after="200" w:line="276"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521</Words>
  <Characters>2975</Characters>
  <Application>Microsoft Office Word</Application>
  <DocSecurity>4</DocSecurity>
  <Lines>24</Lines>
  <Paragraphs>6</Paragraphs>
  <ScaleCrop>false</ScaleCrop>
  <Company/>
  <LinksUpToDate>false</LinksUpToDate>
  <CharactersWithSpaces>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Noel</dc:creator>
  <cp:keywords/>
  <dc:description/>
  <cp:lastModifiedBy>Matt Noel</cp:lastModifiedBy>
  <cp:revision>2</cp:revision>
  <dcterms:created xsi:type="dcterms:W3CDTF">2021-01-05T20:43:00Z</dcterms:created>
  <dcterms:modified xsi:type="dcterms:W3CDTF">2021-01-05T20:43:00Z</dcterms:modified>
</cp:coreProperties>
</file>