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CCB98" w14:textId="77777777" w:rsidR="00943B10" w:rsidRPr="00943B10" w:rsidRDefault="00943B10" w:rsidP="00943B10">
      <w:pPr>
        <w:rPr>
          <w:b/>
          <w:lang w:val="en-US"/>
        </w:rPr>
      </w:pPr>
      <w:r w:rsidRPr="00943B10">
        <w:rPr>
          <w:b/>
          <w:lang w:val="en-US"/>
        </w:rPr>
        <w:t>Supplementary Table 1: Demographic and RA-related characteristics in analysed and lost to follow-up patients</w:t>
      </w:r>
    </w:p>
    <w:tbl>
      <w:tblPr>
        <w:tblW w:w="8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1933"/>
        <w:gridCol w:w="1899"/>
        <w:gridCol w:w="1899"/>
      </w:tblGrid>
      <w:tr w:rsidR="00943B10" w:rsidRPr="0045497E" w14:paraId="14D3FADE" w14:textId="77777777" w:rsidTr="00943B10">
        <w:tc>
          <w:tcPr>
            <w:tcW w:w="2769" w:type="dxa"/>
            <w:shd w:val="clear" w:color="auto" w:fill="auto"/>
          </w:tcPr>
          <w:p w14:paraId="6BEB45C1" w14:textId="77777777" w:rsidR="00943B10" w:rsidRPr="00943B10" w:rsidRDefault="00943B10" w:rsidP="00D838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shd w:val="clear" w:color="auto" w:fill="auto"/>
          </w:tcPr>
          <w:p w14:paraId="3BDFFE84" w14:textId="77777777" w:rsidR="00943B10" w:rsidRPr="00335812" w:rsidRDefault="00943B10" w:rsidP="00D8380C">
            <w:pPr>
              <w:rPr>
                <w:szCs w:val="20"/>
              </w:rPr>
            </w:pPr>
            <w:r w:rsidRPr="00335812">
              <w:rPr>
                <w:szCs w:val="20"/>
              </w:rPr>
              <w:t>Analysed patients</w:t>
            </w:r>
          </w:p>
          <w:p w14:paraId="1B33DC1B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D8380C">
              <w:rPr>
                <w:sz w:val="20"/>
                <w:szCs w:val="20"/>
              </w:rPr>
              <w:t>N=207</w:t>
            </w:r>
          </w:p>
        </w:tc>
        <w:tc>
          <w:tcPr>
            <w:tcW w:w="1899" w:type="dxa"/>
          </w:tcPr>
          <w:p w14:paraId="2F8FBC98" w14:textId="77777777" w:rsidR="00943B10" w:rsidRPr="00943B10" w:rsidRDefault="00943B10" w:rsidP="00D8380C">
            <w:pPr>
              <w:rPr>
                <w:szCs w:val="20"/>
                <w:lang w:val="en-US"/>
              </w:rPr>
            </w:pPr>
            <w:r w:rsidRPr="00943B10">
              <w:rPr>
                <w:szCs w:val="20"/>
                <w:lang w:val="en-US"/>
              </w:rPr>
              <w:t>Lost to follow-up patients</w:t>
            </w:r>
          </w:p>
          <w:p w14:paraId="3842E351" w14:textId="77777777" w:rsidR="00943B10" w:rsidRPr="00943B10" w:rsidRDefault="00943B10" w:rsidP="00D8380C">
            <w:pPr>
              <w:rPr>
                <w:szCs w:val="20"/>
                <w:lang w:val="en-US"/>
              </w:rPr>
            </w:pPr>
            <w:r w:rsidRPr="00943B10">
              <w:rPr>
                <w:szCs w:val="20"/>
                <w:lang w:val="en-US"/>
              </w:rPr>
              <w:t xml:space="preserve"> N=33</w:t>
            </w:r>
          </w:p>
        </w:tc>
        <w:tc>
          <w:tcPr>
            <w:tcW w:w="1899" w:type="dxa"/>
          </w:tcPr>
          <w:p w14:paraId="79177AEE" w14:textId="77777777" w:rsidR="00943B10" w:rsidRPr="003570D4" w:rsidRDefault="00943B10" w:rsidP="00D8380C">
            <w:pPr>
              <w:rPr>
                <w:szCs w:val="20"/>
              </w:rPr>
            </w:pPr>
            <w:r w:rsidRPr="006A7787">
              <w:rPr>
                <w:szCs w:val="20"/>
              </w:rPr>
              <w:t>P-value</w:t>
            </w:r>
          </w:p>
        </w:tc>
      </w:tr>
      <w:tr w:rsidR="00943B10" w:rsidRPr="0045497E" w14:paraId="75C04800" w14:textId="77777777" w:rsidTr="00943B10">
        <w:tc>
          <w:tcPr>
            <w:tcW w:w="2769" w:type="dxa"/>
            <w:shd w:val="clear" w:color="auto" w:fill="auto"/>
          </w:tcPr>
          <w:p w14:paraId="234BDA9C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D8380C">
              <w:rPr>
                <w:sz w:val="20"/>
                <w:szCs w:val="20"/>
              </w:rPr>
              <w:t>Age (years)</w:t>
            </w:r>
          </w:p>
        </w:tc>
        <w:tc>
          <w:tcPr>
            <w:tcW w:w="1933" w:type="dxa"/>
            <w:shd w:val="clear" w:color="auto" w:fill="auto"/>
          </w:tcPr>
          <w:p w14:paraId="300E62D9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D8380C">
              <w:rPr>
                <w:sz w:val="20"/>
                <w:szCs w:val="20"/>
              </w:rPr>
              <w:t>60.4±12.4</w:t>
            </w:r>
          </w:p>
        </w:tc>
        <w:tc>
          <w:tcPr>
            <w:tcW w:w="1899" w:type="dxa"/>
          </w:tcPr>
          <w:p w14:paraId="32F2DFF2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60.4 ± 14.6</w:t>
            </w:r>
          </w:p>
        </w:tc>
        <w:tc>
          <w:tcPr>
            <w:tcW w:w="1899" w:type="dxa"/>
          </w:tcPr>
          <w:p w14:paraId="2A861AD6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0.9865</w:t>
            </w:r>
          </w:p>
        </w:tc>
      </w:tr>
      <w:tr w:rsidR="00943B10" w:rsidRPr="0045497E" w14:paraId="1748A910" w14:textId="77777777" w:rsidTr="00943B10">
        <w:tc>
          <w:tcPr>
            <w:tcW w:w="2769" w:type="dxa"/>
            <w:shd w:val="clear" w:color="auto" w:fill="auto"/>
          </w:tcPr>
          <w:p w14:paraId="6C97140B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D8380C">
              <w:rPr>
                <w:sz w:val="20"/>
                <w:szCs w:val="20"/>
              </w:rPr>
              <w:t>Female gender</w:t>
            </w:r>
          </w:p>
        </w:tc>
        <w:tc>
          <w:tcPr>
            <w:tcW w:w="1933" w:type="dxa"/>
            <w:shd w:val="clear" w:color="auto" w:fill="auto"/>
          </w:tcPr>
          <w:p w14:paraId="7AE8E77F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D8380C">
              <w:rPr>
                <w:sz w:val="20"/>
                <w:szCs w:val="20"/>
              </w:rPr>
              <w:t>155 (75.2%)</w:t>
            </w:r>
          </w:p>
        </w:tc>
        <w:tc>
          <w:tcPr>
            <w:tcW w:w="1899" w:type="dxa"/>
          </w:tcPr>
          <w:p w14:paraId="5405FCEE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22 (66.67%)</w:t>
            </w:r>
          </w:p>
        </w:tc>
        <w:tc>
          <w:tcPr>
            <w:tcW w:w="1899" w:type="dxa"/>
          </w:tcPr>
          <w:p w14:paraId="04C511CD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0.30</w:t>
            </w:r>
          </w:p>
        </w:tc>
      </w:tr>
      <w:tr w:rsidR="00943B10" w:rsidRPr="0045497E" w14:paraId="31F032DB" w14:textId="77777777" w:rsidTr="00943B10">
        <w:tc>
          <w:tcPr>
            <w:tcW w:w="2769" w:type="dxa"/>
            <w:shd w:val="clear" w:color="auto" w:fill="auto"/>
          </w:tcPr>
          <w:p w14:paraId="598A7825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D8380C">
              <w:rPr>
                <w:sz w:val="20"/>
                <w:szCs w:val="20"/>
              </w:rPr>
              <w:t>Living alone</w:t>
            </w:r>
          </w:p>
        </w:tc>
        <w:tc>
          <w:tcPr>
            <w:tcW w:w="1933" w:type="dxa"/>
            <w:shd w:val="clear" w:color="auto" w:fill="auto"/>
          </w:tcPr>
          <w:p w14:paraId="302FF929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D8380C">
              <w:rPr>
                <w:sz w:val="20"/>
                <w:szCs w:val="20"/>
              </w:rPr>
              <w:t>50 (24.2%)</w:t>
            </w:r>
          </w:p>
        </w:tc>
        <w:tc>
          <w:tcPr>
            <w:tcW w:w="1899" w:type="dxa"/>
          </w:tcPr>
          <w:p w14:paraId="3B766BF1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5 (15.15%)</w:t>
            </w:r>
          </w:p>
        </w:tc>
        <w:tc>
          <w:tcPr>
            <w:tcW w:w="1899" w:type="dxa"/>
          </w:tcPr>
          <w:p w14:paraId="4917D26B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0.25</w:t>
            </w:r>
          </w:p>
        </w:tc>
      </w:tr>
      <w:tr w:rsidR="00943B10" w:rsidRPr="0045497E" w14:paraId="44006FD3" w14:textId="77777777" w:rsidTr="00943B10">
        <w:tc>
          <w:tcPr>
            <w:tcW w:w="2769" w:type="dxa"/>
            <w:shd w:val="clear" w:color="auto" w:fill="auto"/>
          </w:tcPr>
          <w:p w14:paraId="66DBC92F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D8380C">
              <w:rPr>
                <w:sz w:val="20"/>
                <w:szCs w:val="20"/>
              </w:rPr>
              <w:t>Full-time occupation</w:t>
            </w:r>
          </w:p>
        </w:tc>
        <w:tc>
          <w:tcPr>
            <w:tcW w:w="1933" w:type="dxa"/>
            <w:shd w:val="clear" w:color="auto" w:fill="auto"/>
          </w:tcPr>
          <w:p w14:paraId="18C1F0CF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D8380C">
              <w:rPr>
                <w:sz w:val="20"/>
                <w:szCs w:val="20"/>
              </w:rPr>
              <w:t>71 (37.2%)</w:t>
            </w:r>
          </w:p>
        </w:tc>
        <w:tc>
          <w:tcPr>
            <w:tcW w:w="1899" w:type="dxa"/>
          </w:tcPr>
          <w:p w14:paraId="633FFBC8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15 (46.88%)</w:t>
            </w:r>
          </w:p>
        </w:tc>
        <w:tc>
          <w:tcPr>
            <w:tcW w:w="1899" w:type="dxa"/>
            <w:vMerge w:val="restart"/>
          </w:tcPr>
          <w:p w14:paraId="28AB058B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0.62</w:t>
            </w:r>
          </w:p>
        </w:tc>
      </w:tr>
      <w:tr w:rsidR="00943B10" w:rsidRPr="0045497E" w14:paraId="0718E5FE" w14:textId="77777777" w:rsidTr="00943B10">
        <w:tc>
          <w:tcPr>
            <w:tcW w:w="2769" w:type="dxa"/>
            <w:shd w:val="clear" w:color="auto" w:fill="auto"/>
          </w:tcPr>
          <w:p w14:paraId="5FCED2AF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D8380C">
              <w:rPr>
                <w:sz w:val="20"/>
                <w:szCs w:val="20"/>
              </w:rPr>
              <w:t>Part-time occupation</w:t>
            </w:r>
          </w:p>
        </w:tc>
        <w:tc>
          <w:tcPr>
            <w:tcW w:w="1933" w:type="dxa"/>
            <w:shd w:val="clear" w:color="auto" w:fill="auto"/>
          </w:tcPr>
          <w:p w14:paraId="1C756608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D8380C">
              <w:rPr>
                <w:sz w:val="20"/>
                <w:szCs w:val="20"/>
              </w:rPr>
              <w:t>17 (8.9%)</w:t>
            </w:r>
          </w:p>
        </w:tc>
        <w:tc>
          <w:tcPr>
            <w:tcW w:w="1899" w:type="dxa"/>
          </w:tcPr>
          <w:p w14:paraId="5ED80E4E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2 (6.25%)</w:t>
            </w:r>
          </w:p>
        </w:tc>
        <w:tc>
          <w:tcPr>
            <w:tcW w:w="1899" w:type="dxa"/>
            <w:vMerge/>
          </w:tcPr>
          <w:p w14:paraId="21A9B887" w14:textId="77777777" w:rsidR="00943B10" w:rsidRPr="00D8380C" w:rsidRDefault="00943B10" w:rsidP="00D8380C">
            <w:pPr>
              <w:rPr>
                <w:szCs w:val="20"/>
              </w:rPr>
            </w:pPr>
          </w:p>
        </w:tc>
      </w:tr>
      <w:tr w:rsidR="00943B10" w:rsidRPr="0045497E" w14:paraId="1C412ED7" w14:textId="77777777" w:rsidTr="00943B10">
        <w:tc>
          <w:tcPr>
            <w:tcW w:w="2769" w:type="dxa"/>
            <w:shd w:val="clear" w:color="auto" w:fill="auto"/>
          </w:tcPr>
          <w:p w14:paraId="613BF7AB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D8380C">
              <w:rPr>
                <w:sz w:val="20"/>
                <w:szCs w:val="20"/>
              </w:rPr>
              <w:t>Disabled/sick leave</w:t>
            </w:r>
          </w:p>
        </w:tc>
        <w:tc>
          <w:tcPr>
            <w:tcW w:w="1933" w:type="dxa"/>
            <w:shd w:val="clear" w:color="auto" w:fill="auto"/>
          </w:tcPr>
          <w:p w14:paraId="54995661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D8380C">
              <w:rPr>
                <w:sz w:val="20"/>
                <w:szCs w:val="20"/>
              </w:rPr>
              <w:t>15 (7.9%)</w:t>
            </w:r>
          </w:p>
        </w:tc>
        <w:tc>
          <w:tcPr>
            <w:tcW w:w="1899" w:type="dxa"/>
          </w:tcPr>
          <w:p w14:paraId="1993995D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14 (43.75%)</w:t>
            </w:r>
          </w:p>
        </w:tc>
        <w:tc>
          <w:tcPr>
            <w:tcW w:w="1899" w:type="dxa"/>
            <w:vMerge/>
          </w:tcPr>
          <w:p w14:paraId="4E6F3B42" w14:textId="77777777" w:rsidR="00943B10" w:rsidRPr="00D8380C" w:rsidRDefault="00943B10" w:rsidP="00D8380C">
            <w:pPr>
              <w:rPr>
                <w:szCs w:val="20"/>
              </w:rPr>
            </w:pPr>
          </w:p>
        </w:tc>
      </w:tr>
      <w:tr w:rsidR="00943B10" w:rsidRPr="0045497E" w14:paraId="0C72FCF8" w14:textId="77777777" w:rsidTr="00943B10">
        <w:tc>
          <w:tcPr>
            <w:tcW w:w="2769" w:type="dxa"/>
            <w:shd w:val="clear" w:color="auto" w:fill="auto"/>
          </w:tcPr>
          <w:p w14:paraId="0BAEBC1C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D8380C">
              <w:rPr>
                <w:sz w:val="20"/>
                <w:szCs w:val="20"/>
              </w:rPr>
              <w:t>Retired/unemployed</w:t>
            </w:r>
          </w:p>
        </w:tc>
        <w:tc>
          <w:tcPr>
            <w:tcW w:w="1933" w:type="dxa"/>
            <w:shd w:val="clear" w:color="auto" w:fill="auto"/>
          </w:tcPr>
          <w:p w14:paraId="49733505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D8380C">
              <w:rPr>
                <w:sz w:val="20"/>
                <w:szCs w:val="20"/>
              </w:rPr>
              <w:t>88 (46.1%)</w:t>
            </w:r>
          </w:p>
        </w:tc>
        <w:tc>
          <w:tcPr>
            <w:tcW w:w="1899" w:type="dxa"/>
          </w:tcPr>
          <w:p w14:paraId="63C5D928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1 (3.13%)</w:t>
            </w:r>
          </w:p>
        </w:tc>
        <w:tc>
          <w:tcPr>
            <w:tcW w:w="1899" w:type="dxa"/>
            <w:vMerge/>
          </w:tcPr>
          <w:p w14:paraId="3828B34A" w14:textId="77777777" w:rsidR="00943B10" w:rsidRPr="00D8380C" w:rsidRDefault="00943B10" w:rsidP="00D8380C">
            <w:pPr>
              <w:rPr>
                <w:szCs w:val="20"/>
              </w:rPr>
            </w:pPr>
          </w:p>
        </w:tc>
      </w:tr>
      <w:tr w:rsidR="00943B10" w:rsidRPr="0045497E" w14:paraId="766B72B9" w14:textId="77777777" w:rsidTr="00943B10">
        <w:tc>
          <w:tcPr>
            <w:tcW w:w="2769" w:type="dxa"/>
            <w:shd w:val="clear" w:color="auto" w:fill="auto"/>
          </w:tcPr>
          <w:p w14:paraId="325F7CD4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D8380C">
              <w:rPr>
                <w:sz w:val="20"/>
                <w:szCs w:val="20"/>
              </w:rPr>
              <w:t>RA duration (years)</w:t>
            </w:r>
          </w:p>
        </w:tc>
        <w:tc>
          <w:tcPr>
            <w:tcW w:w="1933" w:type="dxa"/>
            <w:shd w:val="clear" w:color="auto" w:fill="auto"/>
          </w:tcPr>
          <w:p w14:paraId="1444967A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D8380C">
              <w:rPr>
                <w:sz w:val="20"/>
                <w:szCs w:val="20"/>
              </w:rPr>
              <w:t>3.0 [1.0 ; 9.0]</w:t>
            </w:r>
          </w:p>
        </w:tc>
        <w:tc>
          <w:tcPr>
            <w:tcW w:w="1899" w:type="dxa"/>
          </w:tcPr>
          <w:p w14:paraId="264D8869" w14:textId="77777777" w:rsidR="00943B10" w:rsidRPr="00335812" w:rsidRDefault="00943B10" w:rsidP="00D8380C">
            <w:pPr>
              <w:rPr>
                <w:szCs w:val="20"/>
              </w:rPr>
            </w:pPr>
            <w:r w:rsidRPr="00335812">
              <w:rPr>
                <w:szCs w:val="20"/>
              </w:rPr>
              <w:t>3.0 [1.0 ; 8</w:t>
            </w:r>
            <w:r w:rsidRPr="00D8380C">
              <w:rPr>
                <w:sz w:val="20"/>
                <w:szCs w:val="20"/>
              </w:rPr>
              <w:t>.0]</w:t>
            </w:r>
          </w:p>
        </w:tc>
        <w:tc>
          <w:tcPr>
            <w:tcW w:w="1899" w:type="dxa"/>
          </w:tcPr>
          <w:p w14:paraId="0776DF91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0.5622</w:t>
            </w:r>
          </w:p>
        </w:tc>
      </w:tr>
      <w:tr w:rsidR="00943B10" w:rsidRPr="0045497E" w14:paraId="291E276D" w14:textId="77777777" w:rsidTr="00943B10">
        <w:tc>
          <w:tcPr>
            <w:tcW w:w="2769" w:type="dxa"/>
            <w:shd w:val="clear" w:color="auto" w:fill="auto"/>
          </w:tcPr>
          <w:p w14:paraId="131D1421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D8380C">
              <w:rPr>
                <w:sz w:val="20"/>
                <w:szCs w:val="20"/>
              </w:rPr>
              <w:t>DAS28-CRP</w:t>
            </w:r>
          </w:p>
        </w:tc>
        <w:tc>
          <w:tcPr>
            <w:tcW w:w="1933" w:type="dxa"/>
            <w:shd w:val="clear" w:color="auto" w:fill="auto"/>
          </w:tcPr>
          <w:p w14:paraId="5D99DF46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D8380C">
              <w:rPr>
                <w:sz w:val="20"/>
                <w:szCs w:val="20"/>
              </w:rPr>
              <w:t>3.9±0.9</w:t>
            </w:r>
          </w:p>
        </w:tc>
        <w:tc>
          <w:tcPr>
            <w:tcW w:w="1899" w:type="dxa"/>
          </w:tcPr>
          <w:p w14:paraId="73175D7D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4.3 ± 1.1</w:t>
            </w:r>
          </w:p>
        </w:tc>
        <w:tc>
          <w:tcPr>
            <w:tcW w:w="1899" w:type="dxa"/>
          </w:tcPr>
          <w:p w14:paraId="626A752D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0.0127</w:t>
            </w:r>
          </w:p>
        </w:tc>
      </w:tr>
      <w:tr w:rsidR="00943B10" w:rsidRPr="0045497E" w14:paraId="133E2EAB" w14:textId="77777777" w:rsidTr="00943B10">
        <w:tc>
          <w:tcPr>
            <w:tcW w:w="2769" w:type="dxa"/>
            <w:shd w:val="clear" w:color="auto" w:fill="auto"/>
          </w:tcPr>
          <w:p w14:paraId="04DB3F8B" w14:textId="77777777" w:rsidR="00943B10" w:rsidRPr="00943B10" w:rsidRDefault="00943B10" w:rsidP="00D8380C">
            <w:pPr>
              <w:rPr>
                <w:sz w:val="20"/>
                <w:szCs w:val="20"/>
                <w:lang w:val="en-US"/>
              </w:rPr>
            </w:pPr>
            <w:r w:rsidRPr="00943B10">
              <w:rPr>
                <w:szCs w:val="20"/>
                <w:lang w:val="en-US"/>
              </w:rPr>
              <w:t>At least one extra articular manifestation</w:t>
            </w:r>
          </w:p>
        </w:tc>
        <w:tc>
          <w:tcPr>
            <w:tcW w:w="1933" w:type="dxa"/>
            <w:shd w:val="clear" w:color="auto" w:fill="auto"/>
          </w:tcPr>
          <w:p w14:paraId="6A215AC9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45497E">
              <w:rPr>
                <w:color w:val="000000"/>
                <w:szCs w:val="20"/>
              </w:rPr>
              <w:t>23 (11.22%)</w:t>
            </w:r>
          </w:p>
        </w:tc>
        <w:tc>
          <w:tcPr>
            <w:tcW w:w="1899" w:type="dxa"/>
          </w:tcPr>
          <w:p w14:paraId="1CA4C011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1 (3.03%)</w:t>
            </w:r>
          </w:p>
        </w:tc>
        <w:tc>
          <w:tcPr>
            <w:tcW w:w="1899" w:type="dxa"/>
          </w:tcPr>
          <w:p w14:paraId="776906FE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0.15</w:t>
            </w:r>
          </w:p>
        </w:tc>
      </w:tr>
      <w:tr w:rsidR="00943B10" w:rsidRPr="0045497E" w14:paraId="28804A28" w14:textId="77777777" w:rsidTr="00943B10">
        <w:tc>
          <w:tcPr>
            <w:tcW w:w="2769" w:type="dxa"/>
            <w:shd w:val="clear" w:color="auto" w:fill="auto"/>
          </w:tcPr>
          <w:p w14:paraId="53911B47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335812">
              <w:rPr>
                <w:szCs w:val="20"/>
              </w:rPr>
              <w:t>Rhumatoid nodules</w:t>
            </w:r>
          </w:p>
        </w:tc>
        <w:tc>
          <w:tcPr>
            <w:tcW w:w="1933" w:type="dxa"/>
            <w:shd w:val="clear" w:color="auto" w:fill="auto"/>
          </w:tcPr>
          <w:p w14:paraId="00D065BD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45497E">
              <w:rPr>
                <w:color w:val="000000"/>
                <w:szCs w:val="20"/>
              </w:rPr>
              <w:t>13 (6.28%)</w:t>
            </w:r>
          </w:p>
        </w:tc>
        <w:tc>
          <w:tcPr>
            <w:tcW w:w="1899" w:type="dxa"/>
          </w:tcPr>
          <w:p w14:paraId="55DBA933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1 (3.03%)</w:t>
            </w:r>
          </w:p>
        </w:tc>
        <w:tc>
          <w:tcPr>
            <w:tcW w:w="1899" w:type="dxa"/>
          </w:tcPr>
          <w:p w14:paraId="66F6E371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0.46</w:t>
            </w:r>
          </w:p>
        </w:tc>
      </w:tr>
      <w:tr w:rsidR="00943B10" w:rsidRPr="0045497E" w14:paraId="1AB73937" w14:textId="77777777" w:rsidTr="00943B10">
        <w:tc>
          <w:tcPr>
            <w:tcW w:w="2769" w:type="dxa"/>
            <w:shd w:val="clear" w:color="auto" w:fill="auto"/>
          </w:tcPr>
          <w:p w14:paraId="5CA9ADC8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335812">
              <w:rPr>
                <w:szCs w:val="20"/>
              </w:rPr>
              <w:t>Sjögren’s syndrome</w:t>
            </w:r>
          </w:p>
        </w:tc>
        <w:tc>
          <w:tcPr>
            <w:tcW w:w="1933" w:type="dxa"/>
            <w:shd w:val="clear" w:color="auto" w:fill="auto"/>
          </w:tcPr>
          <w:p w14:paraId="747CB5E8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45497E">
              <w:rPr>
                <w:color w:val="000000"/>
                <w:szCs w:val="20"/>
              </w:rPr>
              <w:t>13 (6.28%)</w:t>
            </w:r>
          </w:p>
        </w:tc>
        <w:tc>
          <w:tcPr>
            <w:tcW w:w="1899" w:type="dxa"/>
          </w:tcPr>
          <w:p w14:paraId="6F5B86D4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1 (3.03%)</w:t>
            </w:r>
          </w:p>
        </w:tc>
        <w:tc>
          <w:tcPr>
            <w:tcW w:w="1899" w:type="dxa"/>
          </w:tcPr>
          <w:p w14:paraId="25507578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0.46</w:t>
            </w:r>
          </w:p>
        </w:tc>
      </w:tr>
      <w:tr w:rsidR="00943B10" w:rsidRPr="0045497E" w14:paraId="62AB088D" w14:textId="77777777" w:rsidTr="00943B10">
        <w:tc>
          <w:tcPr>
            <w:tcW w:w="2769" w:type="dxa"/>
            <w:shd w:val="clear" w:color="auto" w:fill="auto"/>
          </w:tcPr>
          <w:p w14:paraId="021AA470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335812">
              <w:rPr>
                <w:szCs w:val="20"/>
              </w:rPr>
              <w:t>Erosive arthritis</w:t>
            </w:r>
          </w:p>
        </w:tc>
        <w:tc>
          <w:tcPr>
            <w:tcW w:w="1933" w:type="dxa"/>
            <w:shd w:val="clear" w:color="auto" w:fill="auto"/>
          </w:tcPr>
          <w:p w14:paraId="53230BAB" w14:textId="77777777" w:rsidR="00943B10" w:rsidRPr="00D8380C" w:rsidRDefault="00943B10" w:rsidP="00D8380C">
            <w:pPr>
              <w:rPr>
                <w:sz w:val="20"/>
                <w:szCs w:val="20"/>
              </w:rPr>
            </w:pPr>
            <w:r w:rsidRPr="0045497E">
              <w:rPr>
                <w:color w:val="000000"/>
                <w:szCs w:val="20"/>
              </w:rPr>
              <w:t>73 (36.87%)</w:t>
            </w:r>
          </w:p>
        </w:tc>
        <w:tc>
          <w:tcPr>
            <w:tcW w:w="1899" w:type="dxa"/>
          </w:tcPr>
          <w:p w14:paraId="028374B2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12 (40.00%)</w:t>
            </w:r>
          </w:p>
        </w:tc>
        <w:tc>
          <w:tcPr>
            <w:tcW w:w="1899" w:type="dxa"/>
          </w:tcPr>
          <w:p w14:paraId="0820856B" w14:textId="77777777" w:rsidR="00943B10" w:rsidRPr="00335812" w:rsidRDefault="00943B10" w:rsidP="00D8380C">
            <w:pPr>
              <w:rPr>
                <w:szCs w:val="20"/>
              </w:rPr>
            </w:pPr>
            <w:r w:rsidRPr="0045497E">
              <w:rPr>
                <w:color w:val="000000"/>
                <w:szCs w:val="20"/>
              </w:rPr>
              <w:t>0.74</w:t>
            </w:r>
          </w:p>
        </w:tc>
      </w:tr>
    </w:tbl>
    <w:p w14:paraId="56740046" w14:textId="77777777" w:rsidR="00943B10" w:rsidRDefault="00943B10" w:rsidP="00943B10"/>
    <w:p w14:paraId="42763798" w14:textId="77777777" w:rsidR="00943B10" w:rsidRDefault="00943B10" w:rsidP="00943B10">
      <w:pPr>
        <w:rPr>
          <w:b/>
          <w:sz w:val="24"/>
          <w:szCs w:val="24"/>
          <w:lang w:val="en-US"/>
        </w:rPr>
      </w:pPr>
    </w:p>
    <w:p w14:paraId="3EE861E8" w14:textId="77777777" w:rsidR="00943B10" w:rsidRDefault="00943B10">
      <w:pPr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0ECDD3EC" w14:textId="4C3F9949" w:rsidR="00943B10" w:rsidRPr="00D8380C" w:rsidRDefault="00943B10" w:rsidP="00943B10">
      <w:pPr>
        <w:rPr>
          <w:rFonts w:ascii="Arial" w:hAnsi="Arial"/>
          <w:b/>
          <w:sz w:val="20"/>
          <w:szCs w:val="24"/>
          <w:lang w:val="en-US"/>
        </w:rPr>
      </w:pPr>
      <w:r w:rsidRPr="00D8380C">
        <w:rPr>
          <w:rFonts w:ascii="Arial" w:hAnsi="Arial"/>
          <w:b/>
          <w:sz w:val="20"/>
          <w:szCs w:val="24"/>
          <w:lang w:val="en-US"/>
        </w:rPr>
        <w:lastRenderedPageBreak/>
        <w:t>Supplementary Table</w:t>
      </w:r>
      <w:r w:rsidRPr="00943B10">
        <w:rPr>
          <w:b/>
          <w:lang w:val="en-US"/>
        </w:rPr>
        <w:t xml:space="preserve"> </w:t>
      </w:r>
      <w:r w:rsidRPr="00D8380C">
        <w:rPr>
          <w:rFonts w:ascii="Arial" w:hAnsi="Arial"/>
          <w:b/>
          <w:sz w:val="20"/>
          <w:szCs w:val="24"/>
          <w:lang w:val="en-US"/>
        </w:rPr>
        <w:t>2. Adherence to MTX – Sensitivity analysis including LOCF imputation of MMAS-8 in patients lost to follow-up (N=240)</w:t>
      </w:r>
    </w:p>
    <w:tbl>
      <w:tblPr>
        <w:tblW w:w="84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1553"/>
      </w:tblGrid>
      <w:tr w:rsidR="00943B10" w:rsidRPr="00E9573A" w14:paraId="3120E3AE" w14:textId="77777777" w:rsidTr="00943B10">
        <w:tc>
          <w:tcPr>
            <w:tcW w:w="3256" w:type="dxa"/>
            <w:shd w:val="clear" w:color="auto" w:fill="auto"/>
          </w:tcPr>
          <w:p w14:paraId="0947CC4B" w14:textId="77777777" w:rsidR="00943B10" w:rsidRPr="00E9573A" w:rsidRDefault="00943B10" w:rsidP="00D8380C">
            <w:r w:rsidRPr="00E9573A">
              <w:t xml:space="preserve">Sensitivity analysis </w:t>
            </w:r>
          </w:p>
        </w:tc>
        <w:tc>
          <w:tcPr>
            <w:tcW w:w="1842" w:type="dxa"/>
            <w:shd w:val="clear" w:color="auto" w:fill="auto"/>
          </w:tcPr>
          <w:p w14:paraId="22751EA2" w14:textId="77777777" w:rsidR="00943B10" w:rsidRPr="00E9573A" w:rsidRDefault="00943B10" w:rsidP="00D8380C">
            <w:r w:rsidRPr="00E9573A">
              <w:t>M0</w:t>
            </w:r>
          </w:p>
        </w:tc>
        <w:tc>
          <w:tcPr>
            <w:tcW w:w="1843" w:type="dxa"/>
            <w:shd w:val="clear" w:color="auto" w:fill="auto"/>
          </w:tcPr>
          <w:p w14:paraId="0224E7F9" w14:textId="77777777" w:rsidR="00943B10" w:rsidRPr="00E9573A" w:rsidRDefault="00943B10" w:rsidP="00D8380C">
            <w:r w:rsidRPr="00E9573A">
              <w:t>M6</w:t>
            </w:r>
          </w:p>
        </w:tc>
        <w:tc>
          <w:tcPr>
            <w:tcW w:w="1553" w:type="dxa"/>
            <w:shd w:val="clear" w:color="auto" w:fill="auto"/>
          </w:tcPr>
          <w:p w14:paraId="5CE3FAFF" w14:textId="77777777" w:rsidR="00943B10" w:rsidRPr="00E9573A" w:rsidRDefault="00943B10" w:rsidP="00D8380C">
            <w:r w:rsidRPr="00E9573A">
              <w:t>Change</w:t>
            </w:r>
          </w:p>
        </w:tc>
      </w:tr>
      <w:tr w:rsidR="00943B10" w14:paraId="03A2EECE" w14:textId="77777777" w:rsidTr="00943B10">
        <w:tc>
          <w:tcPr>
            <w:tcW w:w="3256" w:type="dxa"/>
            <w:shd w:val="clear" w:color="auto" w:fill="auto"/>
          </w:tcPr>
          <w:p w14:paraId="55CB48ED" w14:textId="77777777" w:rsidR="00943B10" w:rsidRPr="00E9573A" w:rsidRDefault="00943B10" w:rsidP="00D8380C">
            <w:r w:rsidRPr="00E9573A">
              <w:t>MMAS-8</w:t>
            </w:r>
          </w:p>
        </w:tc>
        <w:tc>
          <w:tcPr>
            <w:tcW w:w="1842" w:type="dxa"/>
            <w:shd w:val="clear" w:color="auto" w:fill="auto"/>
          </w:tcPr>
          <w:p w14:paraId="72B98735" w14:textId="77777777" w:rsidR="00943B10" w:rsidRPr="00E9573A" w:rsidRDefault="00943B10" w:rsidP="00D8380C">
            <w:r w:rsidRPr="00E9573A">
              <w:t xml:space="preserve">6.7 </w:t>
            </w:r>
            <w:r w:rsidRPr="00E9573A">
              <w:rPr>
                <w:rFonts w:cs="Calibri"/>
              </w:rPr>
              <w:t>± 1.8</w:t>
            </w:r>
          </w:p>
        </w:tc>
        <w:tc>
          <w:tcPr>
            <w:tcW w:w="1843" w:type="dxa"/>
            <w:shd w:val="clear" w:color="auto" w:fill="auto"/>
          </w:tcPr>
          <w:p w14:paraId="5284F7A9" w14:textId="77777777" w:rsidR="00943B10" w:rsidRPr="00E9573A" w:rsidRDefault="00943B10" w:rsidP="00D8380C">
            <w:r w:rsidRPr="00E9573A">
              <w:t>7.1</w:t>
            </w:r>
            <w:r w:rsidRPr="00E9573A">
              <w:rPr>
                <w:rFonts w:cs="Calibri"/>
              </w:rPr>
              <w:t>±</w:t>
            </w:r>
            <w:r w:rsidRPr="00E9573A">
              <w:t>1.3</w:t>
            </w:r>
          </w:p>
        </w:tc>
        <w:tc>
          <w:tcPr>
            <w:tcW w:w="1553" w:type="dxa"/>
            <w:shd w:val="clear" w:color="auto" w:fill="auto"/>
          </w:tcPr>
          <w:p w14:paraId="521DEE87" w14:textId="77777777" w:rsidR="00943B10" w:rsidRPr="00E9573A" w:rsidRDefault="00943B10" w:rsidP="00D8380C">
            <w:r w:rsidRPr="00E9573A">
              <w:t>0.45</w:t>
            </w:r>
            <w:r w:rsidRPr="00E9573A">
              <w:rPr>
                <w:rFonts w:cs="Calibri"/>
              </w:rPr>
              <w:t>±</w:t>
            </w:r>
            <w:r w:rsidRPr="00E9573A">
              <w:t>1.77</w:t>
            </w:r>
          </w:p>
          <w:p w14:paraId="61548C9B" w14:textId="77777777" w:rsidR="00943B10" w:rsidRPr="00DF40C4" w:rsidRDefault="00943B10" w:rsidP="00D8380C">
            <w:r w:rsidRPr="00E9573A">
              <w:t>(</w:t>
            </w:r>
            <w:r w:rsidRPr="00DF40C4">
              <w:t>p=0.00</w:t>
            </w:r>
            <w:r>
              <w:t>0</w:t>
            </w:r>
            <w:r w:rsidRPr="00DF40C4">
              <w:t>2)</w:t>
            </w:r>
          </w:p>
        </w:tc>
      </w:tr>
      <w:tr w:rsidR="00943B10" w:rsidRPr="00CB7EE0" w14:paraId="504F71E8" w14:textId="77777777" w:rsidTr="00943B10">
        <w:tc>
          <w:tcPr>
            <w:tcW w:w="3256" w:type="dxa"/>
            <w:shd w:val="clear" w:color="auto" w:fill="auto"/>
          </w:tcPr>
          <w:p w14:paraId="1CAFF5CF" w14:textId="77777777" w:rsidR="00943B10" w:rsidRPr="00DF40C4" w:rsidRDefault="00943B10" w:rsidP="00D8380C">
            <w:r w:rsidRPr="00DF40C4">
              <w:t>Strong adherence</w:t>
            </w:r>
          </w:p>
        </w:tc>
        <w:tc>
          <w:tcPr>
            <w:tcW w:w="1842" w:type="dxa"/>
            <w:shd w:val="clear" w:color="auto" w:fill="auto"/>
          </w:tcPr>
          <w:p w14:paraId="2575B6AE" w14:textId="77777777" w:rsidR="00943B10" w:rsidRPr="00E9573A" w:rsidRDefault="00943B10" w:rsidP="00D8380C">
            <w:r w:rsidRPr="00E9573A">
              <w:t>102 (43.6%)</w:t>
            </w:r>
          </w:p>
          <w:p w14:paraId="2FEDF8B2" w14:textId="77777777" w:rsidR="00943B10" w:rsidRPr="00CB7EE0" w:rsidRDefault="00943B10" w:rsidP="00D8380C">
            <w:r w:rsidRPr="00CB7EE0">
              <w:t>[</w:t>
            </w:r>
            <w:r>
              <w:t>37.1</w:t>
            </w:r>
            <w:r w:rsidRPr="00CB7EE0">
              <w:t xml:space="preserve">% ; </w:t>
            </w:r>
            <w:r>
              <w:t>50.2</w:t>
            </w:r>
            <w:r w:rsidRPr="00CB7EE0">
              <w:t>%]</w:t>
            </w:r>
          </w:p>
        </w:tc>
        <w:tc>
          <w:tcPr>
            <w:tcW w:w="1843" w:type="dxa"/>
            <w:shd w:val="clear" w:color="auto" w:fill="auto"/>
          </w:tcPr>
          <w:p w14:paraId="576A8314" w14:textId="77777777" w:rsidR="00943B10" w:rsidRPr="00CB7EE0" w:rsidRDefault="00943B10" w:rsidP="00D8380C">
            <w:r w:rsidRPr="00CB7EE0">
              <w:t>120 (51.3%)</w:t>
            </w:r>
          </w:p>
          <w:p w14:paraId="2C337BDF" w14:textId="77777777" w:rsidR="00943B10" w:rsidRPr="00CB7EE0" w:rsidRDefault="00943B10" w:rsidP="00D8380C">
            <w:r w:rsidRPr="00CB7EE0">
              <w:t>[</w:t>
            </w:r>
            <w:r>
              <w:t>44.7</w:t>
            </w:r>
            <w:r w:rsidRPr="00CB7EE0">
              <w:t xml:space="preserve">% ; </w:t>
            </w:r>
            <w:r>
              <w:t>57.9</w:t>
            </w:r>
            <w:r w:rsidRPr="00CB7EE0">
              <w:t>%]</w:t>
            </w:r>
          </w:p>
        </w:tc>
        <w:tc>
          <w:tcPr>
            <w:tcW w:w="1553" w:type="dxa"/>
            <w:shd w:val="clear" w:color="auto" w:fill="auto"/>
          </w:tcPr>
          <w:p w14:paraId="4E23D92D" w14:textId="77777777" w:rsidR="00943B10" w:rsidRPr="00CB7EE0" w:rsidRDefault="00943B10" w:rsidP="00D8380C">
            <w:r w:rsidRPr="00CB7EE0">
              <w:t>P=0.0523</w:t>
            </w:r>
          </w:p>
        </w:tc>
      </w:tr>
      <w:tr w:rsidR="00943B10" w:rsidRPr="00CB7EE0" w14:paraId="42DDC18C" w14:textId="77777777" w:rsidTr="00943B10">
        <w:tc>
          <w:tcPr>
            <w:tcW w:w="3256" w:type="dxa"/>
            <w:shd w:val="clear" w:color="auto" w:fill="auto"/>
          </w:tcPr>
          <w:p w14:paraId="12D1B3F7" w14:textId="77777777" w:rsidR="00943B10" w:rsidRPr="00943B10" w:rsidRDefault="00943B10" w:rsidP="00D8380C">
            <w:pPr>
              <w:rPr>
                <w:lang w:val="en-US"/>
              </w:rPr>
            </w:pPr>
            <w:r w:rsidRPr="00943B10">
              <w:rPr>
                <w:lang w:val="en-US"/>
              </w:rPr>
              <w:t>Strong adherence or improvement by at least one category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1F1C6AD" w14:textId="77777777" w:rsidR="00943B10" w:rsidRPr="00CB7EE0" w:rsidRDefault="00943B10" w:rsidP="00D8380C">
            <w:r w:rsidRPr="00CB7EE0">
              <w:t>136 (58.1%)</w:t>
            </w:r>
          </w:p>
          <w:p w14:paraId="035F9A51" w14:textId="77777777" w:rsidR="00943B10" w:rsidRPr="00CB7EE0" w:rsidRDefault="00943B10" w:rsidP="00D8380C">
            <w:r w:rsidRPr="00CB7EE0">
              <w:t>[51.</w:t>
            </w:r>
            <w:r>
              <w:t>8% ; 64.4</w:t>
            </w:r>
            <w:r w:rsidRPr="00CB7EE0">
              <w:t>%]</w:t>
            </w:r>
          </w:p>
        </w:tc>
        <w:tc>
          <w:tcPr>
            <w:tcW w:w="1553" w:type="dxa"/>
            <w:shd w:val="clear" w:color="auto" w:fill="auto"/>
          </w:tcPr>
          <w:p w14:paraId="05AFC323" w14:textId="77777777" w:rsidR="00943B10" w:rsidRPr="00CB7EE0" w:rsidRDefault="00943B10" w:rsidP="00D8380C"/>
        </w:tc>
      </w:tr>
    </w:tbl>
    <w:p w14:paraId="5056FBAA" w14:textId="77777777" w:rsidR="00943B10" w:rsidRDefault="00943B10" w:rsidP="00943B10"/>
    <w:p w14:paraId="34018080" w14:textId="77777777" w:rsidR="00943B10" w:rsidRDefault="00943B10" w:rsidP="00943B10"/>
    <w:p w14:paraId="38AB7CE0" w14:textId="77777777" w:rsidR="00943B10" w:rsidRPr="00943B10" w:rsidRDefault="00943B10" w:rsidP="00943B10">
      <w:pPr>
        <w:rPr>
          <w:b/>
          <w:lang w:val="en-US"/>
        </w:rPr>
      </w:pPr>
      <w:r w:rsidRPr="00943B10">
        <w:rPr>
          <w:lang w:val="en-US"/>
        </w:rPr>
        <w:br w:type="page"/>
      </w:r>
      <w:r w:rsidRPr="00943B10">
        <w:rPr>
          <w:b/>
          <w:lang w:val="en-US"/>
        </w:rPr>
        <w:t>Supplementary Table 3. Adherence to MTX and DAS28-CRP evolution in patients who switched for RA worsening or need for corticosteroids sparing (N=113) and patients who switched for improving adherence (N=55)</w:t>
      </w:r>
    </w:p>
    <w:p w14:paraId="25E27711" w14:textId="77777777" w:rsidR="00943B10" w:rsidRPr="00943B10" w:rsidRDefault="00943B10" w:rsidP="00943B10">
      <w:pPr>
        <w:rPr>
          <w:b/>
          <w:lang w:val="en-US"/>
        </w:rPr>
      </w:pPr>
    </w:p>
    <w:tbl>
      <w:tblPr>
        <w:tblW w:w="107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1418"/>
        <w:gridCol w:w="1418"/>
        <w:gridCol w:w="1276"/>
        <w:gridCol w:w="1418"/>
        <w:gridCol w:w="67"/>
        <w:gridCol w:w="1486"/>
        <w:gridCol w:w="1553"/>
      </w:tblGrid>
      <w:tr w:rsidR="00943B10" w:rsidRPr="00943B10" w14:paraId="494FF4CF" w14:textId="77777777" w:rsidTr="00943B10">
        <w:tc>
          <w:tcPr>
            <w:tcW w:w="2125" w:type="dxa"/>
            <w:shd w:val="clear" w:color="auto" w:fill="auto"/>
          </w:tcPr>
          <w:p w14:paraId="7BFE8AE8" w14:textId="77777777" w:rsidR="00943B10" w:rsidRPr="00943B10" w:rsidRDefault="00943B10" w:rsidP="00D8380C">
            <w:pPr>
              <w:rPr>
                <w:lang w:val="en-US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14:paraId="6F23EE46" w14:textId="77777777" w:rsidR="00943B10" w:rsidRPr="00943B10" w:rsidRDefault="00943B10" w:rsidP="00D8380C">
            <w:pPr>
              <w:rPr>
                <w:lang w:val="en-US"/>
              </w:rPr>
            </w:pPr>
            <w:r w:rsidRPr="00943B10">
              <w:rPr>
                <w:lang w:val="en-US"/>
              </w:rPr>
              <w:t>Patients who switched for RA worsening or need for corticosteroids sparing (N=113)</w:t>
            </w:r>
          </w:p>
        </w:tc>
        <w:tc>
          <w:tcPr>
            <w:tcW w:w="4524" w:type="dxa"/>
            <w:gridSpan w:val="4"/>
          </w:tcPr>
          <w:p w14:paraId="5078E758" w14:textId="77777777" w:rsidR="00943B10" w:rsidRPr="00943B10" w:rsidRDefault="00943B10" w:rsidP="00D8380C">
            <w:pPr>
              <w:rPr>
                <w:lang w:val="en-US"/>
              </w:rPr>
            </w:pPr>
            <w:r w:rsidRPr="00943B10">
              <w:rPr>
                <w:lang w:val="en-US"/>
              </w:rPr>
              <w:t>Patients who switched for improving adherence (N=55)</w:t>
            </w:r>
          </w:p>
        </w:tc>
      </w:tr>
      <w:tr w:rsidR="00943B10" w:rsidRPr="00E9573A" w14:paraId="2CD9629C" w14:textId="77777777" w:rsidTr="00943B10">
        <w:tc>
          <w:tcPr>
            <w:tcW w:w="2125" w:type="dxa"/>
            <w:shd w:val="clear" w:color="auto" w:fill="auto"/>
          </w:tcPr>
          <w:p w14:paraId="1B6F7AE0" w14:textId="77777777" w:rsidR="00943B10" w:rsidRPr="00943B10" w:rsidRDefault="00943B10" w:rsidP="00D8380C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1EC99667" w14:textId="77777777" w:rsidR="00943B10" w:rsidRPr="00E9573A" w:rsidRDefault="00943B10" w:rsidP="00D8380C">
            <w:r w:rsidRPr="00E9573A">
              <w:t>M0</w:t>
            </w:r>
          </w:p>
        </w:tc>
        <w:tc>
          <w:tcPr>
            <w:tcW w:w="1418" w:type="dxa"/>
            <w:shd w:val="clear" w:color="auto" w:fill="auto"/>
          </w:tcPr>
          <w:p w14:paraId="369BBBA5" w14:textId="77777777" w:rsidR="00943B10" w:rsidRPr="00E9573A" w:rsidRDefault="00943B10" w:rsidP="00D8380C">
            <w:r w:rsidRPr="00E9573A">
              <w:t>M6</w:t>
            </w:r>
          </w:p>
        </w:tc>
        <w:tc>
          <w:tcPr>
            <w:tcW w:w="1276" w:type="dxa"/>
            <w:shd w:val="clear" w:color="auto" w:fill="auto"/>
          </w:tcPr>
          <w:p w14:paraId="0F7A74B2" w14:textId="77777777" w:rsidR="00943B10" w:rsidRPr="00E9573A" w:rsidRDefault="00943B10" w:rsidP="00D8380C">
            <w:r w:rsidRPr="00E9573A">
              <w:t>Change</w:t>
            </w:r>
          </w:p>
        </w:tc>
        <w:tc>
          <w:tcPr>
            <w:tcW w:w="1418" w:type="dxa"/>
          </w:tcPr>
          <w:p w14:paraId="67DB9CA4" w14:textId="77777777" w:rsidR="00943B10" w:rsidRPr="00E9573A" w:rsidRDefault="00943B10" w:rsidP="00D8380C">
            <w:r w:rsidRPr="00E9573A">
              <w:t>M0</w:t>
            </w:r>
          </w:p>
        </w:tc>
        <w:tc>
          <w:tcPr>
            <w:tcW w:w="1553" w:type="dxa"/>
            <w:gridSpan w:val="2"/>
          </w:tcPr>
          <w:p w14:paraId="6F152075" w14:textId="77777777" w:rsidR="00943B10" w:rsidRPr="00E9573A" w:rsidRDefault="00943B10" w:rsidP="00D8380C">
            <w:r w:rsidRPr="00E9573A">
              <w:t>M6</w:t>
            </w:r>
          </w:p>
        </w:tc>
        <w:tc>
          <w:tcPr>
            <w:tcW w:w="1553" w:type="dxa"/>
          </w:tcPr>
          <w:p w14:paraId="188B2364" w14:textId="77777777" w:rsidR="00943B10" w:rsidRPr="00E9573A" w:rsidRDefault="00943B10" w:rsidP="00D8380C">
            <w:r w:rsidRPr="00E9573A">
              <w:t>Change</w:t>
            </w:r>
          </w:p>
        </w:tc>
      </w:tr>
      <w:tr w:rsidR="00943B10" w14:paraId="57788722" w14:textId="77777777" w:rsidTr="00943B10">
        <w:tc>
          <w:tcPr>
            <w:tcW w:w="2125" w:type="dxa"/>
            <w:shd w:val="clear" w:color="auto" w:fill="auto"/>
          </w:tcPr>
          <w:p w14:paraId="2AA8C5C0" w14:textId="77777777" w:rsidR="00943B10" w:rsidRPr="00E9573A" w:rsidRDefault="00943B10" w:rsidP="00D8380C">
            <w:r w:rsidRPr="00E9573A">
              <w:t>MMAS-8</w:t>
            </w:r>
          </w:p>
        </w:tc>
        <w:tc>
          <w:tcPr>
            <w:tcW w:w="1418" w:type="dxa"/>
            <w:shd w:val="clear" w:color="auto" w:fill="auto"/>
          </w:tcPr>
          <w:p w14:paraId="27B730BE" w14:textId="77777777" w:rsidR="00943B10" w:rsidRPr="00E9573A" w:rsidRDefault="00943B10" w:rsidP="00D8380C">
            <w:r w:rsidRPr="00E9573A">
              <w:t>6.</w:t>
            </w:r>
            <w:r>
              <w:t>6</w:t>
            </w:r>
            <w:r w:rsidRPr="00E9573A">
              <w:t xml:space="preserve"> </w:t>
            </w:r>
            <w:r>
              <w:rPr>
                <w:rFonts w:cs="Calibri"/>
              </w:rPr>
              <w:t>± 1.9</w:t>
            </w:r>
          </w:p>
        </w:tc>
        <w:tc>
          <w:tcPr>
            <w:tcW w:w="1418" w:type="dxa"/>
            <w:shd w:val="clear" w:color="auto" w:fill="auto"/>
          </w:tcPr>
          <w:p w14:paraId="39D5A245" w14:textId="77777777" w:rsidR="00943B10" w:rsidRPr="00E9573A" w:rsidRDefault="00943B10" w:rsidP="00D8380C">
            <w:r w:rsidRPr="00E9573A">
              <w:t>7.1</w:t>
            </w:r>
            <w:r>
              <w:t xml:space="preserve"> </w:t>
            </w:r>
            <w:r w:rsidRPr="00E9573A">
              <w:rPr>
                <w:rFonts w:cs="Calibri"/>
              </w:rPr>
              <w:t>±</w:t>
            </w:r>
            <w:r>
              <w:rPr>
                <w:rFonts w:cs="Calibri"/>
              </w:rPr>
              <w:t xml:space="preserve"> </w:t>
            </w:r>
            <w:r w:rsidRPr="00E9573A">
              <w:t>1.3</w:t>
            </w:r>
          </w:p>
        </w:tc>
        <w:tc>
          <w:tcPr>
            <w:tcW w:w="1276" w:type="dxa"/>
            <w:shd w:val="clear" w:color="auto" w:fill="auto"/>
          </w:tcPr>
          <w:p w14:paraId="53BF0236" w14:textId="77777777" w:rsidR="00943B10" w:rsidRPr="00E9573A" w:rsidRDefault="00943B10" w:rsidP="00D8380C">
            <w:r>
              <w:t>0.55</w:t>
            </w:r>
            <w:r w:rsidRPr="00E9573A">
              <w:rPr>
                <w:rFonts w:cs="Calibri"/>
              </w:rPr>
              <w:t>±</w:t>
            </w:r>
            <w:r>
              <w:t>1.98</w:t>
            </w:r>
          </w:p>
          <w:p w14:paraId="61C4C6F4" w14:textId="77777777" w:rsidR="00943B10" w:rsidRPr="00DF40C4" w:rsidRDefault="00943B10" w:rsidP="00D8380C">
            <w:r w:rsidRPr="00E9573A">
              <w:t>(</w:t>
            </w:r>
            <w:r w:rsidRPr="00DF40C4">
              <w:t>p=0.00</w:t>
            </w:r>
            <w:r>
              <w:t>36</w:t>
            </w:r>
            <w:r w:rsidRPr="00DF40C4">
              <w:t>)</w:t>
            </w:r>
          </w:p>
        </w:tc>
        <w:tc>
          <w:tcPr>
            <w:tcW w:w="1418" w:type="dxa"/>
          </w:tcPr>
          <w:p w14:paraId="551169B6" w14:textId="77777777" w:rsidR="00943B10" w:rsidRPr="00E9573A" w:rsidRDefault="00943B10" w:rsidP="00D8380C">
            <w:r>
              <w:t>5.5</w:t>
            </w:r>
            <w:r w:rsidRPr="00E9573A">
              <w:t xml:space="preserve"> </w:t>
            </w:r>
            <w:r>
              <w:rPr>
                <w:rFonts w:cs="Calibri"/>
              </w:rPr>
              <w:t>± 2.1</w:t>
            </w:r>
          </w:p>
        </w:tc>
        <w:tc>
          <w:tcPr>
            <w:tcW w:w="1553" w:type="dxa"/>
            <w:gridSpan w:val="2"/>
          </w:tcPr>
          <w:p w14:paraId="18115A9D" w14:textId="77777777" w:rsidR="00943B10" w:rsidRPr="00E9573A" w:rsidRDefault="00943B10" w:rsidP="00D8380C">
            <w:r>
              <w:t xml:space="preserve">6.4 </w:t>
            </w:r>
            <w:r w:rsidRPr="00E9573A">
              <w:rPr>
                <w:rFonts w:cs="Calibri"/>
              </w:rPr>
              <w:t>±</w:t>
            </w:r>
            <w:r>
              <w:rPr>
                <w:rFonts w:cs="Calibri"/>
              </w:rPr>
              <w:t xml:space="preserve"> </w:t>
            </w:r>
            <w:r>
              <w:t>1.8</w:t>
            </w:r>
          </w:p>
        </w:tc>
        <w:tc>
          <w:tcPr>
            <w:tcW w:w="1553" w:type="dxa"/>
          </w:tcPr>
          <w:p w14:paraId="6CCDF74C" w14:textId="77777777" w:rsidR="00943B10" w:rsidRPr="00E9573A" w:rsidRDefault="00943B10" w:rsidP="00D8380C">
            <w:r>
              <w:t xml:space="preserve">0.90 </w:t>
            </w:r>
            <w:r w:rsidRPr="00E9573A">
              <w:rPr>
                <w:rFonts w:cs="Calibri"/>
              </w:rPr>
              <w:t>±</w:t>
            </w:r>
            <w:r>
              <w:t xml:space="preserve"> 2.4</w:t>
            </w:r>
          </w:p>
          <w:p w14:paraId="34951CA4" w14:textId="77777777" w:rsidR="00943B10" w:rsidRPr="00E9573A" w:rsidRDefault="00943B10" w:rsidP="00D8380C">
            <w:r w:rsidRPr="00E9573A">
              <w:t>(</w:t>
            </w:r>
            <w:r w:rsidRPr="00DF40C4">
              <w:t>p=</w:t>
            </w:r>
            <w:r>
              <w:rPr>
                <w:color w:val="000000"/>
                <w:szCs w:val="20"/>
              </w:rPr>
              <w:t>0.0075</w:t>
            </w:r>
            <w:r w:rsidRPr="00DF40C4">
              <w:t>)</w:t>
            </w:r>
          </w:p>
        </w:tc>
      </w:tr>
      <w:tr w:rsidR="00943B10" w:rsidRPr="00CB7EE0" w14:paraId="0D77A943" w14:textId="77777777" w:rsidTr="00943B10">
        <w:tc>
          <w:tcPr>
            <w:tcW w:w="2125" w:type="dxa"/>
            <w:shd w:val="clear" w:color="auto" w:fill="auto"/>
          </w:tcPr>
          <w:p w14:paraId="45E50F19" w14:textId="77777777" w:rsidR="00943B10" w:rsidRPr="00DF40C4" w:rsidRDefault="00943B10" w:rsidP="00D8380C">
            <w:r w:rsidRPr="00DF40C4">
              <w:t>Strong adherence</w:t>
            </w:r>
          </w:p>
        </w:tc>
        <w:tc>
          <w:tcPr>
            <w:tcW w:w="1418" w:type="dxa"/>
            <w:shd w:val="clear" w:color="auto" w:fill="auto"/>
          </w:tcPr>
          <w:p w14:paraId="7F81138F" w14:textId="77777777" w:rsidR="00943B10" w:rsidRPr="00E9573A" w:rsidRDefault="00943B10" w:rsidP="00D8380C">
            <w:r>
              <w:t>51 (45.1</w:t>
            </w:r>
            <w:r w:rsidRPr="00E9573A">
              <w:t>%)</w:t>
            </w:r>
          </w:p>
          <w:p w14:paraId="15D86138" w14:textId="77777777" w:rsidR="00943B10" w:rsidRPr="00CB7EE0" w:rsidRDefault="00943B10" w:rsidP="00D8380C">
            <w:r w:rsidRPr="00CB7EE0">
              <w:t>[</w:t>
            </w:r>
            <w:r>
              <w:t>35.8</w:t>
            </w:r>
            <w:r w:rsidRPr="00CB7EE0">
              <w:t xml:space="preserve">% ; </w:t>
            </w:r>
            <w:r>
              <w:t>54.8</w:t>
            </w:r>
            <w:r w:rsidRPr="00CB7EE0">
              <w:t>%]</w:t>
            </w:r>
          </w:p>
        </w:tc>
        <w:tc>
          <w:tcPr>
            <w:tcW w:w="1418" w:type="dxa"/>
            <w:shd w:val="clear" w:color="auto" w:fill="auto"/>
          </w:tcPr>
          <w:p w14:paraId="29165605" w14:textId="77777777" w:rsidR="00943B10" w:rsidRPr="00CB7EE0" w:rsidRDefault="00943B10" w:rsidP="00D8380C">
            <w:r>
              <w:t>55 (48.7%</w:t>
            </w:r>
            <w:r w:rsidRPr="00CB7EE0">
              <w:t>)</w:t>
            </w:r>
          </w:p>
          <w:p w14:paraId="58EECBE4" w14:textId="77777777" w:rsidR="00943B10" w:rsidRPr="00CB7EE0" w:rsidRDefault="00943B10" w:rsidP="00D8380C">
            <w:r w:rsidRPr="00CB7EE0">
              <w:t>[</w:t>
            </w:r>
            <w:r>
              <w:t>39.2</w:t>
            </w:r>
            <w:r w:rsidRPr="00CB7EE0">
              <w:t xml:space="preserve">% ; </w:t>
            </w:r>
            <w:r>
              <w:t>58.3</w:t>
            </w:r>
            <w:r w:rsidRPr="00CB7EE0">
              <w:t>%]</w:t>
            </w:r>
          </w:p>
        </w:tc>
        <w:tc>
          <w:tcPr>
            <w:tcW w:w="1276" w:type="dxa"/>
            <w:shd w:val="clear" w:color="auto" w:fill="auto"/>
          </w:tcPr>
          <w:p w14:paraId="5C10CE02" w14:textId="77777777" w:rsidR="00943B10" w:rsidRPr="00CB7EE0" w:rsidRDefault="00943B10" w:rsidP="00D8380C">
            <w:r w:rsidRPr="00CB7EE0">
              <w:t>P=0.</w:t>
            </w:r>
            <w:r>
              <w:t>5553</w:t>
            </w:r>
          </w:p>
        </w:tc>
        <w:tc>
          <w:tcPr>
            <w:tcW w:w="1418" w:type="dxa"/>
          </w:tcPr>
          <w:p w14:paraId="0BBBF6F3" w14:textId="77777777" w:rsidR="00943B10" w:rsidRPr="00E9573A" w:rsidRDefault="00943B10" w:rsidP="00D8380C">
            <w:r>
              <w:t>10 (18.2</w:t>
            </w:r>
            <w:r w:rsidRPr="00E9573A">
              <w:t>%)</w:t>
            </w:r>
          </w:p>
          <w:p w14:paraId="44FD820C" w14:textId="77777777" w:rsidR="00943B10" w:rsidRPr="00CB7EE0" w:rsidRDefault="00943B10" w:rsidP="00D8380C">
            <w:r w:rsidRPr="00CB7EE0">
              <w:t>[</w:t>
            </w:r>
            <w:r>
              <w:t>9.1</w:t>
            </w:r>
            <w:r w:rsidRPr="00CB7EE0">
              <w:t xml:space="preserve">% ; </w:t>
            </w:r>
            <w:r>
              <w:t>30.9</w:t>
            </w:r>
            <w:r w:rsidRPr="00CB7EE0">
              <w:t>%]</w:t>
            </w:r>
          </w:p>
        </w:tc>
        <w:tc>
          <w:tcPr>
            <w:tcW w:w="1553" w:type="dxa"/>
            <w:gridSpan w:val="2"/>
          </w:tcPr>
          <w:p w14:paraId="4C72E1EC" w14:textId="77777777" w:rsidR="00943B10" w:rsidRPr="00CB7EE0" w:rsidRDefault="00943B10" w:rsidP="00D8380C">
            <w:r>
              <w:t>21 (38.2%</w:t>
            </w:r>
            <w:r w:rsidRPr="00CB7EE0">
              <w:t>)</w:t>
            </w:r>
          </w:p>
          <w:p w14:paraId="6E51F339" w14:textId="77777777" w:rsidR="00943B10" w:rsidRPr="00CB7EE0" w:rsidRDefault="00943B10" w:rsidP="00D8380C">
            <w:r w:rsidRPr="00CB7EE0">
              <w:t>[</w:t>
            </w:r>
            <w:r>
              <w:t>25.4</w:t>
            </w:r>
            <w:r w:rsidRPr="00CB7EE0">
              <w:t xml:space="preserve">% ; </w:t>
            </w:r>
            <w:r>
              <w:t>52.3</w:t>
            </w:r>
            <w:r w:rsidRPr="00CB7EE0">
              <w:t>%]</w:t>
            </w:r>
          </w:p>
        </w:tc>
        <w:tc>
          <w:tcPr>
            <w:tcW w:w="1553" w:type="dxa"/>
          </w:tcPr>
          <w:p w14:paraId="58ECBF67" w14:textId="77777777" w:rsidR="00943B10" w:rsidRPr="00CB7EE0" w:rsidRDefault="00943B10" w:rsidP="00D8380C">
            <w:r w:rsidRPr="00CB7EE0">
              <w:t>P=</w:t>
            </w:r>
            <w:r w:rsidRPr="0078043D">
              <w:rPr>
                <w:color w:val="000000"/>
                <w:szCs w:val="20"/>
              </w:rPr>
              <w:t>0.0116</w:t>
            </w:r>
          </w:p>
        </w:tc>
      </w:tr>
      <w:tr w:rsidR="00943B10" w:rsidRPr="00CB7EE0" w14:paraId="7213E204" w14:textId="77777777" w:rsidTr="00943B10">
        <w:tc>
          <w:tcPr>
            <w:tcW w:w="2125" w:type="dxa"/>
            <w:shd w:val="clear" w:color="auto" w:fill="auto"/>
          </w:tcPr>
          <w:p w14:paraId="42A536D2" w14:textId="77777777" w:rsidR="00943B10" w:rsidRPr="00943B10" w:rsidRDefault="00943B10" w:rsidP="00D8380C">
            <w:pPr>
              <w:rPr>
                <w:lang w:val="en-US"/>
              </w:rPr>
            </w:pPr>
            <w:r w:rsidRPr="00943B10">
              <w:rPr>
                <w:lang w:val="en-US"/>
              </w:rPr>
              <w:t>Strong adherence or improvement by at least one category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5734FB11" w14:textId="77777777" w:rsidR="00943B10" w:rsidRPr="00CB7EE0" w:rsidRDefault="00943B10" w:rsidP="00D8380C">
            <w:r>
              <w:t xml:space="preserve">67 </w:t>
            </w:r>
            <w:r w:rsidRPr="00CB7EE0">
              <w:t>(5</w:t>
            </w:r>
            <w:r>
              <w:t>9.3%</w:t>
            </w:r>
            <w:r w:rsidRPr="00CB7EE0">
              <w:t>)</w:t>
            </w:r>
          </w:p>
          <w:p w14:paraId="2690A0C8" w14:textId="77777777" w:rsidR="00943B10" w:rsidRPr="00CB7EE0" w:rsidRDefault="00943B10" w:rsidP="00D8380C">
            <w:r w:rsidRPr="00CB7EE0">
              <w:t>[</w:t>
            </w:r>
            <w:r>
              <w:t>49.7% ; 68.4</w:t>
            </w:r>
            <w:r w:rsidRPr="00CB7EE0">
              <w:t>%]</w:t>
            </w:r>
          </w:p>
        </w:tc>
        <w:tc>
          <w:tcPr>
            <w:tcW w:w="1276" w:type="dxa"/>
            <w:shd w:val="clear" w:color="auto" w:fill="auto"/>
          </w:tcPr>
          <w:p w14:paraId="1574D7D3" w14:textId="77777777" w:rsidR="00943B10" w:rsidRPr="00CB7EE0" w:rsidRDefault="00943B10" w:rsidP="00D8380C"/>
        </w:tc>
        <w:tc>
          <w:tcPr>
            <w:tcW w:w="2971" w:type="dxa"/>
            <w:gridSpan w:val="3"/>
          </w:tcPr>
          <w:p w14:paraId="3E8871D9" w14:textId="77777777" w:rsidR="00943B10" w:rsidRPr="00CB7EE0" w:rsidRDefault="00943B10" w:rsidP="00D8380C">
            <w:r>
              <w:t xml:space="preserve">28 </w:t>
            </w:r>
            <w:r w:rsidRPr="00CB7EE0">
              <w:t>(</w:t>
            </w:r>
            <w:r>
              <w:t>50.9%</w:t>
            </w:r>
            <w:r w:rsidRPr="00CB7EE0">
              <w:t>)</w:t>
            </w:r>
          </w:p>
          <w:p w14:paraId="13847484" w14:textId="77777777" w:rsidR="00943B10" w:rsidRPr="00CB7EE0" w:rsidRDefault="00943B10" w:rsidP="00D8380C">
            <w:r w:rsidRPr="00CB7EE0">
              <w:t>[</w:t>
            </w:r>
            <w:r>
              <w:t>37.1% ; 64.6</w:t>
            </w:r>
            <w:r w:rsidRPr="00CB7EE0">
              <w:t>%]</w:t>
            </w:r>
          </w:p>
        </w:tc>
        <w:tc>
          <w:tcPr>
            <w:tcW w:w="1553" w:type="dxa"/>
          </w:tcPr>
          <w:p w14:paraId="5B76A7E5" w14:textId="77777777" w:rsidR="00943B10" w:rsidRPr="00CB7EE0" w:rsidRDefault="00943B10" w:rsidP="00D8380C"/>
        </w:tc>
      </w:tr>
      <w:tr w:rsidR="00943B10" w:rsidRPr="00CB7EE0" w14:paraId="31D72F83" w14:textId="77777777" w:rsidTr="00943B10">
        <w:tc>
          <w:tcPr>
            <w:tcW w:w="2125" w:type="dxa"/>
            <w:shd w:val="clear" w:color="auto" w:fill="auto"/>
          </w:tcPr>
          <w:p w14:paraId="7FD2ADE2" w14:textId="77777777" w:rsidR="00943B10" w:rsidRPr="00CB7EE0" w:rsidRDefault="00943B10" w:rsidP="00D8380C">
            <w:r>
              <w:t>DAS28-CRP</w:t>
            </w:r>
          </w:p>
        </w:tc>
        <w:tc>
          <w:tcPr>
            <w:tcW w:w="1418" w:type="dxa"/>
            <w:shd w:val="clear" w:color="auto" w:fill="auto"/>
          </w:tcPr>
          <w:p w14:paraId="5065AFCF" w14:textId="77777777" w:rsidR="00943B10" w:rsidRDefault="00943B10" w:rsidP="00D8380C">
            <w:r>
              <w:t>4.1</w:t>
            </w:r>
            <w:r w:rsidRPr="00E9573A">
              <w:t xml:space="preserve"> </w:t>
            </w:r>
            <w:r>
              <w:rPr>
                <w:rFonts w:cs="Calibri"/>
              </w:rPr>
              <w:t>± 0.9</w:t>
            </w:r>
          </w:p>
        </w:tc>
        <w:tc>
          <w:tcPr>
            <w:tcW w:w="1418" w:type="dxa"/>
            <w:shd w:val="clear" w:color="auto" w:fill="auto"/>
          </w:tcPr>
          <w:p w14:paraId="68168A03" w14:textId="77777777" w:rsidR="00943B10" w:rsidRDefault="00943B10" w:rsidP="00D8380C">
            <w:r>
              <w:t>3.2</w:t>
            </w:r>
            <w:r w:rsidRPr="00E9573A">
              <w:t xml:space="preserve"> </w:t>
            </w:r>
            <w:r>
              <w:rPr>
                <w:rFonts w:cs="Calibri"/>
              </w:rPr>
              <w:t>± 0.9</w:t>
            </w:r>
          </w:p>
        </w:tc>
        <w:tc>
          <w:tcPr>
            <w:tcW w:w="1276" w:type="dxa"/>
            <w:shd w:val="clear" w:color="auto" w:fill="auto"/>
          </w:tcPr>
          <w:p w14:paraId="43B991EC" w14:textId="77777777" w:rsidR="00943B10" w:rsidRDefault="00943B10" w:rsidP="00D8380C">
            <w:pPr>
              <w:rPr>
                <w:rFonts w:cs="Calibri"/>
              </w:rPr>
            </w:pPr>
            <w:r>
              <w:t xml:space="preserve">-0.87 </w:t>
            </w:r>
            <w:r>
              <w:rPr>
                <w:rFonts w:cs="Calibri"/>
              </w:rPr>
              <w:t>± 0.89</w:t>
            </w:r>
          </w:p>
          <w:p w14:paraId="411FD5BD" w14:textId="77777777" w:rsidR="00943B10" w:rsidRPr="00CB7EE0" w:rsidRDefault="00943B10" w:rsidP="00D8380C">
            <w:r>
              <w:rPr>
                <w:rFonts w:cs="Calibri"/>
              </w:rPr>
              <w:t>(p</w:t>
            </w:r>
            <w:r w:rsidRPr="0078043D">
              <w:rPr>
                <w:color w:val="000000"/>
                <w:szCs w:val="20"/>
              </w:rPr>
              <w:t>&lt;.0001)</w:t>
            </w:r>
            <w:r>
              <w:t xml:space="preserve"> </w:t>
            </w:r>
          </w:p>
        </w:tc>
        <w:tc>
          <w:tcPr>
            <w:tcW w:w="1485" w:type="dxa"/>
            <w:gridSpan w:val="2"/>
          </w:tcPr>
          <w:p w14:paraId="7D5786AD" w14:textId="77777777" w:rsidR="00943B10" w:rsidRDefault="00943B10" w:rsidP="00D8380C">
            <w:r>
              <w:t>3.86</w:t>
            </w:r>
            <w:r w:rsidRPr="00E9573A">
              <w:t xml:space="preserve"> </w:t>
            </w:r>
            <w:r>
              <w:rPr>
                <w:rFonts w:cs="Calibri"/>
              </w:rPr>
              <w:t>± 0.7</w:t>
            </w:r>
          </w:p>
        </w:tc>
        <w:tc>
          <w:tcPr>
            <w:tcW w:w="1486" w:type="dxa"/>
          </w:tcPr>
          <w:p w14:paraId="21D6A4F1" w14:textId="77777777" w:rsidR="00943B10" w:rsidRDefault="00943B10" w:rsidP="00D8380C">
            <w:r>
              <w:t>3.2</w:t>
            </w:r>
            <w:r w:rsidRPr="00E9573A">
              <w:t xml:space="preserve"> </w:t>
            </w:r>
            <w:r>
              <w:rPr>
                <w:rFonts w:cs="Calibri"/>
              </w:rPr>
              <w:t>± 0.7</w:t>
            </w:r>
          </w:p>
        </w:tc>
        <w:tc>
          <w:tcPr>
            <w:tcW w:w="1553" w:type="dxa"/>
          </w:tcPr>
          <w:p w14:paraId="42828266" w14:textId="77777777" w:rsidR="00943B10" w:rsidRDefault="00943B10" w:rsidP="00D8380C">
            <w:pPr>
              <w:rPr>
                <w:rFonts w:cs="Calibri"/>
              </w:rPr>
            </w:pPr>
            <w:r>
              <w:t xml:space="preserve">-0.66 </w:t>
            </w:r>
            <w:r>
              <w:rPr>
                <w:rFonts w:cs="Calibri"/>
              </w:rPr>
              <w:t>± 0.80</w:t>
            </w:r>
          </w:p>
          <w:p w14:paraId="23D15C85" w14:textId="77777777" w:rsidR="00943B10" w:rsidRPr="00CB7EE0" w:rsidRDefault="00943B10" w:rsidP="00D8380C">
            <w:r>
              <w:rPr>
                <w:rFonts w:cs="Calibri"/>
              </w:rPr>
              <w:t>(p</w:t>
            </w:r>
            <w:r w:rsidRPr="0078043D">
              <w:rPr>
                <w:color w:val="000000"/>
                <w:szCs w:val="20"/>
              </w:rPr>
              <w:t>&lt;.0001)</w:t>
            </w:r>
          </w:p>
        </w:tc>
      </w:tr>
    </w:tbl>
    <w:p w14:paraId="78615FED" w14:textId="77777777" w:rsidR="00943B10" w:rsidRDefault="00943B10">
      <w:pPr>
        <w:jc w:val="left"/>
        <w:rPr>
          <w:b/>
          <w:sz w:val="24"/>
          <w:szCs w:val="24"/>
          <w:lang w:val="en-US"/>
        </w:rPr>
      </w:pPr>
    </w:p>
    <w:p w14:paraId="60D8E99D" w14:textId="77777777" w:rsidR="00943B10" w:rsidRDefault="00943B10">
      <w:pPr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5550CE11" w14:textId="3E0F0252" w:rsidR="006052BA" w:rsidRPr="001E05E9" w:rsidRDefault="006052BA" w:rsidP="006052BA">
      <w:pPr>
        <w:spacing w:line="480" w:lineRule="auto"/>
        <w:rPr>
          <w:b/>
          <w:sz w:val="24"/>
          <w:szCs w:val="24"/>
          <w:lang w:val="en-US"/>
        </w:rPr>
      </w:pPr>
      <w:r w:rsidRPr="001E05E9">
        <w:rPr>
          <w:b/>
          <w:sz w:val="24"/>
          <w:szCs w:val="24"/>
          <w:lang w:val="en-US"/>
        </w:rPr>
        <w:t xml:space="preserve">Supplementary Figure 1. Physicians and </w:t>
      </w:r>
      <w:r w:rsidRPr="001E05E9">
        <w:rPr>
          <w:rFonts w:ascii="Calibri" w:hAnsi="Calibri"/>
          <w:b/>
          <w:sz w:val="24"/>
          <w:szCs w:val="24"/>
          <w:lang w:val="en-US"/>
        </w:rPr>
        <w:t>Patients satisfaction level regarding MTX regimen prescribed after enrolment</w:t>
      </w:r>
    </w:p>
    <w:p w14:paraId="17FE46CF" w14:textId="77777777" w:rsidR="006052BA" w:rsidRPr="00873FB4" w:rsidRDefault="006052BA" w:rsidP="006052BA">
      <w:pPr>
        <w:spacing w:line="480" w:lineRule="auto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A</w:t>
      </w:r>
    </w:p>
    <w:p w14:paraId="10EF2481" w14:textId="77777777" w:rsidR="006052BA" w:rsidRDefault="006052BA" w:rsidP="006052BA">
      <w:pPr>
        <w:spacing w:line="480" w:lineRule="auto"/>
        <w:rPr>
          <w:rFonts w:ascii="Calibri" w:hAnsi="Calibri"/>
          <w:sz w:val="24"/>
          <w:szCs w:val="24"/>
          <w:lang w:val="en-US"/>
        </w:rPr>
      </w:pPr>
      <w:r w:rsidRPr="001E05E9">
        <w:rPr>
          <w:noProof/>
          <w:lang w:val="en-US"/>
        </w:rPr>
        <w:t xml:space="preserve"> </w:t>
      </w:r>
      <w:r>
        <w:rPr>
          <w:noProof/>
          <w:lang w:eastAsia="fr-FR"/>
        </w:rPr>
        <w:drawing>
          <wp:inline distT="0" distB="0" distL="0" distR="0" wp14:anchorId="011A3E4F" wp14:editId="66D513D8">
            <wp:extent cx="4389120" cy="2857500"/>
            <wp:effectExtent l="0" t="0" r="11430" b="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1583045" w14:textId="77777777" w:rsidR="006052BA" w:rsidRDefault="006052BA" w:rsidP="006052BA">
      <w:pPr>
        <w:spacing w:line="480" w:lineRule="auto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B</w:t>
      </w:r>
      <w:bookmarkStart w:id="0" w:name="_GoBack"/>
      <w:bookmarkEnd w:id="0"/>
    </w:p>
    <w:p w14:paraId="6F40A4E0" w14:textId="77777777" w:rsidR="006052BA" w:rsidRPr="00873FB4" w:rsidRDefault="006052BA" w:rsidP="006052BA">
      <w:pPr>
        <w:spacing w:line="480" w:lineRule="auto"/>
        <w:rPr>
          <w:rFonts w:ascii="Calibri" w:hAnsi="Calibri"/>
          <w:sz w:val="24"/>
          <w:szCs w:val="24"/>
          <w:lang w:val="en-US"/>
        </w:rPr>
      </w:pPr>
      <w:r>
        <w:rPr>
          <w:noProof/>
          <w:lang w:eastAsia="fr-FR"/>
        </w:rPr>
        <w:drawing>
          <wp:inline distT="0" distB="0" distL="0" distR="0" wp14:anchorId="176739B0" wp14:editId="6E1CC94F">
            <wp:extent cx="4389120" cy="2857500"/>
            <wp:effectExtent l="0" t="0" r="11430" b="0"/>
            <wp:docPr id="6" name="Graphique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020F1A" w14:textId="77777777" w:rsidR="001A5623" w:rsidRPr="006052BA" w:rsidRDefault="006052BA" w:rsidP="006052BA">
      <w:pPr>
        <w:spacing w:line="480" w:lineRule="auto"/>
        <w:rPr>
          <w:lang w:val="en-US"/>
        </w:rPr>
      </w:pPr>
      <w:r w:rsidRPr="00873FB4">
        <w:rPr>
          <w:rFonts w:ascii="Calibri" w:hAnsi="Calibri"/>
          <w:sz w:val="24"/>
          <w:szCs w:val="24"/>
          <w:lang w:val="en-US"/>
        </w:rPr>
        <w:t xml:space="preserve">Legend </w:t>
      </w:r>
      <w:r>
        <w:rPr>
          <w:rFonts w:ascii="Calibri" w:hAnsi="Calibri"/>
          <w:sz w:val="24"/>
          <w:szCs w:val="24"/>
          <w:lang w:val="en-US"/>
        </w:rPr>
        <w:t xml:space="preserve">(A) Physicians- and (B) </w:t>
      </w:r>
      <w:r w:rsidRPr="00873FB4">
        <w:rPr>
          <w:rFonts w:ascii="Calibri" w:hAnsi="Calibri"/>
          <w:sz w:val="24"/>
          <w:szCs w:val="24"/>
          <w:lang w:val="en-US"/>
        </w:rPr>
        <w:t>Patients satisfaction level regarding MTX regimen prescribed after enrolment.</w:t>
      </w:r>
    </w:p>
    <w:sectPr w:rsidR="001A5623" w:rsidRPr="006052BA" w:rsidSect="00873FB4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4DAA7" w14:textId="77777777" w:rsidR="00000000" w:rsidRDefault="00943B10">
      <w:pPr>
        <w:spacing w:after="0" w:line="240" w:lineRule="auto"/>
      </w:pPr>
      <w:r>
        <w:separator/>
      </w:r>
    </w:p>
  </w:endnote>
  <w:endnote w:type="continuationSeparator" w:id="0">
    <w:p w14:paraId="2E62EB91" w14:textId="77777777" w:rsidR="00000000" w:rsidRDefault="0094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362279"/>
      <w:docPartObj>
        <w:docPartGallery w:val="Page Numbers (Bottom of Page)"/>
        <w:docPartUnique/>
      </w:docPartObj>
    </w:sdtPr>
    <w:sdtEndPr/>
    <w:sdtContent>
      <w:p w14:paraId="6163DAA0" w14:textId="73298EC9" w:rsidR="00E3634B" w:rsidRDefault="006052BA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B10">
          <w:rPr>
            <w:noProof/>
          </w:rPr>
          <w:t>1</w:t>
        </w:r>
        <w:r>
          <w:fldChar w:fldCharType="end"/>
        </w:r>
      </w:p>
    </w:sdtContent>
  </w:sdt>
  <w:p w14:paraId="4EC720F0" w14:textId="77777777" w:rsidR="00E3634B" w:rsidRDefault="00943B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E09F9" w14:textId="77777777" w:rsidR="00000000" w:rsidRDefault="00943B10">
      <w:pPr>
        <w:spacing w:after="0" w:line="240" w:lineRule="auto"/>
      </w:pPr>
      <w:r>
        <w:separator/>
      </w:r>
    </w:p>
  </w:footnote>
  <w:footnote w:type="continuationSeparator" w:id="0">
    <w:p w14:paraId="1A2DBF42" w14:textId="77777777" w:rsidR="00000000" w:rsidRDefault="00943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BA"/>
    <w:rsid w:val="001A5623"/>
    <w:rsid w:val="001F3256"/>
    <w:rsid w:val="006052BA"/>
    <w:rsid w:val="0094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B30"/>
  <w15:chartTrackingRefBased/>
  <w15:docId w15:val="{A68ABB0D-44CB-42F9-82FC-1FFC770C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2BA"/>
    <w:pPr>
      <w:jc w:val="both"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0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52B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-dc3\RESEAU\ETUDE\NORDIC%20APRIM\graphes%20article%20Apri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-dc3\RESEAU\ETUDE\NORDIC%20APRIM\graphes%20article%20Aprim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Feuil1!$B$16</c:f>
              <c:strCache>
                <c:ptCount val="1"/>
              </c:strCache>
            </c:strRef>
          </c:tx>
          <c:spPr>
            <a:pattFill prst="wd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Feuil1!$A$17:$A$21</c:f>
              <c:strCache>
                <c:ptCount val="5"/>
                <c:pt idx="0">
                  <c:v>Not satisfied</c:v>
                </c:pt>
                <c:pt idx="1">
                  <c:v>Somewhat satisfied</c:v>
                </c:pt>
                <c:pt idx="2">
                  <c:v>Moderately satisfied</c:v>
                </c:pt>
                <c:pt idx="3">
                  <c:v>Rather satisfied</c:v>
                </c:pt>
                <c:pt idx="4">
                  <c:v>Very satisfied</c:v>
                </c:pt>
              </c:strCache>
            </c:strRef>
          </c:cat>
          <c:val>
            <c:numRef>
              <c:f>Feuil1!$B$17:$B$21</c:f>
              <c:numCache>
                <c:formatCode>0.00%</c:formatCode>
                <c:ptCount val="5"/>
                <c:pt idx="0">
                  <c:v>2.5000000000000001E-2</c:v>
                </c:pt>
                <c:pt idx="1">
                  <c:v>4.4999999999999998E-2</c:v>
                </c:pt>
                <c:pt idx="2">
                  <c:v>0.12</c:v>
                </c:pt>
                <c:pt idx="3">
                  <c:v>0.45500000000000002</c:v>
                </c:pt>
                <c:pt idx="4">
                  <c:v>0.35499999999999998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FC-4328-BFB1-222C747014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6382200"/>
        <c:axId val="206379064"/>
      </c:barChart>
      <c:catAx>
        <c:axId val="2063822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06379064"/>
        <c:crosses val="autoZero"/>
        <c:auto val="1"/>
        <c:lblAlgn val="ctr"/>
        <c:lblOffset val="100"/>
        <c:noMultiLvlLbl val="0"/>
      </c:catAx>
      <c:valAx>
        <c:axId val="2063790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06382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Feuil1!$B$35</c:f>
              <c:strCache>
                <c:ptCount val="1"/>
              </c:strCache>
            </c:strRef>
          </c:tx>
          <c:spPr>
            <a:pattFill prst="wd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Feuil1!$A$36:$A$40</c:f>
              <c:strCache>
                <c:ptCount val="5"/>
                <c:pt idx="0">
                  <c:v>Not satisfied</c:v>
                </c:pt>
                <c:pt idx="1">
                  <c:v>Somewhat satisfied</c:v>
                </c:pt>
                <c:pt idx="2">
                  <c:v>Moderately satisfied</c:v>
                </c:pt>
                <c:pt idx="3">
                  <c:v>Rather satisfied</c:v>
                </c:pt>
                <c:pt idx="4">
                  <c:v>Very satisfied</c:v>
                </c:pt>
              </c:strCache>
            </c:strRef>
          </c:cat>
          <c:val>
            <c:numRef>
              <c:f>Feuil1!$B$36:$B$40</c:f>
              <c:numCache>
                <c:formatCode>0.00%</c:formatCode>
                <c:ptCount val="5"/>
                <c:pt idx="0">
                  <c:v>0.01</c:v>
                </c:pt>
                <c:pt idx="1">
                  <c:v>8.3000000000000004E-2</c:v>
                </c:pt>
                <c:pt idx="2">
                  <c:v>0.121</c:v>
                </c:pt>
                <c:pt idx="3">
                  <c:v>0.46100000000000002</c:v>
                </c:pt>
                <c:pt idx="4">
                  <c:v>0.32500000000000001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2F-4A87-92EF-BECCB76BF7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6379848"/>
        <c:axId val="447889624"/>
      </c:barChart>
      <c:catAx>
        <c:axId val="206379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47889624"/>
        <c:crosses val="autoZero"/>
        <c:auto val="1"/>
        <c:lblAlgn val="ctr"/>
        <c:lblOffset val="100"/>
        <c:noMultiLvlLbl val="0"/>
      </c:catAx>
      <c:valAx>
        <c:axId val="4478896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06379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B88C39393B5409559A4A2504DFDCD" ma:contentTypeVersion="13" ma:contentTypeDescription="Crée un document." ma:contentTypeScope="" ma:versionID="e33e3c6b09a2c4457fd1962b7bda2dc0">
  <xsd:schema xmlns:xsd="http://www.w3.org/2001/XMLSchema" xmlns:xs="http://www.w3.org/2001/XMLSchema" xmlns:p="http://schemas.microsoft.com/office/2006/metadata/properties" xmlns:ns3="db2ac141-d392-443f-9d88-f6dbf214932d" xmlns:ns4="abcc0163-320c-46f6-97e0-4d33296bd241" targetNamespace="http://schemas.microsoft.com/office/2006/metadata/properties" ma:root="true" ma:fieldsID="174d828b871f2a09c204e4c9a3d4ede7" ns3:_="" ns4:_="">
    <xsd:import namespace="db2ac141-d392-443f-9d88-f6dbf214932d"/>
    <xsd:import namespace="abcc0163-320c-46f6-97e0-4d33296bd2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ac141-d392-443f-9d88-f6dbf21493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c0163-320c-46f6-97e0-4d33296bd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33ABF-6AF0-473A-A27D-27887BE9755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abcc0163-320c-46f6-97e0-4d33296bd241"/>
    <ds:schemaRef ds:uri="db2ac141-d392-443f-9d88-f6dbf214932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233873-B904-4072-B43D-7A33F9597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04E3E-C0E4-4C80-8F72-3B57C8135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ac141-d392-443f-9d88-f6dbf214932d"/>
    <ds:schemaRef ds:uri="abcc0163-320c-46f6-97e0-4d33296bd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FARDINI</dc:creator>
  <cp:keywords/>
  <dc:description/>
  <cp:lastModifiedBy>Yann FARDINI</cp:lastModifiedBy>
  <cp:revision>2</cp:revision>
  <dcterms:created xsi:type="dcterms:W3CDTF">2020-12-15T14:33:00Z</dcterms:created>
  <dcterms:modified xsi:type="dcterms:W3CDTF">2021-03-11T15:20:00Z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0x010100D34B88C39393B5409559A4A2504DFDCD</vt:lpwstr>
  </property>
</Properties>
</file>