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3E0F" w14:textId="77777777" w:rsidR="00622D00" w:rsidRP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  <w:r w:rsidRPr="00622D00">
        <w:rPr>
          <w:b/>
          <w:bCs/>
          <w:lang w:eastAsia="zh-CN"/>
        </w:rPr>
        <w:t xml:space="preserve">Table S1 </w:t>
      </w:r>
      <w:r w:rsidRPr="00622D00">
        <w:rPr>
          <w:lang w:eastAsia="zh-CN"/>
        </w:rPr>
        <w:t>Clinical variables determined by Lasso.</w:t>
      </w:r>
    </w:p>
    <w:p w14:paraId="7A9C620A" w14:textId="77777777" w:rsidR="00622D00" w:rsidRPr="00622D00" w:rsidRDefault="00622D00" w:rsidP="00622D00">
      <w:pPr>
        <w:widowControl w:val="0"/>
        <w:spacing w:line="360" w:lineRule="auto"/>
        <w:rPr>
          <w:lang w:eastAsia="zh-CN"/>
        </w:rPr>
      </w:pPr>
      <w:r w:rsidRPr="00622D00">
        <w:rPr>
          <w:rFonts w:hint="eastAsia"/>
          <w:b/>
          <w:bCs/>
          <w:lang w:eastAsia="zh-CN"/>
        </w:rPr>
        <w:t>T</w:t>
      </w:r>
      <w:r w:rsidRPr="00622D00">
        <w:rPr>
          <w:b/>
          <w:bCs/>
          <w:lang w:eastAsia="zh-CN"/>
        </w:rPr>
        <w:t xml:space="preserve">able S2 </w:t>
      </w:r>
      <w:r w:rsidRPr="00622D00">
        <w:rPr>
          <w:lang w:eastAsia="zh-CN"/>
        </w:rPr>
        <w:t>Clinical variables determined by Boruta.</w:t>
      </w:r>
    </w:p>
    <w:p w14:paraId="6A96B948" w14:textId="77777777" w:rsidR="00622D00" w:rsidRPr="00622D00" w:rsidRDefault="00622D00" w:rsidP="00622D00">
      <w:pPr>
        <w:spacing w:line="360" w:lineRule="auto"/>
        <w:rPr>
          <w:lang w:eastAsia="zh-CN"/>
        </w:rPr>
      </w:pPr>
      <w:r w:rsidRPr="00622D00">
        <w:rPr>
          <w:rFonts w:hint="eastAsia"/>
          <w:b/>
          <w:bCs/>
          <w:lang w:eastAsia="zh-CN"/>
        </w:rPr>
        <w:t>T</w:t>
      </w:r>
      <w:r w:rsidRPr="00622D00">
        <w:rPr>
          <w:b/>
          <w:bCs/>
          <w:lang w:eastAsia="zh-CN"/>
        </w:rPr>
        <w:t>able S3</w:t>
      </w:r>
      <w:r w:rsidRPr="00622D00">
        <w:rPr>
          <w:lang w:eastAsia="zh-CN"/>
        </w:rPr>
        <w:t xml:space="preserve"> Hyperparameters settings of the machine learning prediction algorithms.</w:t>
      </w:r>
    </w:p>
    <w:p w14:paraId="351E3B55" w14:textId="75F27D42" w:rsidR="00622D00" w:rsidRP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F</w:t>
      </w:r>
      <w:r>
        <w:rPr>
          <w:b/>
          <w:bCs/>
          <w:lang w:eastAsia="zh-CN"/>
        </w:rPr>
        <w:t xml:space="preserve">igure S1 </w:t>
      </w:r>
      <w:r w:rsidRPr="00B24644">
        <w:rPr>
          <w:lang w:eastAsia="zh-CN"/>
        </w:rPr>
        <w:t>Cross-validation statistical graph based on</w:t>
      </w:r>
      <w:r>
        <w:rPr>
          <w:lang w:eastAsia="zh-CN"/>
        </w:rPr>
        <w:t xml:space="preserve"> </w:t>
      </w:r>
      <w:r w:rsidRPr="00B24644">
        <w:rPr>
          <w:lang w:eastAsia="zh-CN"/>
        </w:rPr>
        <w:t>Lasso</w:t>
      </w:r>
      <w:r>
        <w:rPr>
          <w:lang w:eastAsia="zh-CN"/>
        </w:rPr>
        <w:t>.</w:t>
      </w:r>
    </w:p>
    <w:p w14:paraId="48A60CF4" w14:textId="77777777" w:rsidR="00622D00" w:rsidRDefault="00622D00" w:rsidP="00622D00">
      <w:pPr>
        <w:spacing w:line="360" w:lineRule="auto"/>
        <w:rPr>
          <w:lang w:eastAsia="zh-CN"/>
        </w:rPr>
      </w:pPr>
      <w:r>
        <w:rPr>
          <w:b/>
          <w:bCs/>
          <w:lang w:eastAsia="zh-CN"/>
        </w:rPr>
        <w:t xml:space="preserve">Figure S2 </w:t>
      </w:r>
      <w:r>
        <w:rPr>
          <w:lang w:eastAsia="zh-CN"/>
        </w:rPr>
        <w:t>The results of clinical variables selected by Boruta.</w:t>
      </w:r>
    </w:p>
    <w:p w14:paraId="4A765BDA" w14:textId="77777777" w:rsidR="00622D00" w:rsidRP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7AE4BE41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731C9214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37E42833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2725BEBF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79922D71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5840B96E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6936B362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1B538E40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5C205E07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5EB6BF45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2D9CB88F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553C0606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3311E559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7EB83EF7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304A9B6A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5CE26217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08D6E40C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4A328096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3E8ADE31" w14:textId="77777777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31B59703" w14:textId="1653E5EE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2BA896A8" w14:textId="7DA87189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4218920D" w14:textId="43A7CB2C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172A37A5" w14:textId="49A5748E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25E6FE18" w14:textId="77777777" w:rsidR="00622D00" w:rsidRDefault="00622D00" w:rsidP="00622D00">
      <w:pPr>
        <w:widowControl w:val="0"/>
        <w:spacing w:line="360" w:lineRule="auto"/>
        <w:rPr>
          <w:rFonts w:hint="eastAsia"/>
          <w:b/>
          <w:bCs/>
          <w:lang w:eastAsia="zh-CN"/>
        </w:rPr>
      </w:pPr>
    </w:p>
    <w:p w14:paraId="0BA478F5" w14:textId="707ACA73" w:rsidR="00622D00" w:rsidRP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  <w:r w:rsidRPr="00622D00">
        <w:rPr>
          <w:b/>
          <w:bCs/>
          <w:lang w:eastAsia="zh-CN"/>
        </w:rPr>
        <w:lastRenderedPageBreak/>
        <w:t xml:space="preserve">Table S1 </w:t>
      </w:r>
      <w:r w:rsidRPr="00622D00">
        <w:rPr>
          <w:lang w:eastAsia="zh-CN"/>
        </w:rPr>
        <w:t>Clinical variables determined by Lasso.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9"/>
        <w:gridCol w:w="4157"/>
      </w:tblGrid>
      <w:tr w:rsidR="00622D00" w:rsidRPr="00622D00" w14:paraId="6CE5A80E" w14:textId="77777777" w:rsidTr="00C67B78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10002" w14:textId="77777777" w:rsidR="00622D00" w:rsidRPr="00622D00" w:rsidRDefault="00622D00" w:rsidP="00622D00">
            <w:pPr>
              <w:widowControl w:val="0"/>
              <w:spacing w:line="360" w:lineRule="auto"/>
              <w:rPr>
                <w:b/>
                <w:bCs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C</w:t>
            </w:r>
            <w:r w:rsidRPr="00622D00">
              <w:rPr>
                <w:lang w:eastAsia="zh-CN"/>
              </w:rPr>
              <w:t>linical variables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A1E9F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lang w:eastAsia="zh-CN"/>
              </w:rPr>
              <w:t>Variable coefficients</w:t>
            </w:r>
          </w:p>
        </w:tc>
      </w:tr>
      <w:tr w:rsidR="00622D00" w:rsidRPr="00622D00" w14:paraId="364BD4D6" w14:textId="77777777" w:rsidTr="00C67B78"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416D0950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D</w:t>
            </w:r>
            <w:r w:rsidRPr="00622D00">
              <w:rPr>
                <w:lang w:eastAsia="zh-CN"/>
              </w:rPr>
              <w:t>BP</w:t>
            </w:r>
          </w:p>
        </w:tc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0F0B0F04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lang w:eastAsia="zh-CN"/>
              </w:rPr>
              <w:t>-0.022</w:t>
            </w:r>
          </w:p>
        </w:tc>
      </w:tr>
      <w:tr w:rsidR="00622D00" w:rsidRPr="00622D00" w14:paraId="04EF53D3" w14:textId="77777777" w:rsidTr="00C67B78">
        <w:tc>
          <w:tcPr>
            <w:tcW w:w="4428" w:type="dxa"/>
            <w:shd w:val="clear" w:color="auto" w:fill="auto"/>
          </w:tcPr>
          <w:p w14:paraId="1630DB0E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lang w:eastAsia="zh-CN"/>
              </w:rPr>
              <w:t>Blood, Lactate</w:t>
            </w:r>
          </w:p>
        </w:tc>
        <w:tc>
          <w:tcPr>
            <w:tcW w:w="4428" w:type="dxa"/>
            <w:shd w:val="clear" w:color="auto" w:fill="auto"/>
          </w:tcPr>
          <w:p w14:paraId="6B505C3C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0</w:t>
            </w:r>
            <w:r w:rsidRPr="00622D00">
              <w:rPr>
                <w:lang w:eastAsia="zh-CN"/>
              </w:rPr>
              <w:t>.170</w:t>
            </w:r>
          </w:p>
        </w:tc>
      </w:tr>
      <w:tr w:rsidR="00622D00" w:rsidRPr="00622D00" w14:paraId="75B3FB9E" w14:textId="77777777" w:rsidTr="00C67B78">
        <w:tc>
          <w:tcPr>
            <w:tcW w:w="4428" w:type="dxa"/>
            <w:shd w:val="clear" w:color="auto" w:fill="auto"/>
          </w:tcPr>
          <w:p w14:paraId="6C6F7A06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B</w:t>
            </w:r>
            <w:r w:rsidRPr="00622D00">
              <w:rPr>
                <w:lang w:eastAsia="zh-CN"/>
              </w:rPr>
              <w:t>lood, pH</w:t>
            </w:r>
          </w:p>
        </w:tc>
        <w:tc>
          <w:tcPr>
            <w:tcW w:w="4428" w:type="dxa"/>
            <w:shd w:val="clear" w:color="auto" w:fill="auto"/>
          </w:tcPr>
          <w:p w14:paraId="0BA9371D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-</w:t>
            </w:r>
            <w:r w:rsidRPr="00622D00">
              <w:rPr>
                <w:lang w:eastAsia="zh-CN"/>
              </w:rPr>
              <w:t>1.090</w:t>
            </w:r>
          </w:p>
        </w:tc>
      </w:tr>
      <w:tr w:rsidR="00622D00" w:rsidRPr="00622D00" w14:paraId="3E5AD794" w14:textId="77777777" w:rsidTr="00C67B78">
        <w:tc>
          <w:tcPr>
            <w:tcW w:w="4428" w:type="dxa"/>
            <w:shd w:val="clear" w:color="auto" w:fill="auto"/>
          </w:tcPr>
          <w:p w14:paraId="14C8E36C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szCs w:val="20"/>
                <w:lang w:eastAsia="zh-CN"/>
              </w:rPr>
              <w:t>Blood, Anion gap</w:t>
            </w:r>
          </w:p>
        </w:tc>
        <w:tc>
          <w:tcPr>
            <w:tcW w:w="4428" w:type="dxa"/>
            <w:shd w:val="clear" w:color="auto" w:fill="auto"/>
          </w:tcPr>
          <w:p w14:paraId="79C965FF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lang w:eastAsia="zh-CN"/>
              </w:rPr>
              <w:t>0.035</w:t>
            </w:r>
          </w:p>
        </w:tc>
      </w:tr>
      <w:tr w:rsidR="00622D00" w:rsidRPr="00622D00" w14:paraId="4E259294" w14:textId="77777777" w:rsidTr="00C67B78">
        <w:tc>
          <w:tcPr>
            <w:tcW w:w="4428" w:type="dxa"/>
            <w:shd w:val="clear" w:color="auto" w:fill="auto"/>
          </w:tcPr>
          <w:p w14:paraId="3E0D30FE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lang w:eastAsia="zh-CN"/>
              </w:rPr>
              <w:t>Blood, Creatinine</w:t>
            </w:r>
          </w:p>
        </w:tc>
        <w:tc>
          <w:tcPr>
            <w:tcW w:w="4428" w:type="dxa"/>
            <w:shd w:val="clear" w:color="auto" w:fill="auto"/>
          </w:tcPr>
          <w:p w14:paraId="1B1D4D27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0</w:t>
            </w:r>
            <w:r w:rsidRPr="00622D00">
              <w:rPr>
                <w:lang w:eastAsia="zh-CN"/>
              </w:rPr>
              <w:t>.124</w:t>
            </w:r>
          </w:p>
        </w:tc>
      </w:tr>
      <w:tr w:rsidR="00622D00" w:rsidRPr="00622D00" w14:paraId="21FB008A" w14:textId="77777777" w:rsidTr="00C67B78">
        <w:tc>
          <w:tcPr>
            <w:tcW w:w="4428" w:type="dxa"/>
            <w:shd w:val="clear" w:color="auto" w:fill="auto"/>
          </w:tcPr>
          <w:p w14:paraId="12752790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lang w:eastAsia="zh-CN"/>
              </w:rPr>
              <w:t>Blood, RDW</w:t>
            </w:r>
          </w:p>
        </w:tc>
        <w:tc>
          <w:tcPr>
            <w:tcW w:w="4428" w:type="dxa"/>
            <w:shd w:val="clear" w:color="auto" w:fill="auto"/>
          </w:tcPr>
          <w:p w14:paraId="337B7317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0</w:t>
            </w:r>
            <w:r w:rsidRPr="00622D00">
              <w:rPr>
                <w:lang w:eastAsia="zh-CN"/>
              </w:rPr>
              <w:t>.130</w:t>
            </w:r>
          </w:p>
        </w:tc>
      </w:tr>
      <w:tr w:rsidR="00622D00" w:rsidRPr="00622D00" w14:paraId="1C0FA917" w14:textId="77777777" w:rsidTr="00C67B78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3550770A" w14:textId="77777777" w:rsidR="00622D00" w:rsidRPr="00622D00" w:rsidRDefault="00622D00" w:rsidP="00622D00">
            <w:pPr>
              <w:widowControl w:val="0"/>
              <w:spacing w:line="360" w:lineRule="auto"/>
              <w:rPr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A</w:t>
            </w:r>
            <w:r w:rsidRPr="00622D00">
              <w:rPr>
                <w:lang w:eastAsia="zh-CN"/>
              </w:rPr>
              <w:t>ge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6AF38A5B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lang w:eastAsia="zh-CN"/>
              </w:rPr>
              <w:t>0.011</w:t>
            </w:r>
          </w:p>
        </w:tc>
      </w:tr>
    </w:tbl>
    <w:p w14:paraId="1FD69DB7" w14:textId="77777777" w:rsidR="00622D00" w:rsidRPr="00622D00" w:rsidRDefault="00622D00" w:rsidP="00622D00">
      <w:pPr>
        <w:widowControl w:val="0"/>
        <w:spacing w:line="360" w:lineRule="auto"/>
        <w:rPr>
          <w:rFonts w:cs="Arial"/>
          <w:b/>
          <w:szCs w:val="20"/>
        </w:rPr>
      </w:pPr>
      <w:r w:rsidRPr="00622D00">
        <w:rPr>
          <w:rFonts w:cs="Arial"/>
          <w:b/>
          <w:szCs w:val="20"/>
        </w:rPr>
        <w:t xml:space="preserve">Abbreviations: </w:t>
      </w:r>
      <w:r w:rsidRPr="00622D00">
        <w:rPr>
          <w:rFonts w:cs="Arial"/>
          <w:bCs/>
          <w:szCs w:val="20"/>
        </w:rPr>
        <w:t xml:space="preserve">DBP, diastolic blood pressure; RDW, </w:t>
      </w:r>
      <w:r w:rsidRPr="00622D00">
        <w:rPr>
          <w:rFonts w:cs="Arial"/>
          <w:szCs w:val="20"/>
        </w:rPr>
        <w:t>red blood cell distribution width</w:t>
      </w:r>
      <w:r w:rsidRPr="00622D00">
        <w:rPr>
          <w:rFonts w:cs="Arial"/>
          <w:bCs/>
          <w:szCs w:val="20"/>
        </w:rPr>
        <w:t>.</w:t>
      </w:r>
    </w:p>
    <w:p w14:paraId="076D3E77" w14:textId="77777777" w:rsidR="00622D00" w:rsidRP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05020B90" w14:textId="29AEAFA5" w:rsidR="00622D00" w:rsidRDefault="00622D00" w:rsidP="00622D00">
      <w:pPr>
        <w:widowControl w:val="0"/>
        <w:spacing w:line="360" w:lineRule="auto"/>
        <w:rPr>
          <w:b/>
          <w:bCs/>
          <w:lang w:eastAsia="zh-CN"/>
        </w:rPr>
      </w:pPr>
    </w:p>
    <w:p w14:paraId="2D950703" w14:textId="77777777" w:rsidR="00622D00" w:rsidRPr="00622D00" w:rsidRDefault="00622D00" w:rsidP="00622D00">
      <w:pPr>
        <w:widowControl w:val="0"/>
        <w:spacing w:line="360" w:lineRule="auto"/>
        <w:rPr>
          <w:rFonts w:hint="eastAsia"/>
          <w:b/>
          <w:bCs/>
          <w:lang w:eastAsia="zh-CN"/>
        </w:rPr>
      </w:pPr>
    </w:p>
    <w:p w14:paraId="3A824CDC" w14:textId="77777777" w:rsidR="00622D00" w:rsidRPr="00622D00" w:rsidRDefault="00622D00" w:rsidP="00622D00">
      <w:pPr>
        <w:widowControl w:val="0"/>
        <w:spacing w:line="360" w:lineRule="auto"/>
        <w:rPr>
          <w:lang w:eastAsia="zh-CN"/>
        </w:rPr>
      </w:pPr>
      <w:r w:rsidRPr="00622D00">
        <w:rPr>
          <w:rFonts w:hint="eastAsia"/>
          <w:b/>
          <w:bCs/>
          <w:lang w:eastAsia="zh-CN"/>
        </w:rPr>
        <w:t>T</w:t>
      </w:r>
      <w:r w:rsidRPr="00622D00">
        <w:rPr>
          <w:b/>
          <w:bCs/>
          <w:lang w:eastAsia="zh-CN"/>
        </w:rPr>
        <w:t xml:space="preserve">able S2 </w:t>
      </w:r>
      <w:r w:rsidRPr="00622D00">
        <w:rPr>
          <w:lang w:eastAsia="zh-CN"/>
        </w:rPr>
        <w:t>Clinical variables determined by Boruta.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0"/>
        <w:gridCol w:w="4156"/>
      </w:tblGrid>
      <w:tr w:rsidR="00622D00" w:rsidRPr="00622D00" w14:paraId="1DA9CDF9" w14:textId="77777777" w:rsidTr="00C67B78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B5A95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C</w:t>
            </w:r>
            <w:r w:rsidRPr="00622D00">
              <w:rPr>
                <w:lang w:eastAsia="zh-CN"/>
              </w:rPr>
              <w:t>linical variables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EC49F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F</w:t>
            </w:r>
            <w:r w:rsidRPr="00622D00">
              <w:rPr>
                <w:lang w:eastAsia="zh-CN"/>
              </w:rPr>
              <w:t>eature importance</w:t>
            </w:r>
          </w:p>
        </w:tc>
      </w:tr>
      <w:tr w:rsidR="00622D00" w:rsidRPr="00622D00" w14:paraId="6C92DE7B" w14:textId="77777777" w:rsidTr="00C67B78"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164F8481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B</w:t>
            </w:r>
            <w:r w:rsidRPr="00622D00">
              <w:rPr>
                <w:lang w:eastAsia="zh-CN"/>
              </w:rPr>
              <w:t>lood, Lactate</w:t>
            </w:r>
          </w:p>
        </w:tc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039B0170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1</w:t>
            </w:r>
            <w:r w:rsidRPr="00622D00">
              <w:rPr>
                <w:lang w:eastAsia="zh-CN"/>
              </w:rPr>
              <w:t>2.147</w:t>
            </w:r>
          </w:p>
        </w:tc>
      </w:tr>
      <w:tr w:rsidR="00622D00" w:rsidRPr="00622D00" w14:paraId="0E7F67B1" w14:textId="77777777" w:rsidTr="00C67B78">
        <w:tc>
          <w:tcPr>
            <w:tcW w:w="4428" w:type="dxa"/>
            <w:shd w:val="clear" w:color="auto" w:fill="auto"/>
          </w:tcPr>
          <w:p w14:paraId="596E08BF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szCs w:val="20"/>
                <w:lang w:eastAsia="zh-CN"/>
              </w:rPr>
              <w:t>Blood, Anion gap</w:t>
            </w:r>
          </w:p>
        </w:tc>
        <w:tc>
          <w:tcPr>
            <w:tcW w:w="4428" w:type="dxa"/>
            <w:shd w:val="clear" w:color="auto" w:fill="auto"/>
          </w:tcPr>
          <w:p w14:paraId="6D526F29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1</w:t>
            </w:r>
            <w:r w:rsidRPr="00622D00">
              <w:rPr>
                <w:lang w:eastAsia="zh-CN"/>
              </w:rPr>
              <w:t>0.910</w:t>
            </w:r>
          </w:p>
        </w:tc>
      </w:tr>
      <w:tr w:rsidR="00622D00" w:rsidRPr="00622D00" w14:paraId="0AD07FB0" w14:textId="77777777" w:rsidTr="00C67B78">
        <w:tc>
          <w:tcPr>
            <w:tcW w:w="4428" w:type="dxa"/>
            <w:shd w:val="clear" w:color="auto" w:fill="auto"/>
          </w:tcPr>
          <w:p w14:paraId="48B9A513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lang w:eastAsia="zh-CN"/>
              </w:rPr>
              <w:t>Blood, Creatinine</w:t>
            </w:r>
          </w:p>
        </w:tc>
        <w:tc>
          <w:tcPr>
            <w:tcW w:w="4428" w:type="dxa"/>
            <w:shd w:val="clear" w:color="auto" w:fill="auto"/>
          </w:tcPr>
          <w:p w14:paraId="14FEB773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1</w:t>
            </w:r>
            <w:r w:rsidRPr="00622D00">
              <w:rPr>
                <w:lang w:eastAsia="zh-CN"/>
              </w:rPr>
              <w:t>0.501</w:t>
            </w:r>
          </w:p>
        </w:tc>
      </w:tr>
      <w:tr w:rsidR="00622D00" w:rsidRPr="00622D00" w14:paraId="2E16B0F0" w14:textId="77777777" w:rsidTr="00C67B78">
        <w:tc>
          <w:tcPr>
            <w:tcW w:w="4428" w:type="dxa"/>
            <w:shd w:val="clear" w:color="auto" w:fill="auto"/>
          </w:tcPr>
          <w:p w14:paraId="7BBF2C4B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S</w:t>
            </w:r>
            <w:r w:rsidRPr="00622D00">
              <w:rPr>
                <w:lang w:eastAsia="zh-CN"/>
              </w:rPr>
              <w:t>BP</w:t>
            </w:r>
          </w:p>
        </w:tc>
        <w:tc>
          <w:tcPr>
            <w:tcW w:w="4428" w:type="dxa"/>
            <w:shd w:val="clear" w:color="auto" w:fill="auto"/>
          </w:tcPr>
          <w:p w14:paraId="701343A3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1</w:t>
            </w:r>
            <w:r w:rsidRPr="00622D00">
              <w:rPr>
                <w:lang w:eastAsia="zh-CN"/>
              </w:rPr>
              <w:t>0.498</w:t>
            </w:r>
          </w:p>
        </w:tc>
      </w:tr>
      <w:tr w:rsidR="00622D00" w:rsidRPr="00622D00" w14:paraId="03089EDE" w14:textId="77777777" w:rsidTr="00C67B78">
        <w:tc>
          <w:tcPr>
            <w:tcW w:w="4428" w:type="dxa"/>
            <w:shd w:val="clear" w:color="auto" w:fill="auto"/>
          </w:tcPr>
          <w:p w14:paraId="378EB03E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B</w:t>
            </w:r>
            <w:r w:rsidRPr="00622D00">
              <w:rPr>
                <w:lang w:eastAsia="zh-CN"/>
              </w:rPr>
              <w:t>lood, RDW</w:t>
            </w:r>
          </w:p>
        </w:tc>
        <w:tc>
          <w:tcPr>
            <w:tcW w:w="4428" w:type="dxa"/>
            <w:shd w:val="clear" w:color="auto" w:fill="auto"/>
          </w:tcPr>
          <w:p w14:paraId="780C182E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9</w:t>
            </w:r>
            <w:r w:rsidRPr="00622D00">
              <w:rPr>
                <w:lang w:eastAsia="zh-CN"/>
              </w:rPr>
              <w:t>.287</w:t>
            </w:r>
          </w:p>
        </w:tc>
      </w:tr>
      <w:tr w:rsidR="00622D00" w:rsidRPr="00622D00" w14:paraId="30D3C26A" w14:textId="77777777" w:rsidTr="00C67B78">
        <w:tc>
          <w:tcPr>
            <w:tcW w:w="4428" w:type="dxa"/>
            <w:shd w:val="clear" w:color="auto" w:fill="auto"/>
          </w:tcPr>
          <w:p w14:paraId="7CC34B64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D</w:t>
            </w:r>
            <w:r w:rsidRPr="00622D00">
              <w:rPr>
                <w:lang w:eastAsia="zh-CN"/>
              </w:rPr>
              <w:t>BP</w:t>
            </w:r>
          </w:p>
        </w:tc>
        <w:tc>
          <w:tcPr>
            <w:tcW w:w="4428" w:type="dxa"/>
            <w:shd w:val="clear" w:color="auto" w:fill="auto"/>
          </w:tcPr>
          <w:p w14:paraId="6B3023A1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8</w:t>
            </w:r>
            <w:r w:rsidRPr="00622D00">
              <w:rPr>
                <w:lang w:eastAsia="zh-CN"/>
              </w:rPr>
              <w:t>.489</w:t>
            </w:r>
          </w:p>
        </w:tc>
      </w:tr>
      <w:tr w:rsidR="00622D00" w:rsidRPr="00622D00" w14:paraId="23532A5D" w14:textId="77777777" w:rsidTr="00C67B78">
        <w:tc>
          <w:tcPr>
            <w:tcW w:w="4428" w:type="dxa"/>
            <w:shd w:val="clear" w:color="auto" w:fill="auto"/>
          </w:tcPr>
          <w:p w14:paraId="46D617C7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B</w:t>
            </w:r>
            <w:r w:rsidRPr="00622D00">
              <w:rPr>
                <w:lang w:eastAsia="zh-CN"/>
              </w:rPr>
              <w:t>lood, pH</w:t>
            </w:r>
          </w:p>
        </w:tc>
        <w:tc>
          <w:tcPr>
            <w:tcW w:w="4428" w:type="dxa"/>
            <w:shd w:val="clear" w:color="auto" w:fill="auto"/>
          </w:tcPr>
          <w:p w14:paraId="1E5AFAC5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6</w:t>
            </w:r>
            <w:r w:rsidRPr="00622D00">
              <w:rPr>
                <w:lang w:eastAsia="zh-CN"/>
              </w:rPr>
              <w:t>.869</w:t>
            </w:r>
          </w:p>
        </w:tc>
      </w:tr>
      <w:tr w:rsidR="00622D00" w:rsidRPr="00622D00" w14:paraId="6818FF92" w14:textId="77777777" w:rsidTr="00C67B78">
        <w:tc>
          <w:tcPr>
            <w:tcW w:w="4428" w:type="dxa"/>
            <w:shd w:val="clear" w:color="auto" w:fill="auto"/>
          </w:tcPr>
          <w:p w14:paraId="488D009C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A</w:t>
            </w:r>
            <w:r w:rsidRPr="00622D00">
              <w:rPr>
                <w:lang w:eastAsia="zh-CN"/>
              </w:rPr>
              <w:t>ge</w:t>
            </w:r>
          </w:p>
        </w:tc>
        <w:tc>
          <w:tcPr>
            <w:tcW w:w="4428" w:type="dxa"/>
            <w:shd w:val="clear" w:color="auto" w:fill="auto"/>
          </w:tcPr>
          <w:p w14:paraId="645D3DCE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4</w:t>
            </w:r>
            <w:r w:rsidRPr="00622D00">
              <w:rPr>
                <w:lang w:eastAsia="zh-CN"/>
              </w:rPr>
              <w:t>.029</w:t>
            </w:r>
          </w:p>
        </w:tc>
      </w:tr>
      <w:tr w:rsidR="00622D00" w:rsidRPr="00622D00" w14:paraId="1080CCE3" w14:textId="77777777" w:rsidTr="00C67B78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221167EC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szCs w:val="20"/>
                <w:lang w:eastAsia="zh-CN"/>
              </w:rPr>
              <w:t>Blood, Urea Nitrogen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10CC8115" w14:textId="77777777" w:rsidR="00622D00" w:rsidRPr="00622D00" w:rsidRDefault="00622D00" w:rsidP="00622D00">
            <w:pPr>
              <w:widowControl w:val="0"/>
              <w:spacing w:line="360" w:lineRule="auto"/>
              <w:rPr>
                <w:rFonts w:hint="eastAsia"/>
                <w:lang w:eastAsia="zh-CN"/>
              </w:rPr>
            </w:pPr>
            <w:r w:rsidRPr="00622D00">
              <w:rPr>
                <w:rFonts w:hint="eastAsia"/>
                <w:lang w:eastAsia="zh-CN"/>
              </w:rPr>
              <w:t>3</w:t>
            </w:r>
            <w:r w:rsidRPr="00622D00">
              <w:rPr>
                <w:lang w:eastAsia="zh-CN"/>
              </w:rPr>
              <w:t>.442</w:t>
            </w:r>
          </w:p>
        </w:tc>
      </w:tr>
    </w:tbl>
    <w:p w14:paraId="3840D42B" w14:textId="77777777" w:rsidR="00622D00" w:rsidRPr="00622D00" w:rsidRDefault="00622D00" w:rsidP="00622D00">
      <w:pPr>
        <w:widowControl w:val="0"/>
        <w:spacing w:line="360" w:lineRule="auto"/>
        <w:rPr>
          <w:rFonts w:cs="Arial"/>
          <w:bCs/>
          <w:szCs w:val="20"/>
        </w:rPr>
      </w:pPr>
      <w:r w:rsidRPr="00622D00">
        <w:rPr>
          <w:rFonts w:cs="Arial"/>
          <w:b/>
          <w:szCs w:val="20"/>
        </w:rPr>
        <w:t xml:space="preserve">Abbreviations: </w:t>
      </w:r>
      <w:r w:rsidRPr="00622D00">
        <w:rPr>
          <w:rFonts w:cs="Arial"/>
          <w:bCs/>
          <w:szCs w:val="20"/>
        </w:rPr>
        <w:t xml:space="preserve">DBP, diastolic blood pressure; RDW, </w:t>
      </w:r>
      <w:r w:rsidRPr="00622D00">
        <w:rPr>
          <w:rFonts w:cs="Arial"/>
          <w:szCs w:val="20"/>
        </w:rPr>
        <w:t>red blood cell distribution width</w:t>
      </w:r>
      <w:r w:rsidRPr="00622D00">
        <w:rPr>
          <w:rFonts w:cs="Arial"/>
          <w:bCs/>
          <w:szCs w:val="20"/>
        </w:rPr>
        <w:t xml:space="preserve">; SBP, </w:t>
      </w:r>
    </w:p>
    <w:p w14:paraId="2A1835D6" w14:textId="77777777" w:rsidR="00622D00" w:rsidRPr="00622D00" w:rsidRDefault="00622D00" w:rsidP="00622D00">
      <w:pPr>
        <w:widowControl w:val="0"/>
        <w:spacing w:line="360" w:lineRule="auto"/>
        <w:rPr>
          <w:rFonts w:cs="Arial" w:hint="eastAsia"/>
          <w:b/>
          <w:szCs w:val="20"/>
        </w:rPr>
      </w:pPr>
      <w:r w:rsidRPr="00622D00">
        <w:rPr>
          <w:rFonts w:cs="Arial"/>
          <w:bCs/>
          <w:szCs w:val="20"/>
        </w:rPr>
        <w:t>systolic blood pressure.</w:t>
      </w:r>
    </w:p>
    <w:p w14:paraId="4509D3A2" w14:textId="254BD099" w:rsidR="00622D00" w:rsidRDefault="00622D00" w:rsidP="00622D00">
      <w:pPr>
        <w:widowControl w:val="0"/>
        <w:spacing w:line="360" w:lineRule="auto"/>
        <w:rPr>
          <w:lang w:eastAsia="zh-CN"/>
        </w:rPr>
      </w:pPr>
    </w:p>
    <w:p w14:paraId="688E3CE5" w14:textId="33C309B0" w:rsidR="00622D00" w:rsidRDefault="00622D00" w:rsidP="00622D00">
      <w:pPr>
        <w:widowControl w:val="0"/>
        <w:spacing w:line="360" w:lineRule="auto"/>
        <w:rPr>
          <w:lang w:eastAsia="zh-CN"/>
        </w:rPr>
      </w:pPr>
    </w:p>
    <w:p w14:paraId="5C577F60" w14:textId="77777777" w:rsidR="00622D00" w:rsidRPr="00622D00" w:rsidRDefault="00622D00" w:rsidP="00622D00">
      <w:pPr>
        <w:widowControl w:val="0"/>
        <w:spacing w:line="360" w:lineRule="auto"/>
        <w:rPr>
          <w:rFonts w:hint="eastAsia"/>
          <w:lang w:eastAsia="zh-CN"/>
        </w:rPr>
      </w:pPr>
    </w:p>
    <w:p w14:paraId="2508CFB6" w14:textId="77777777" w:rsidR="00622D00" w:rsidRPr="00622D00" w:rsidRDefault="00622D00" w:rsidP="00622D00">
      <w:pPr>
        <w:spacing w:line="360" w:lineRule="auto"/>
        <w:rPr>
          <w:lang w:eastAsia="zh-CN"/>
        </w:rPr>
      </w:pPr>
      <w:r w:rsidRPr="00622D00">
        <w:rPr>
          <w:rFonts w:hint="eastAsia"/>
          <w:b/>
          <w:bCs/>
          <w:lang w:eastAsia="zh-CN"/>
        </w:rPr>
        <w:lastRenderedPageBreak/>
        <w:t>T</w:t>
      </w:r>
      <w:r w:rsidRPr="00622D00">
        <w:rPr>
          <w:b/>
          <w:bCs/>
          <w:lang w:eastAsia="zh-CN"/>
        </w:rPr>
        <w:t>able S3</w:t>
      </w:r>
      <w:r w:rsidRPr="00622D00">
        <w:rPr>
          <w:lang w:eastAsia="zh-CN"/>
        </w:rPr>
        <w:t xml:space="preserve"> Hyperparameters settings of the machine learning prediction algorithms.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3"/>
        <w:gridCol w:w="1694"/>
        <w:gridCol w:w="1786"/>
        <w:gridCol w:w="2113"/>
      </w:tblGrid>
      <w:tr w:rsidR="00622D00" w:rsidRPr="00622D00" w14:paraId="0731A6BB" w14:textId="77777777" w:rsidTr="00C67B78">
        <w:tc>
          <w:tcPr>
            <w:tcW w:w="1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53522" w14:textId="77777777" w:rsidR="00622D00" w:rsidRPr="00622D00" w:rsidRDefault="00622D00" w:rsidP="00622D00">
            <w:pPr>
              <w:spacing w:line="360" w:lineRule="auto"/>
              <w:rPr>
                <w:rFonts w:cs="Arial"/>
                <w:szCs w:val="20"/>
                <w:lang w:val="en-GB" w:eastAsia="zh-CN"/>
              </w:rPr>
            </w:pPr>
            <w:r w:rsidRPr="00622D00">
              <w:rPr>
                <w:rFonts w:cs="Arial" w:hint="eastAsia"/>
                <w:szCs w:val="20"/>
                <w:lang w:val="en-GB" w:eastAsia="zh-CN"/>
              </w:rPr>
              <w:t>M</w:t>
            </w:r>
            <w:r w:rsidRPr="00622D00">
              <w:rPr>
                <w:rFonts w:cs="Arial"/>
                <w:szCs w:val="20"/>
                <w:lang w:val="en-GB" w:eastAsia="zh-CN"/>
              </w:rPr>
              <w:t>odels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44625" w14:textId="77777777" w:rsidR="00622D00" w:rsidRPr="00622D00" w:rsidRDefault="00622D00" w:rsidP="00622D00">
            <w:pPr>
              <w:spacing w:line="360" w:lineRule="auto"/>
              <w:rPr>
                <w:rFonts w:cs="Arial"/>
                <w:szCs w:val="20"/>
                <w:lang w:val="en-GB" w:eastAsia="zh-CN"/>
              </w:rPr>
            </w:pPr>
            <w:r w:rsidRPr="00622D00">
              <w:rPr>
                <w:rFonts w:cs="Arial" w:hint="eastAsia"/>
                <w:szCs w:val="20"/>
                <w:lang w:val="en-GB" w:eastAsia="zh-CN"/>
              </w:rPr>
              <w:t>S</w:t>
            </w:r>
            <w:r w:rsidRPr="00622D00">
              <w:rPr>
                <w:rFonts w:cs="Arial"/>
                <w:szCs w:val="20"/>
                <w:lang w:val="en-GB" w:eastAsia="zh-CN"/>
              </w:rPr>
              <w:t>VM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3EFC1" w14:textId="77777777" w:rsidR="00622D00" w:rsidRPr="00622D00" w:rsidRDefault="00622D00" w:rsidP="00622D00">
            <w:pPr>
              <w:spacing w:line="360" w:lineRule="auto"/>
              <w:rPr>
                <w:rFonts w:cs="Arial"/>
                <w:szCs w:val="20"/>
                <w:lang w:val="en-GB" w:eastAsia="zh-CN"/>
              </w:rPr>
            </w:pPr>
            <w:r w:rsidRPr="00622D00">
              <w:rPr>
                <w:rFonts w:cs="Arial" w:hint="eastAsia"/>
                <w:szCs w:val="20"/>
                <w:lang w:val="en-GB" w:eastAsia="zh-CN"/>
              </w:rPr>
              <w:t>X</w:t>
            </w:r>
            <w:r w:rsidRPr="00622D00">
              <w:rPr>
                <w:rFonts w:cs="Arial"/>
                <w:szCs w:val="20"/>
                <w:lang w:val="en-GB" w:eastAsia="zh-CN"/>
              </w:rPr>
              <w:t>GBoost</w:t>
            </w:r>
          </w:p>
        </w:tc>
        <w:tc>
          <w:tcPr>
            <w:tcW w:w="1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191C3" w14:textId="77777777" w:rsidR="00622D00" w:rsidRPr="00622D00" w:rsidRDefault="00622D00" w:rsidP="00622D00">
            <w:pPr>
              <w:spacing w:line="360" w:lineRule="auto"/>
              <w:rPr>
                <w:rFonts w:cs="Arial"/>
                <w:szCs w:val="20"/>
                <w:lang w:val="en-GB" w:eastAsia="zh-CN"/>
              </w:rPr>
            </w:pPr>
            <w:r w:rsidRPr="00622D00">
              <w:rPr>
                <w:rFonts w:cs="Arial" w:hint="eastAsia"/>
                <w:szCs w:val="20"/>
                <w:lang w:val="en-GB" w:eastAsia="zh-CN"/>
              </w:rPr>
              <w:t>E</w:t>
            </w:r>
            <w:r w:rsidRPr="00622D00">
              <w:rPr>
                <w:rFonts w:cs="Arial"/>
                <w:szCs w:val="20"/>
                <w:lang w:val="en-GB" w:eastAsia="zh-CN"/>
              </w:rPr>
              <w:t>LM</w:t>
            </w:r>
          </w:p>
        </w:tc>
      </w:tr>
      <w:tr w:rsidR="00622D00" w:rsidRPr="00622D00" w14:paraId="6ED42CCD" w14:textId="77777777" w:rsidTr="00C67B78">
        <w:tc>
          <w:tcPr>
            <w:tcW w:w="1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612F3" w14:textId="77777777" w:rsidR="00622D00" w:rsidRPr="00622D00" w:rsidRDefault="00622D00" w:rsidP="00622D00">
            <w:pPr>
              <w:spacing w:line="360" w:lineRule="auto"/>
              <w:rPr>
                <w:rFonts w:cs="Arial"/>
                <w:szCs w:val="20"/>
                <w:lang w:val="en-GB" w:eastAsia="zh-CN"/>
              </w:rPr>
            </w:pPr>
            <w:r w:rsidRPr="00622D00">
              <w:rPr>
                <w:rFonts w:cs="Arial"/>
                <w:szCs w:val="20"/>
                <w:lang w:val="en-GB" w:eastAsia="zh-CN"/>
              </w:rPr>
              <w:t>hyperparameter settings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1C4E7" w14:textId="77777777" w:rsidR="00622D00" w:rsidRPr="00622D00" w:rsidRDefault="00622D00" w:rsidP="00622D00">
            <w:pPr>
              <w:spacing w:line="360" w:lineRule="auto"/>
              <w:rPr>
                <w:rFonts w:cs="Arial"/>
                <w:szCs w:val="20"/>
                <w:lang w:val="en-GB" w:eastAsia="zh-CN"/>
              </w:rPr>
            </w:pPr>
            <w:r w:rsidRPr="00622D00">
              <w:rPr>
                <w:rFonts w:cs="Arial" w:hint="eastAsia"/>
                <w:szCs w:val="20"/>
                <w:lang w:val="en-GB" w:eastAsia="zh-CN"/>
              </w:rPr>
              <w:t>C</w:t>
            </w:r>
            <w:r w:rsidRPr="00622D00">
              <w:rPr>
                <w:rFonts w:cs="Arial"/>
                <w:szCs w:val="20"/>
                <w:lang w:val="en-GB" w:eastAsia="zh-CN"/>
              </w:rPr>
              <w:t xml:space="preserve"> = 1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B967B" w14:textId="77777777" w:rsidR="00622D00" w:rsidRPr="00622D00" w:rsidRDefault="00622D00" w:rsidP="00622D00">
            <w:pPr>
              <w:spacing w:line="360" w:lineRule="auto"/>
              <w:rPr>
                <w:rFonts w:cs="Arial"/>
                <w:szCs w:val="20"/>
                <w:lang w:val="en-GB" w:eastAsia="zh-CN"/>
              </w:rPr>
            </w:pPr>
            <w:r w:rsidRPr="00622D00">
              <w:rPr>
                <w:rFonts w:cs="Arial"/>
                <w:szCs w:val="20"/>
                <w:lang w:val="en-GB" w:eastAsia="zh-CN"/>
              </w:rPr>
              <w:t>Depth = 10</w:t>
            </w:r>
          </w:p>
          <w:p w14:paraId="0198A7E2" w14:textId="77777777" w:rsidR="00622D00" w:rsidRPr="00622D00" w:rsidRDefault="00622D00" w:rsidP="00622D00">
            <w:pPr>
              <w:spacing w:line="360" w:lineRule="auto"/>
              <w:rPr>
                <w:rFonts w:cs="Arial"/>
                <w:szCs w:val="20"/>
                <w:lang w:val="en-GB" w:eastAsia="zh-CN"/>
              </w:rPr>
            </w:pPr>
            <w:r w:rsidRPr="00622D00">
              <w:rPr>
                <w:rFonts w:cs="Arial"/>
                <w:szCs w:val="20"/>
                <w:lang w:val="en-GB" w:eastAsia="zh-CN"/>
              </w:rPr>
              <w:t>Eta = 0.45</w:t>
            </w:r>
          </w:p>
        </w:tc>
        <w:tc>
          <w:tcPr>
            <w:tcW w:w="1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D293F" w14:textId="77777777" w:rsidR="00622D00" w:rsidRPr="00622D00" w:rsidRDefault="00622D00" w:rsidP="00622D00">
            <w:pPr>
              <w:spacing w:line="360" w:lineRule="auto"/>
              <w:rPr>
                <w:rFonts w:cs="Arial"/>
                <w:szCs w:val="20"/>
                <w:lang w:val="en-GB" w:eastAsia="zh-CN"/>
              </w:rPr>
            </w:pPr>
            <w:r w:rsidRPr="00622D00">
              <w:rPr>
                <w:rFonts w:cs="Arial" w:hint="eastAsia"/>
                <w:szCs w:val="20"/>
                <w:lang w:val="en-GB" w:eastAsia="zh-CN"/>
              </w:rPr>
              <w:t>H</w:t>
            </w:r>
            <w:r w:rsidRPr="00622D00">
              <w:rPr>
                <w:rFonts w:cs="Arial"/>
                <w:szCs w:val="20"/>
                <w:lang w:val="en-GB" w:eastAsia="zh-CN"/>
              </w:rPr>
              <w:t>idden neurons = 38</w:t>
            </w:r>
          </w:p>
        </w:tc>
      </w:tr>
    </w:tbl>
    <w:p w14:paraId="1C3E4BD7" w14:textId="493ACF29" w:rsidR="00C97FFE" w:rsidRDefault="00C97FFE" w:rsidP="00622D00">
      <w:pPr>
        <w:spacing w:line="360" w:lineRule="auto"/>
        <w:rPr>
          <w:b/>
          <w:bCs/>
          <w:lang w:eastAsia="zh-CN"/>
        </w:rPr>
      </w:pPr>
    </w:p>
    <w:p w14:paraId="702A4643" w14:textId="20D66789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5C4EBB86" w14:textId="537CEBD4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7A701049" w14:textId="382DAC6B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4B3C4DED" w14:textId="63865AC2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3454A044" w14:textId="2D9517BD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4BBC68A1" w14:textId="1606C075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1C12056C" w14:textId="7A66CD8F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54E8D22C" w14:textId="02D3B921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0F71E3FC" w14:textId="1F43E87C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0B3A8E6E" w14:textId="6076B9F9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45C95F25" w14:textId="5953F88A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0572A7C5" w14:textId="1A9AD7AE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41510102" w14:textId="5BA0788D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363D965C" w14:textId="73BE18CB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5ECA07A0" w14:textId="079363EA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3C6CB2DE" w14:textId="3116C498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5180BBCE" w14:textId="52B1BDB4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57DFC597" w14:textId="2D25674F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0EF91459" w14:textId="048E5B39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644E58B8" w14:textId="2CAE81D5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3DB78CF0" w14:textId="45A6B4BE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2770C9E5" w14:textId="2CFE2D1C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2E1559A0" w14:textId="041C096C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42A233D9" w14:textId="63ABEDD6" w:rsidR="00622D00" w:rsidRDefault="00622D00" w:rsidP="00622D00">
      <w:pPr>
        <w:spacing w:line="360" w:lineRule="auto"/>
        <w:rPr>
          <w:b/>
          <w:bCs/>
          <w:lang w:eastAsia="zh-CN"/>
        </w:rPr>
      </w:pPr>
    </w:p>
    <w:p w14:paraId="55D01B0F" w14:textId="77777777" w:rsidR="00622D00" w:rsidRDefault="00622D00" w:rsidP="00622D00">
      <w:pPr>
        <w:spacing w:line="360" w:lineRule="auto"/>
        <w:rPr>
          <w:rFonts w:hint="eastAsia"/>
          <w:b/>
          <w:bCs/>
          <w:lang w:eastAsia="zh-CN"/>
        </w:rPr>
      </w:pPr>
    </w:p>
    <w:p w14:paraId="4283DBBC" w14:textId="69A89084" w:rsidR="004D2187" w:rsidRDefault="004D2187" w:rsidP="00622D00">
      <w:pPr>
        <w:spacing w:line="360" w:lineRule="auto"/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F</w:t>
      </w:r>
      <w:r>
        <w:rPr>
          <w:b/>
          <w:bCs/>
          <w:lang w:eastAsia="zh-CN"/>
        </w:rPr>
        <w:t xml:space="preserve">igure S1 </w:t>
      </w:r>
      <w:r w:rsidRPr="00B24644">
        <w:rPr>
          <w:lang w:eastAsia="zh-CN"/>
        </w:rPr>
        <w:t>Cross-validation statistical graph based on</w:t>
      </w:r>
      <w:r>
        <w:rPr>
          <w:lang w:eastAsia="zh-CN"/>
        </w:rPr>
        <w:t xml:space="preserve"> </w:t>
      </w:r>
      <w:r w:rsidRPr="00B24644">
        <w:rPr>
          <w:lang w:eastAsia="zh-CN"/>
        </w:rPr>
        <w:t>Lasso</w:t>
      </w:r>
      <w:r>
        <w:rPr>
          <w:lang w:eastAsia="zh-CN"/>
        </w:rPr>
        <w:t>.</w:t>
      </w:r>
    </w:p>
    <w:p w14:paraId="57919655" w14:textId="50A7E4E7" w:rsidR="004D2187" w:rsidRDefault="004D2187" w:rsidP="00622D00">
      <w:pPr>
        <w:spacing w:line="360" w:lineRule="auto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6DAF24A1" wp14:editId="34C6FB6A">
            <wp:extent cx="5274310" cy="41008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eastAsia="zh-CN"/>
        </w:rPr>
        <w:t>N</w:t>
      </w:r>
      <w:r>
        <w:rPr>
          <w:b/>
          <w:bCs/>
          <w:lang w:eastAsia="zh-CN"/>
        </w:rPr>
        <w:t xml:space="preserve">ote: </w:t>
      </w:r>
      <w:r w:rsidRPr="009A7DAB">
        <w:rPr>
          <w:lang w:eastAsia="zh-CN"/>
        </w:rPr>
        <w:t xml:space="preserve">This picture shows the relationship </w:t>
      </w:r>
      <w:r>
        <w:rPr>
          <w:lang w:eastAsia="zh-CN"/>
        </w:rPr>
        <w:t>among</w:t>
      </w:r>
      <w:r w:rsidRPr="009A7DAB">
        <w:rPr>
          <w:lang w:eastAsia="zh-CN"/>
        </w:rPr>
        <w:t xml:space="preserve"> the penalty coefficient</w:t>
      </w:r>
      <w:r>
        <w:rPr>
          <w:lang w:eastAsia="zh-CN"/>
        </w:rPr>
        <w:t xml:space="preserve"> (λ)</w:t>
      </w:r>
      <w:r w:rsidRPr="009A7DAB">
        <w:rPr>
          <w:lang w:eastAsia="zh-CN"/>
        </w:rPr>
        <w:t xml:space="preserve"> (the lower horizontal axis)</w:t>
      </w:r>
      <w:r>
        <w:rPr>
          <w:lang w:eastAsia="zh-CN"/>
        </w:rPr>
        <w:t>,</w:t>
      </w:r>
      <w:r w:rsidRPr="009A7DAB">
        <w:rPr>
          <w:lang w:eastAsia="zh-CN"/>
        </w:rPr>
        <w:t xml:space="preserve"> the number of </w:t>
      </w:r>
      <w:r>
        <w:rPr>
          <w:lang w:eastAsia="zh-CN"/>
        </w:rPr>
        <w:t>selected</w:t>
      </w:r>
      <w:r w:rsidRPr="009A7DAB">
        <w:rPr>
          <w:lang w:eastAsia="zh-CN"/>
        </w:rPr>
        <w:t xml:space="preserve"> variables (the upper horizontal axis)</w:t>
      </w:r>
      <w:r>
        <w:rPr>
          <w:lang w:eastAsia="zh-CN"/>
        </w:rPr>
        <w:t>,</w:t>
      </w:r>
      <w:r w:rsidRPr="009A7DAB">
        <w:rPr>
          <w:lang w:eastAsia="zh-CN"/>
        </w:rPr>
        <w:t xml:space="preserve"> and the misclassification error (vertical axis)</w:t>
      </w:r>
      <w:r>
        <w:rPr>
          <w:lang w:eastAsia="zh-CN"/>
        </w:rPr>
        <w:t xml:space="preserve"> through Lasso</w:t>
      </w:r>
      <w:r w:rsidRPr="009A7DAB">
        <w:rPr>
          <w:lang w:eastAsia="zh-CN"/>
        </w:rPr>
        <w:t>.</w:t>
      </w:r>
      <w:r>
        <w:rPr>
          <w:lang w:eastAsia="zh-CN"/>
        </w:rPr>
        <w:t xml:space="preserve"> The two vertical dashed lines represent the logλ with the minimum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misclassification error (MSE) (the dashed line on the left) and the logλ with one standard error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from the minimum value (the dashed line on the right). To reduce the over-fitting problem,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logλ at the position one standard error from the minimum value was selected in this study. Therefore, seven clinical variables were selected by Lasso.</w:t>
      </w:r>
    </w:p>
    <w:p w14:paraId="07412F52" w14:textId="77777777" w:rsidR="004D2187" w:rsidRDefault="004D2187" w:rsidP="00622D00">
      <w:pPr>
        <w:spacing w:line="360" w:lineRule="auto"/>
        <w:rPr>
          <w:lang w:eastAsia="zh-CN"/>
        </w:rPr>
      </w:pPr>
    </w:p>
    <w:p w14:paraId="6AC11A9A" w14:textId="77777777" w:rsidR="004D2187" w:rsidRDefault="004D2187" w:rsidP="00622D00">
      <w:pPr>
        <w:spacing w:line="360" w:lineRule="auto"/>
        <w:rPr>
          <w:lang w:eastAsia="zh-CN"/>
        </w:rPr>
      </w:pPr>
    </w:p>
    <w:p w14:paraId="0D268088" w14:textId="77777777" w:rsidR="004D2187" w:rsidRDefault="004D2187" w:rsidP="00622D00">
      <w:pPr>
        <w:spacing w:line="360" w:lineRule="auto"/>
        <w:rPr>
          <w:lang w:eastAsia="zh-CN"/>
        </w:rPr>
      </w:pPr>
    </w:p>
    <w:p w14:paraId="12B20B23" w14:textId="0E16F8A9" w:rsidR="004D2187" w:rsidRDefault="004D2187" w:rsidP="00622D00">
      <w:pPr>
        <w:spacing w:line="360" w:lineRule="auto"/>
        <w:rPr>
          <w:lang w:eastAsia="zh-CN"/>
        </w:rPr>
      </w:pPr>
    </w:p>
    <w:p w14:paraId="224E29D0" w14:textId="2BA6CFCE" w:rsidR="00622D00" w:rsidRDefault="00622D00" w:rsidP="00622D00">
      <w:pPr>
        <w:spacing w:line="360" w:lineRule="auto"/>
        <w:rPr>
          <w:lang w:eastAsia="zh-CN"/>
        </w:rPr>
      </w:pPr>
    </w:p>
    <w:p w14:paraId="397ED100" w14:textId="5124CB8F" w:rsidR="00622D00" w:rsidRDefault="00622D00" w:rsidP="00622D00">
      <w:pPr>
        <w:spacing w:line="360" w:lineRule="auto"/>
        <w:rPr>
          <w:lang w:eastAsia="zh-CN"/>
        </w:rPr>
      </w:pPr>
    </w:p>
    <w:p w14:paraId="0BA20FA2" w14:textId="633E75CB" w:rsidR="00622D00" w:rsidRDefault="00622D00" w:rsidP="00622D00">
      <w:pPr>
        <w:spacing w:line="360" w:lineRule="auto"/>
        <w:rPr>
          <w:lang w:eastAsia="zh-CN"/>
        </w:rPr>
      </w:pPr>
    </w:p>
    <w:p w14:paraId="6E39D292" w14:textId="77777777" w:rsidR="00622D00" w:rsidRDefault="00622D00" w:rsidP="00622D00">
      <w:pPr>
        <w:spacing w:line="360" w:lineRule="auto"/>
        <w:rPr>
          <w:rFonts w:hint="eastAsia"/>
          <w:lang w:eastAsia="zh-CN"/>
        </w:rPr>
      </w:pPr>
    </w:p>
    <w:p w14:paraId="5362050C" w14:textId="77777777" w:rsidR="004D2187" w:rsidRDefault="004D2187" w:rsidP="00622D00">
      <w:pPr>
        <w:spacing w:line="360" w:lineRule="auto"/>
        <w:rPr>
          <w:lang w:eastAsia="zh-CN"/>
        </w:rPr>
      </w:pPr>
      <w:r>
        <w:rPr>
          <w:b/>
          <w:bCs/>
          <w:lang w:eastAsia="zh-CN"/>
        </w:rPr>
        <w:lastRenderedPageBreak/>
        <w:t xml:space="preserve">Figure S2 </w:t>
      </w:r>
      <w:r>
        <w:rPr>
          <w:lang w:eastAsia="zh-CN"/>
        </w:rPr>
        <w:t>The results of clinical variables selected by Boruta.</w:t>
      </w:r>
    </w:p>
    <w:p w14:paraId="72687433" w14:textId="78EF9890" w:rsidR="004D2187" w:rsidRDefault="004D2187" w:rsidP="00622D00">
      <w:pPr>
        <w:spacing w:line="360" w:lineRule="auto"/>
        <w:rPr>
          <w:b/>
          <w:bCs/>
          <w:lang w:eastAsia="zh-CN"/>
        </w:rPr>
      </w:pPr>
      <w:r>
        <w:rPr>
          <w:rFonts w:hint="eastAsia"/>
          <w:b/>
          <w:bCs/>
          <w:noProof/>
          <w:lang w:eastAsia="zh-CN"/>
        </w:rPr>
        <w:drawing>
          <wp:inline distT="0" distB="0" distL="0" distR="0" wp14:anchorId="731D34EA" wp14:editId="2DE9AF1C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EB660" w14:textId="1CF03047" w:rsidR="004D2187" w:rsidRPr="00B56145" w:rsidRDefault="004D2187" w:rsidP="00622D00">
      <w:pPr>
        <w:widowControl w:val="0"/>
        <w:spacing w:line="360" w:lineRule="auto"/>
        <w:rPr>
          <w:rFonts w:cs="Arial"/>
          <w:bCs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b/>
          <w:szCs w:val="20"/>
        </w:rPr>
        <w:t xml:space="preserve"> </w:t>
      </w:r>
      <w:r>
        <w:rPr>
          <w:rFonts w:cs="Arial"/>
          <w:bCs/>
          <w:szCs w:val="20"/>
        </w:rPr>
        <w:t>T</w:t>
      </w:r>
      <w:r w:rsidRPr="00481B1E">
        <w:rPr>
          <w:rFonts w:cs="Arial"/>
          <w:bCs/>
          <w:szCs w:val="20"/>
        </w:rPr>
        <w:t>h</w:t>
      </w:r>
      <w:r>
        <w:rPr>
          <w:rFonts w:cs="Arial"/>
          <w:bCs/>
          <w:szCs w:val="20"/>
        </w:rPr>
        <w:t>is</w:t>
      </w:r>
      <w:r w:rsidRPr="00360A0C">
        <w:rPr>
          <w:rFonts w:cs="Arial"/>
          <w:bCs/>
          <w:szCs w:val="20"/>
        </w:rPr>
        <w:t xml:space="preserve"> picture</w:t>
      </w:r>
      <w:r>
        <w:rPr>
          <w:rFonts w:cs="Arial"/>
          <w:bCs/>
          <w:szCs w:val="20"/>
        </w:rPr>
        <w:t xml:space="preserve"> shows the ranking of the importance of all clinical variables and shadow (virtual) variables generated by </w:t>
      </w:r>
      <w:r w:rsidR="00C97FFE">
        <w:rPr>
          <w:rFonts w:cs="Arial"/>
          <w:bCs/>
          <w:szCs w:val="20"/>
        </w:rPr>
        <w:t xml:space="preserve">the </w:t>
      </w:r>
      <w:r>
        <w:rPr>
          <w:rFonts w:cs="Arial"/>
          <w:bCs/>
          <w:szCs w:val="20"/>
        </w:rPr>
        <w:t xml:space="preserve">Boruta method. </w:t>
      </w:r>
      <w:r w:rsidRPr="000471E7">
        <w:rPr>
          <w:rFonts w:cs="Arial"/>
          <w:bCs/>
          <w:szCs w:val="20"/>
        </w:rPr>
        <w:t>The blue box plot represents the importance of shadow variables including minimum, mean, and maximum.</w:t>
      </w:r>
      <w:r>
        <w:rPr>
          <w:rFonts w:cs="Arial"/>
          <w:bCs/>
          <w:szCs w:val="20"/>
        </w:rPr>
        <w:t xml:space="preserve"> </w:t>
      </w:r>
      <w:r w:rsidRPr="000471E7">
        <w:rPr>
          <w:rFonts w:cs="Arial"/>
          <w:bCs/>
          <w:szCs w:val="20"/>
        </w:rPr>
        <w:t>The red, yellow, and green boxplots represent rejected, tentative</w:t>
      </w:r>
      <w:r>
        <w:rPr>
          <w:rFonts w:cs="Arial"/>
          <w:bCs/>
          <w:szCs w:val="20"/>
        </w:rPr>
        <w:t>,</w:t>
      </w:r>
      <w:r w:rsidRPr="000471E7">
        <w:rPr>
          <w:rFonts w:cs="Arial"/>
          <w:bCs/>
          <w:szCs w:val="20"/>
        </w:rPr>
        <w:t xml:space="preserve"> and confirmed </w:t>
      </w:r>
      <w:r w:rsidRPr="00B56145">
        <w:rPr>
          <w:rFonts w:cs="Arial"/>
          <w:bCs/>
          <w:szCs w:val="20"/>
        </w:rPr>
        <w:t>clinical</w:t>
      </w:r>
      <w:r>
        <w:rPr>
          <w:rFonts w:cs="Arial"/>
          <w:bCs/>
          <w:szCs w:val="20"/>
        </w:rPr>
        <w:t xml:space="preserve"> </w:t>
      </w:r>
      <w:r w:rsidRPr="000471E7">
        <w:rPr>
          <w:rFonts w:cs="Arial"/>
          <w:bCs/>
          <w:szCs w:val="20"/>
        </w:rPr>
        <w:t>variables,</w:t>
      </w:r>
      <w:r>
        <w:rPr>
          <w:rFonts w:cs="Arial"/>
          <w:bCs/>
          <w:szCs w:val="20"/>
        </w:rPr>
        <w:t xml:space="preserve"> </w:t>
      </w:r>
      <w:r w:rsidRPr="000471E7">
        <w:rPr>
          <w:rFonts w:cs="Arial"/>
          <w:bCs/>
          <w:szCs w:val="20"/>
        </w:rPr>
        <w:t>respectively.</w:t>
      </w:r>
      <w:r>
        <w:rPr>
          <w:rFonts w:cs="Arial"/>
          <w:bCs/>
          <w:szCs w:val="20"/>
        </w:rPr>
        <w:t xml:space="preserve"> Only confirmed clinical variables were considered to be selected by Boruta. Therefore, </w:t>
      </w:r>
      <w:r>
        <w:rPr>
          <w:rFonts w:hint="eastAsia"/>
          <w:lang w:eastAsia="zh-CN"/>
        </w:rPr>
        <w:t>nine</w:t>
      </w:r>
      <w:r>
        <w:rPr>
          <w:lang w:eastAsia="zh-CN"/>
        </w:rPr>
        <w:t xml:space="preserve"> clinical variables were selected by Boruta.</w:t>
      </w:r>
    </w:p>
    <w:p w14:paraId="4C077F33" w14:textId="77777777" w:rsidR="00203638" w:rsidRDefault="00203638"/>
    <w:sectPr w:rsidR="00203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BC5CE" w14:textId="77777777" w:rsidR="00EA116B" w:rsidRDefault="00EA116B" w:rsidP="004D2187">
      <w:pPr>
        <w:spacing w:line="240" w:lineRule="auto"/>
      </w:pPr>
      <w:r>
        <w:separator/>
      </w:r>
    </w:p>
  </w:endnote>
  <w:endnote w:type="continuationSeparator" w:id="0">
    <w:p w14:paraId="48ED1E38" w14:textId="77777777" w:rsidR="00EA116B" w:rsidRDefault="00EA116B" w:rsidP="004D2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0CE01" w14:textId="77777777" w:rsidR="00EA116B" w:rsidRDefault="00EA116B" w:rsidP="004D2187">
      <w:pPr>
        <w:spacing w:line="240" w:lineRule="auto"/>
      </w:pPr>
      <w:r>
        <w:separator/>
      </w:r>
    </w:p>
  </w:footnote>
  <w:footnote w:type="continuationSeparator" w:id="0">
    <w:p w14:paraId="34699F04" w14:textId="77777777" w:rsidR="00EA116B" w:rsidRDefault="00EA116B" w:rsidP="004D21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MjYzNTM3trC0NDVV0lEKTi0uzszPAykwqgUAZ5rppywAAAA="/>
  </w:docVars>
  <w:rsids>
    <w:rsidRoot w:val="00A675EB"/>
    <w:rsid w:val="00017B7D"/>
    <w:rsid w:val="00142ACA"/>
    <w:rsid w:val="001E7FE5"/>
    <w:rsid w:val="00203638"/>
    <w:rsid w:val="002E3DEF"/>
    <w:rsid w:val="004D2187"/>
    <w:rsid w:val="00622D00"/>
    <w:rsid w:val="00A675EB"/>
    <w:rsid w:val="00B162A2"/>
    <w:rsid w:val="00C97FFE"/>
    <w:rsid w:val="00DE28B8"/>
    <w:rsid w:val="00E0516A"/>
    <w:rsid w:val="00E95E06"/>
    <w:rsid w:val="00EA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9A094"/>
  <w15:chartTrackingRefBased/>
  <w15:docId w15:val="{DDD856FB-756F-4FC5-A262-5D5D612F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187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D21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187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D21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wenhan wu</dc:creator>
  <cp:keywords/>
  <dc:description/>
  <cp:lastModifiedBy>wenhan wu</cp:lastModifiedBy>
  <cp:revision>4</cp:revision>
  <dcterms:created xsi:type="dcterms:W3CDTF">2021-01-27T12:20:00Z</dcterms:created>
  <dcterms:modified xsi:type="dcterms:W3CDTF">2021-01-27T13:18:00Z</dcterms:modified>
</cp:coreProperties>
</file>