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D135" w14:textId="0D50612B" w:rsidR="00F030C3" w:rsidRPr="00F030C3" w:rsidRDefault="00F030C3">
      <w:pPr>
        <w:rPr>
          <w:rFonts w:ascii="Times New Roman" w:hAnsi="Times New Roman" w:cs="Times New Roman"/>
          <w:b/>
          <w:bCs/>
          <w:noProof/>
        </w:rPr>
      </w:pPr>
      <w:r w:rsidRPr="00F030C3">
        <w:rPr>
          <w:rFonts w:ascii="Times New Roman" w:hAnsi="Times New Roman" w:cs="Times New Roman"/>
          <w:b/>
          <w:bCs/>
        </w:rPr>
        <w:t>Supplement Figure</w:t>
      </w:r>
    </w:p>
    <w:p w14:paraId="1B63FBD8" w14:textId="78A12BBB" w:rsidR="008D1FB1" w:rsidRPr="00F030C3" w:rsidRDefault="00572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179028" wp14:editId="50599A4B">
            <wp:extent cx="5105400" cy="5573395"/>
            <wp:effectExtent l="0" t="0" r="0" b="825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938" cy="55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16BF" w14:textId="1B7B77E7" w:rsidR="00F030C3" w:rsidRPr="00F030C3" w:rsidRDefault="00F030C3">
      <w:pPr>
        <w:rPr>
          <w:rFonts w:ascii="Times New Roman" w:hAnsi="Times New Roman" w:cs="Times New Roman"/>
        </w:rPr>
      </w:pPr>
    </w:p>
    <w:p w14:paraId="6AB39C93" w14:textId="048E6701" w:rsidR="00F030C3" w:rsidRPr="00F030C3" w:rsidRDefault="00F030C3" w:rsidP="00F030C3">
      <w:pPr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030C3">
        <w:rPr>
          <w:rFonts w:ascii="Times New Roman" w:hAnsi="Times New Roman" w:cs="Times New Roman"/>
          <w:b/>
          <w:bCs/>
        </w:rPr>
        <w:t>Figure legends</w:t>
      </w:r>
    </w:p>
    <w:p w14:paraId="5858D439" w14:textId="0E11D71B" w:rsidR="00F030C3" w:rsidRPr="00F030C3" w:rsidRDefault="00F030C3" w:rsidP="00F030C3">
      <w:pPr>
        <w:snapToGrid w:val="0"/>
        <w:spacing w:line="480" w:lineRule="auto"/>
        <w:jc w:val="both"/>
        <w:rPr>
          <w:rFonts w:ascii="Times New Roman" w:hAnsi="Times New Roman" w:cs="Times New Roman"/>
        </w:rPr>
      </w:pPr>
      <w:r w:rsidRPr="00F030C3">
        <w:rPr>
          <w:rFonts w:ascii="Times New Roman" w:hAnsi="Times New Roman" w:cs="Times New Roman"/>
        </w:rPr>
        <w:t>Progression-free survival in the radiotherapy-treatment group following an EGFR-TKI to radiotherapy interval few or more than 24 weeks. TKI, tyrosine kinase inhibitor; RT, radiotherapy; CI, confidence interval; NR, not reached</w:t>
      </w:r>
    </w:p>
    <w:sectPr w:rsidR="00F030C3" w:rsidRPr="00F03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C3"/>
    <w:rsid w:val="005725D3"/>
    <w:rsid w:val="008D1FB1"/>
    <w:rsid w:val="00CB6D40"/>
    <w:rsid w:val="00D33B77"/>
    <w:rsid w:val="00F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75B7"/>
  <w15:chartTrackingRefBased/>
  <w15:docId w15:val="{B2F1769F-EB51-4EFA-9010-1322E5C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國軒 徐</dc:creator>
  <cp:keywords/>
  <dc:description/>
  <cp:lastModifiedBy>Lawrence, Shani</cp:lastModifiedBy>
  <cp:revision>3</cp:revision>
  <dcterms:created xsi:type="dcterms:W3CDTF">2021-02-20T11:44:00Z</dcterms:created>
  <dcterms:modified xsi:type="dcterms:W3CDTF">2021-03-09T01:54:00Z</dcterms:modified>
</cp:coreProperties>
</file>