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AC" w:rsidRPr="001E186C" w:rsidRDefault="00550CAC" w:rsidP="00550CAC">
      <w:pPr>
        <w:rPr>
          <w:rFonts w:cs="Arial" w:hint="eastAsia"/>
          <w:bCs/>
          <w:szCs w:val="20"/>
          <w:lang w:eastAsia="ja-JP"/>
        </w:rPr>
      </w:pPr>
      <w:r w:rsidRPr="001E186C">
        <w:rPr>
          <w:rFonts w:cs="Arial" w:hint="eastAsia"/>
          <w:b/>
          <w:bCs/>
          <w:szCs w:val="20"/>
          <w:lang w:eastAsia="ja-JP"/>
        </w:rPr>
        <w:t>S</w:t>
      </w:r>
      <w:r w:rsidRPr="001E186C">
        <w:rPr>
          <w:rFonts w:cs="Arial"/>
          <w:b/>
          <w:bCs/>
          <w:szCs w:val="20"/>
          <w:lang w:eastAsia="ja-JP"/>
        </w:rPr>
        <w:t>upplemental Table 1.</w:t>
      </w:r>
      <w:r w:rsidRPr="001E186C">
        <w:rPr>
          <w:rFonts w:cs="Arial"/>
          <w:bCs/>
          <w:szCs w:val="20"/>
          <w:lang w:eastAsia="ja-JP"/>
        </w:rPr>
        <w:t xml:space="preserve"> </w:t>
      </w:r>
      <w:r w:rsidRPr="001E186C">
        <w:rPr>
          <w:rFonts w:eastAsia="游ゴシック" w:cs="Arial"/>
          <w:b/>
          <w:color w:val="000000"/>
          <w:szCs w:val="20"/>
        </w:rPr>
        <w:t>Characteristics of laboratory parameters by weight gain after 20 years of age.</w:t>
      </w:r>
      <w:r w:rsidRPr="001E186C">
        <w:rPr>
          <w:rFonts w:cs="Arial"/>
          <w:bCs/>
          <w:szCs w:val="20"/>
          <w:lang w:eastAsia="ja-JP"/>
        </w:rPr>
        <w:t xml:space="preserve"> 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1872"/>
        <w:gridCol w:w="855"/>
      </w:tblGrid>
      <w:tr w:rsidR="00550CAC" w:rsidRPr="001E186C" w:rsidTr="00550CAC">
        <w:trPr>
          <w:trHeight w:hRule="exact" w:val="542"/>
        </w:trPr>
        <w:tc>
          <w:tcPr>
            <w:tcW w:w="3652" w:type="dxa"/>
            <w:shd w:val="clear" w:color="auto" w:fill="auto"/>
            <w:noWrap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</w:p>
        </w:tc>
        <w:tc>
          <w:tcPr>
            <w:tcW w:w="3998" w:type="dxa"/>
            <w:gridSpan w:val="2"/>
            <w:shd w:val="clear" w:color="auto" w:fill="auto"/>
            <w:noWrap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  <w:r w:rsidRPr="001E186C">
              <w:rPr>
                <w:rFonts w:eastAsia="游ゴシック" w:cs="Arial"/>
                <w:iCs/>
                <w:color w:val="000000"/>
                <w:szCs w:val="20"/>
              </w:rPr>
              <w:t>Weight gain after 20 years of age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  <w:r w:rsidRPr="001E186C">
              <w:rPr>
                <w:rFonts w:eastAsia="游ゴシック" w:cs="Arial"/>
                <w:iCs/>
                <w:color w:val="000000"/>
                <w:szCs w:val="20"/>
              </w:rPr>
              <w:t>P value</w:t>
            </w:r>
            <w:r w:rsidRPr="001E186C">
              <w:rPr>
                <w:rFonts w:eastAsia="游ゴシック" w:cs="Arial"/>
                <w:b/>
                <w:bCs/>
                <w:iCs/>
                <w:color w:val="000000"/>
                <w:szCs w:val="20"/>
              </w:rPr>
              <w:t>*</w:t>
            </w:r>
          </w:p>
        </w:tc>
      </w:tr>
      <w:tr w:rsidR="00550CAC" w:rsidRPr="001E186C" w:rsidTr="00550CAC">
        <w:trPr>
          <w:trHeight w:hRule="exact" w:val="1002"/>
        </w:trPr>
        <w:tc>
          <w:tcPr>
            <w:tcW w:w="3652" w:type="dxa"/>
            <w:shd w:val="clear" w:color="auto" w:fill="auto"/>
            <w:noWrap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50CAC" w:rsidRPr="001E186C" w:rsidRDefault="00550CAC" w:rsidP="00717AC8">
            <w:pPr>
              <w:spacing w:line="360" w:lineRule="auto"/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  <w:r w:rsidRPr="001E186C">
              <w:rPr>
                <w:rFonts w:eastAsia="游ゴシック" w:cs="Arial"/>
                <w:iCs/>
                <w:color w:val="000000"/>
                <w:szCs w:val="20"/>
              </w:rPr>
              <w:t>&lt;10kg</w:t>
            </w:r>
          </w:p>
          <w:p w:rsidR="00550CAC" w:rsidRPr="001E186C" w:rsidRDefault="00550CAC" w:rsidP="00717AC8">
            <w:pPr>
              <w:spacing w:line="360" w:lineRule="auto"/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  <w:r w:rsidRPr="001E186C">
              <w:rPr>
                <w:rFonts w:eastAsia="游ゴシック" w:cs="Arial"/>
                <w:iCs/>
                <w:color w:val="000000"/>
                <w:szCs w:val="20"/>
              </w:rPr>
              <w:t>(n=3601)</w:t>
            </w:r>
          </w:p>
          <w:p w:rsidR="00550CAC" w:rsidRPr="001E186C" w:rsidRDefault="00550CAC" w:rsidP="00717AC8">
            <w:pPr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</w:p>
          <w:p w:rsidR="00550CAC" w:rsidRPr="001E186C" w:rsidRDefault="00550CAC" w:rsidP="00717AC8">
            <w:pPr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spacing w:line="360" w:lineRule="auto"/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 xml:space="preserve">≥ </w:t>
            </w:r>
            <w:r w:rsidRPr="001E186C">
              <w:rPr>
                <w:rFonts w:eastAsia="游ゴシック" w:cs="Arial"/>
                <w:iCs/>
                <w:color w:val="000000"/>
                <w:szCs w:val="20"/>
              </w:rPr>
              <w:t>10kg</w:t>
            </w:r>
          </w:p>
          <w:p w:rsidR="00550CAC" w:rsidRPr="001E186C" w:rsidRDefault="00550CAC" w:rsidP="00717AC8">
            <w:pPr>
              <w:spacing w:line="360" w:lineRule="auto"/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  <w:r w:rsidRPr="001E186C">
              <w:rPr>
                <w:rFonts w:eastAsia="游ゴシック" w:cs="Arial"/>
                <w:iCs/>
                <w:color w:val="000000"/>
                <w:szCs w:val="20"/>
              </w:rPr>
              <w:t>(n=3601)</w:t>
            </w:r>
          </w:p>
          <w:p w:rsidR="00550CAC" w:rsidRPr="001E186C" w:rsidRDefault="00550CAC" w:rsidP="00717AC8">
            <w:pPr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iCs/>
                <w:color w:val="000000"/>
                <w:szCs w:val="20"/>
              </w:rPr>
            </w:pP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Plasma glucose (mg/dL)</w:t>
            </w:r>
          </w:p>
        </w:tc>
        <w:tc>
          <w:tcPr>
            <w:tcW w:w="2126" w:type="dxa"/>
            <w:shd w:val="clear" w:color="auto" w:fill="auto"/>
            <w:noWrap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99.0 (90.0-112.0)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99.0 (91.0-113)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0.179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HbA1c (%)</w:t>
            </w:r>
          </w:p>
        </w:tc>
        <w:tc>
          <w:tcPr>
            <w:tcW w:w="2126" w:type="dxa"/>
            <w:shd w:val="clear" w:color="auto" w:fill="auto"/>
            <w:noWrap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5.6 (5.4-6.0)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5.7 (5.4-6.0)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</w:tcPr>
          <w:p w:rsidR="00550CAC" w:rsidRPr="001E186C" w:rsidRDefault="00550CAC" w:rsidP="00717AC8">
            <w:pPr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T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otal cholesterol (mg/dL)</w:t>
            </w:r>
          </w:p>
        </w:tc>
        <w:tc>
          <w:tcPr>
            <w:tcW w:w="2126" w:type="dxa"/>
            <w:shd w:val="clear" w:color="auto" w:fill="auto"/>
            <w:noWrap/>
          </w:tcPr>
          <w:p w:rsidR="00550CAC" w:rsidRPr="001E186C" w:rsidRDefault="00550CAC" w:rsidP="00717AC8">
            <w:pPr>
              <w:jc w:val="center"/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2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05 (183-228)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2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06 (186-229)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0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.082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Triglycerides (mg/dL)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120 (84-170)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132 (93-192)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  <w:bookmarkStart w:id="0" w:name="_GoBack"/>
        <w:bookmarkEnd w:id="0"/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HDL-C (mg/dL)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58.0 (49.0-69.0)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56.0 (47.0-66.0)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LDL-C (mg/dL)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120 (102-140)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122 (103-142)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0.004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AST (U/L)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24.0 (20.0-29.0)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24.0 (20.0-29.0)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0.022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ALT (U/L)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21.0 (16.0-28.0)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23.0 (17.0-32.0)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GGT (U/L)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26.0 (18.0-43.0)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29.0 (20.0-51.0)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</w:tcPr>
          <w:p w:rsidR="00550CAC" w:rsidRPr="001E186C" w:rsidRDefault="00550CAC" w:rsidP="00717AC8">
            <w:pPr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B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UN  (mg/dL)</w:t>
            </w:r>
          </w:p>
        </w:tc>
        <w:tc>
          <w:tcPr>
            <w:tcW w:w="2126" w:type="dxa"/>
            <w:shd w:val="clear" w:color="auto" w:fill="auto"/>
            <w:noWrap/>
          </w:tcPr>
          <w:p w:rsidR="00550CAC" w:rsidRPr="001E186C" w:rsidRDefault="00550CAC" w:rsidP="00717AC8">
            <w:pPr>
              <w:jc w:val="center"/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1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5.0 (13.0-18.0)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1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5.0 (12.0-17.0)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 w:hint="eastAsia"/>
                <w:color w:val="000000"/>
                <w:szCs w:val="20"/>
                <w:lang w:eastAsia="ja-JP"/>
              </w:rPr>
            </w:pPr>
            <w:r w:rsidRPr="001E186C">
              <w:rPr>
                <w:rFonts w:eastAsia="游ゴシック" w:cs="Arial" w:hint="eastAsia"/>
                <w:color w:val="000000"/>
                <w:szCs w:val="20"/>
                <w:lang w:eastAsia="ja-JP"/>
              </w:rPr>
              <w:t>&lt;</w:t>
            </w:r>
            <w:r w:rsidRPr="001E186C">
              <w:rPr>
                <w:rFonts w:eastAsia="游ゴシック" w:cs="Arial"/>
                <w:color w:val="000000"/>
                <w:szCs w:val="20"/>
                <w:lang w:eastAsia="ja-JP"/>
              </w:rPr>
              <w:t>0.001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Cr (mg/dL)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0.67 (0.57-0.80)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0.67 (0.57-0.79)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0.486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eGFR (ml/min/ 1.73 m2)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80.0 (69.7-90.1)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78.7 (68.7-89.5)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0.034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UA (mg/dL)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5.1 (4.4-6.1)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5.3 (4.5-6.2)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</w:tr>
      <w:tr w:rsidR="00550CAC" w:rsidRPr="001E186C" w:rsidTr="00550CAC">
        <w:trPr>
          <w:trHeight w:val="561"/>
        </w:trPr>
        <w:tc>
          <w:tcPr>
            <w:tcW w:w="3652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lastRenderedPageBreak/>
              <w:t>Glycated albumin (%)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14.5 (13.6-15.5)</w:t>
            </w:r>
          </w:p>
        </w:tc>
        <w:tc>
          <w:tcPr>
            <w:tcW w:w="1872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14.3 (13.5-15.4)</w:t>
            </w:r>
          </w:p>
        </w:tc>
        <w:tc>
          <w:tcPr>
            <w:tcW w:w="855" w:type="dxa"/>
            <w:shd w:val="clear" w:color="auto" w:fill="auto"/>
          </w:tcPr>
          <w:p w:rsidR="00550CAC" w:rsidRPr="001E186C" w:rsidRDefault="00550CAC" w:rsidP="00717AC8">
            <w:pPr>
              <w:jc w:val="center"/>
              <w:rPr>
                <w:rFonts w:eastAsia="游ゴシック" w:cs="Arial"/>
                <w:color w:val="000000"/>
                <w:szCs w:val="20"/>
              </w:rPr>
            </w:pPr>
            <w:r w:rsidRPr="001E186C">
              <w:rPr>
                <w:rFonts w:eastAsia="游ゴシック" w:cs="Arial"/>
                <w:color w:val="000000"/>
                <w:szCs w:val="20"/>
              </w:rPr>
              <w:t>&lt;0.001</w:t>
            </w:r>
          </w:p>
        </w:tc>
      </w:tr>
    </w:tbl>
    <w:p w:rsidR="00550CAC" w:rsidRPr="001E186C" w:rsidRDefault="00550CAC" w:rsidP="00550CAC">
      <w:pPr>
        <w:widowControl w:val="0"/>
        <w:rPr>
          <w:rFonts w:eastAsia="游ゴシック" w:cs="Arial"/>
          <w:color w:val="000000"/>
          <w:szCs w:val="20"/>
        </w:rPr>
      </w:pPr>
      <w:r w:rsidRPr="001E186C">
        <w:rPr>
          <w:rFonts w:cs="Arial"/>
          <w:b/>
          <w:szCs w:val="20"/>
        </w:rPr>
        <w:t>Notes:</w:t>
      </w:r>
      <w:r w:rsidRPr="001E186C">
        <w:rPr>
          <w:rFonts w:cs="Arial"/>
          <w:szCs w:val="20"/>
        </w:rPr>
        <w:t xml:space="preserve"> </w:t>
      </w:r>
      <w:r w:rsidRPr="001E186C">
        <w:rPr>
          <w:rFonts w:cs="Arial" w:hint="eastAsia"/>
          <w:szCs w:val="20"/>
          <w:lang w:eastAsia="ja-JP"/>
        </w:rPr>
        <w:t>*</w:t>
      </w:r>
      <w:r w:rsidRPr="001E186C">
        <w:rPr>
          <w:rFonts w:eastAsia="游ゴシック" w:cs="Arial"/>
          <w:color w:val="000000"/>
          <w:szCs w:val="20"/>
        </w:rPr>
        <w:t>, Mann-Whitney U-test. Median values are shown (25th percentile-75th percentiles).</w:t>
      </w:r>
    </w:p>
    <w:p w:rsidR="00550CAC" w:rsidRPr="001E186C" w:rsidRDefault="00550CAC" w:rsidP="00550CAC">
      <w:pPr>
        <w:rPr>
          <w:rFonts w:eastAsia="游ゴシック" w:cs="Arial"/>
          <w:color w:val="000000"/>
          <w:szCs w:val="20"/>
        </w:rPr>
      </w:pPr>
      <w:r w:rsidRPr="001E186C">
        <w:rPr>
          <w:rFonts w:cs="Arial"/>
          <w:b/>
          <w:szCs w:val="20"/>
        </w:rPr>
        <w:t>Abbreviations:</w:t>
      </w:r>
      <w:r w:rsidRPr="001E186C">
        <w:rPr>
          <w:rFonts w:cs="Arial"/>
          <w:szCs w:val="20"/>
        </w:rPr>
        <w:t xml:space="preserve"> </w:t>
      </w:r>
      <w:r w:rsidRPr="001E186C">
        <w:rPr>
          <w:rFonts w:eastAsia="游ゴシック" w:cs="Arial"/>
          <w:color w:val="000000"/>
          <w:szCs w:val="20"/>
        </w:rPr>
        <w:t>HDL-C, high-density lipoprotein cholesterol; LDL-C, low-density lipoprotein cholesterol; AST, aspartate aminotransferase; ALT, alanine aminotransferase; GGT, gamma-glutamyl transferase; UA, uric acid; eGFR, estimated glomerular filtration rate.</w:t>
      </w:r>
    </w:p>
    <w:p w:rsidR="002419B7" w:rsidRDefault="002419B7"/>
    <w:sectPr w:rsidR="002419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AC"/>
    <w:rsid w:val="002419B7"/>
    <w:rsid w:val="0055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2BABE-F17B-4A92-95E2-011BD87D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AC"/>
    <w:pPr>
      <w:spacing w:line="480" w:lineRule="auto"/>
    </w:pPr>
    <w:rPr>
      <w:rFonts w:ascii="Arial" w:eastAsia="游明朝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50CAC"/>
    <w:rPr>
      <w:sz w:val="16"/>
      <w:szCs w:val="16"/>
    </w:rPr>
  </w:style>
  <w:style w:type="paragraph" w:styleId="a4">
    <w:name w:val="annotation text"/>
    <w:basedOn w:val="a"/>
    <w:link w:val="a5"/>
    <w:semiHidden/>
    <w:rsid w:val="00550CAC"/>
    <w:rPr>
      <w:szCs w:val="20"/>
    </w:rPr>
  </w:style>
  <w:style w:type="character" w:customStyle="1" w:styleId="a5">
    <w:name w:val="コメント文字列 (文字)"/>
    <w:basedOn w:val="a0"/>
    <w:link w:val="a4"/>
    <w:semiHidden/>
    <w:rsid w:val="00550CAC"/>
    <w:rPr>
      <w:rFonts w:ascii="Arial" w:eastAsia="游明朝" w:hAnsi="Arial" w:cs="Times New Roman"/>
      <w:kern w:val="0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50C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0CA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2021-03-09T08:27:00Z</dcterms:created>
  <dcterms:modified xsi:type="dcterms:W3CDTF">2021-03-09T08:29:00Z</dcterms:modified>
</cp:coreProperties>
</file>