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30817" w14:textId="77777777" w:rsidR="007510FD" w:rsidRPr="00994050" w:rsidRDefault="007510FD" w:rsidP="007510FD">
      <w:pPr>
        <w:spacing w:line="480" w:lineRule="auto"/>
        <w:rPr>
          <w:rFonts w:ascii="Times New Roman" w:hAnsi="Times New Roman"/>
          <w:b/>
          <w:bCs/>
          <w:color w:val="000000" w:themeColor="text1"/>
          <w:szCs w:val="28"/>
        </w:rPr>
      </w:pPr>
      <w:r w:rsidRPr="00994050">
        <w:rPr>
          <w:rFonts w:ascii="Times New Roman" w:hAnsi="Times New Roman"/>
          <w:color w:val="000000" w:themeColor="text1"/>
          <w:szCs w:val="28"/>
        </w:rPr>
        <w:t xml:space="preserve">Supplementary Table 1. Analysis of the correlation between the grade of MMP-9 and DED parameters (SANDE, TBUT, and OSS) in MMP-9 positive subjects at first visit. </w:t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134"/>
        <w:gridCol w:w="3062"/>
      </w:tblGrid>
      <w:tr w:rsidR="007D0E10" w:rsidRPr="007D0E10" w14:paraId="6852D645" w14:textId="77777777" w:rsidTr="00440304">
        <w:tc>
          <w:tcPr>
            <w:tcW w:w="4820" w:type="dxa"/>
            <w:tcBorders>
              <w:top w:val="single" w:sz="18" w:space="0" w:color="auto"/>
              <w:bottom w:val="single" w:sz="2" w:space="0" w:color="auto"/>
            </w:tcBorders>
          </w:tcPr>
          <w:p w14:paraId="2BDA3C37" w14:textId="77777777" w:rsidR="007510FD" w:rsidRPr="007D0E10" w:rsidRDefault="007510FD" w:rsidP="00440304">
            <w:pPr>
              <w:spacing w:line="480" w:lineRule="auto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2" w:space="0" w:color="auto"/>
            </w:tcBorders>
          </w:tcPr>
          <w:p w14:paraId="6E44C5FF" w14:textId="77777777" w:rsidR="007510FD" w:rsidRPr="007B59B9" w:rsidRDefault="007510FD" w:rsidP="00440304">
            <w:pPr>
              <w:spacing w:line="48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</w:pPr>
            <w:r w:rsidRPr="007B59B9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18"/>
              </w:rPr>
              <w:t>R</w:t>
            </w:r>
          </w:p>
        </w:tc>
        <w:tc>
          <w:tcPr>
            <w:tcW w:w="3062" w:type="dxa"/>
            <w:tcBorders>
              <w:top w:val="single" w:sz="18" w:space="0" w:color="auto"/>
              <w:bottom w:val="single" w:sz="2" w:space="0" w:color="auto"/>
            </w:tcBorders>
          </w:tcPr>
          <w:p w14:paraId="5F6CB46E" w14:textId="77777777" w:rsidR="007510FD" w:rsidRPr="007B59B9" w:rsidRDefault="007510FD" w:rsidP="00440304">
            <w:pPr>
              <w:spacing w:line="48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</w:pPr>
            <w:r w:rsidRPr="007B59B9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18"/>
              </w:rPr>
              <w:t>P</w:t>
            </w:r>
            <w:r w:rsidRPr="007B59B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  <w:t xml:space="preserve"> value</w:t>
            </w:r>
            <w:r w:rsidRPr="007B59B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  <w:vertAlign w:val="superscript"/>
              </w:rPr>
              <w:t>*</w:t>
            </w:r>
          </w:p>
        </w:tc>
      </w:tr>
      <w:tr w:rsidR="007D0E10" w:rsidRPr="007D0E10" w14:paraId="437F2A48" w14:textId="77777777" w:rsidTr="00440304">
        <w:tc>
          <w:tcPr>
            <w:tcW w:w="4820" w:type="dxa"/>
            <w:tcBorders>
              <w:top w:val="single" w:sz="2" w:space="0" w:color="auto"/>
            </w:tcBorders>
          </w:tcPr>
          <w:p w14:paraId="4CF30E00" w14:textId="77777777" w:rsidR="007510FD" w:rsidRPr="007B59B9" w:rsidRDefault="007510FD" w:rsidP="00440304">
            <w:pPr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</w:pPr>
            <w:r w:rsidRPr="007B59B9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18"/>
              </w:rPr>
              <w:t>S</w:t>
            </w:r>
            <w:r w:rsidRPr="007B59B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  <w:t>ANDE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236CF649" w14:textId="3D28ED4A" w:rsidR="007510FD" w:rsidRPr="007D0E10" w:rsidRDefault="007510FD" w:rsidP="00440304">
            <w:pPr>
              <w:spacing w:line="48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7D0E10">
              <w:rPr>
                <w:rFonts w:ascii="Times New Roman" w:hAnsi="Times New Roman" w:hint="eastAsia"/>
                <w:color w:val="000000" w:themeColor="text1"/>
                <w:sz w:val="22"/>
                <w:szCs w:val="18"/>
              </w:rPr>
              <w:t>0</w:t>
            </w:r>
            <w:r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.0</w:t>
            </w:r>
            <w:r w:rsidR="00D104AA"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61</w:t>
            </w:r>
          </w:p>
        </w:tc>
        <w:tc>
          <w:tcPr>
            <w:tcW w:w="3062" w:type="dxa"/>
            <w:tcBorders>
              <w:top w:val="single" w:sz="2" w:space="0" w:color="auto"/>
            </w:tcBorders>
          </w:tcPr>
          <w:p w14:paraId="263111A8" w14:textId="70225151" w:rsidR="007510FD" w:rsidRPr="007D0E10" w:rsidRDefault="007510FD" w:rsidP="00440304">
            <w:pPr>
              <w:spacing w:line="48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7D0E10">
              <w:rPr>
                <w:rFonts w:ascii="Times New Roman" w:hAnsi="Times New Roman" w:hint="eastAsia"/>
                <w:color w:val="000000" w:themeColor="text1"/>
                <w:sz w:val="22"/>
                <w:szCs w:val="18"/>
              </w:rPr>
              <w:t>0</w:t>
            </w:r>
            <w:r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.5</w:t>
            </w:r>
            <w:r w:rsidR="00D104AA"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48</w:t>
            </w:r>
          </w:p>
        </w:tc>
      </w:tr>
      <w:tr w:rsidR="007D0E10" w:rsidRPr="007D0E10" w14:paraId="6C00BD06" w14:textId="77777777" w:rsidTr="00440304">
        <w:tc>
          <w:tcPr>
            <w:tcW w:w="4820" w:type="dxa"/>
          </w:tcPr>
          <w:p w14:paraId="0085D43E" w14:textId="77777777" w:rsidR="007510FD" w:rsidRPr="007B59B9" w:rsidRDefault="007510FD" w:rsidP="00440304">
            <w:pPr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</w:pPr>
            <w:r w:rsidRPr="007B59B9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18"/>
              </w:rPr>
              <w:t>T</w:t>
            </w:r>
            <w:r w:rsidRPr="007B59B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  <w:t>BUT</w:t>
            </w:r>
          </w:p>
        </w:tc>
        <w:tc>
          <w:tcPr>
            <w:tcW w:w="1134" w:type="dxa"/>
          </w:tcPr>
          <w:p w14:paraId="292BF7F6" w14:textId="3F0964D4" w:rsidR="007510FD" w:rsidRPr="007D0E10" w:rsidRDefault="007510FD" w:rsidP="00440304">
            <w:pPr>
              <w:spacing w:line="48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7D0E10">
              <w:rPr>
                <w:rFonts w:ascii="Times New Roman" w:hAnsi="Times New Roman" w:hint="eastAsia"/>
                <w:color w:val="000000" w:themeColor="text1"/>
                <w:sz w:val="22"/>
                <w:szCs w:val="18"/>
              </w:rPr>
              <w:t>-</w:t>
            </w:r>
            <w:r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0.0</w:t>
            </w:r>
            <w:r w:rsidR="00D104AA"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13</w:t>
            </w:r>
          </w:p>
        </w:tc>
        <w:tc>
          <w:tcPr>
            <w:tcW w:w="3062" w:type="dxa"/>
          </w:tcPr>
          <w:p w14:paraId="16D45D01" w14:textId="7AEF94F8" w:rsidR="007510FD" w:rsidRPr="007D0E10" w:rsidRDefault="007510FD" w:rsidP="00440304">
            <w:pPr>
              <w:spacing w:line="48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7D0E10">
              <w:rPr>
                <w:rFonts w:ascii="Times New Roman" w:hAnsi="Times New Roman" w:hint="eastAsia"/>
                <w:color w:val="000000" w:themeColor="text1"/>
                <w:sz w:val="22"/>
                <w:szCs w:val="18"/>
              </w:rPr>
              <w:t>0</w:t>
            </w:r>
            <w:r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.</w:t>
            </w:r>
            <w:r w:rsidR="00D104AA"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897</w:t>
            </w:r>
          </w:p>
        </w:tc>
      </w:tr>
      <w:tr w:rsidR="007D0E10" w:rsidRPr="007D0E10" w14:paraId="4079DD81" w14:textId="77777777" w:rsidTr="00440304">
        <w:tc>
          <w:tcPr>
            <w:tcW w:w="4820" w:type="dxa"/>
          </w:tcPr>
          <w:p w14:paraId="73608693" w14:textId="77777777" w:rsidR="007510FD" w:rsidRPr="007B59B9" w:rsidRDefault="007510FD" w:rsidP="00440304">
            <w:pPr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</w:pPr>
            <w:r w:rsidRPr="007B59B9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18"/>
              </w:rPr>
              <w:t>O</w:t>
            </w:r>
            <w:r w:rsidRPr="007B59B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  <w:t>SS</w:t>
            </w:r>
          </w:p>
        </w:tc>
        <w:tc>
          <w:tcPr>
            <w:tcW w:w="1134" w:type="dxa"/>
          </w:tcPr>
          <w:p w14:paraId="5917B381" w14:textId="176283B5" w:rsidR="007510FD" w:rsidRPr="007D0E10" w:rsidRDefault="007510FD" w:rsidP="00440304">
            <w:pPr>
              <w:spacing w:line="48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7D0E10">
              <w:rPr>
                <w:rFonts w:ascii="Times New Roman" w:hAnsi="Times New Roman" w:hint="eastAsia"/>
                <w:color w:val="000000" w:themeColor="text1"/>
                <w:sz w:val="22"/>
                <w:szCs w:val="18"/>
              </w:rPr>
              <w:t>0</w:t>
            </w:r>
            <w:r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.3</w:t>
            </w:r>
            <w:r w:rsidR="00D104AA"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5</w:t>
            </w:r>
            <w:r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5</w:t>
            </w:r>
          </w:p>
        </w:tc>
        <w:tc>
          <w:tcPr>
            <w:tcW w:w="3062" w:type="dxa"/>
          </w:tcPr>
          <w:p w14:paraId="7D4E50AC" w14:textId="4948145C" w:rsidR="007510FD" w:rsidRPr="007D0E10" w:rsidRDefault="00D104AA" w:rsidP="00440304">
            <w:pPr>
              <w:spacing w:line="48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7D0E10">
              <w:rPr>
                <w:rFonts w:ascii="Times New Roman" w:hAnsi="Times New Roman" w:hint="eastAsia"/>
                <w:color w:val="000000" w:themeColor="text1"/>
                <w:sz w:val="22"/>
                <w:szCs w:val="18"/>
              </w:rPr>
              <w:t>&lt;</w:t>
            </w:r>
            <w:r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0.001</w:t>
            </w:r>
          </w:p>
        </w:tc>
      </w:tr>
      <w:tr w:rsidR="007D0E10" w:rsidRPr="007D0E10" w14:paraId="58F2935E" w14:textId="77777777" w:rsidTr="00440304">
        <w:tc>
          <w:tcPr>
            <w:tcW w:w="4820" w:type="dxa"/>
          </w:tcPr>
          <w:p w14:paraId="1E3383FE" w14:textId="77777777" w:rsidR="007510FD" w:rsidRPr="007B59B9" w:rsidRDefault="007510FD" w:rsidP="00440304">
            <w:pPr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</w:pPr>
            <w:r w:rsidRPr="007B59B9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18"/>
              </w:rPr>
              <w:t>M</w:t>
            </w:r>
            <w:r w:rsidRPr="007B59B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18"/>
              </w:rPr>
              <w:t>GD stage</w:t>
            </w:r>
          </w:p>
        </w:tc>
        <w:tc>
          <w:tcPr>
            <w:tcW w:w="1134" w:type="dxa"/>
          </w:tcPr>
          <w:p w14:paraId="395B70DB" w14:textId="57537DD1" w:rsidR="007510FD" w:rsidRPr="007D0E10" w:rsidRDefault="007510FD" w:rsidP="00440304">
            <w:pPr>
              <w:spacing w:line="48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7D0E10">
              <w:rPr>
                <w:rFonts w:ascii="Times New Roman" w:hAnsi="Times New Roman" w:hint="eastAsia"/>
                <w:color w:val="000000" w:themeColor="text1"/>
                <w:sz w:val="22"/>
                <w:szCs w:val="18"/>
              </w:rPr>
              <w:t>-</w:t>
            </w:r>
            <w:r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0.</w:t>
            </w:r>
            <w:r w:rsidR="00D104AA"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027</w:t>
            </w:r>
          </w:p>
        </w:tc>
        <w:tc>
          <w:tcPr>
            <w:tcW w:w="3062" w:type="dxa"/>
          </w:tcPr>
          <w:p w14:paraId="04054346" w14:textId="18A948A5" w:rsidR="007510FD" w:rsidRPr="007D0E10" w:rsidRDefault="007510FD" w:rsidP="00440304">
            <w:pPr>
              <w:spacing w:line="48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18"/>
              </w:rPr>
            </w:pPr>
            <w:r w:rsidRPr="007D0E10">
              <w:rPr>
                <w:rFonts w:ascii="Times New Roman" w:hAnsi="Times New Roman" w:hint="eastAsia"/>
                <w:color w:val="000000" w:themeColor="text1"/>
                <w:sz w:val="22"/>
                <w:szCs w:val="18"/>
              </w:rPr>
              <w:t>0</w:t>
            </w:r>
            <w:r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.</w:t>
            </w:r>
            <w:r w:rsidR="00D104AA" w:rsidRPr="007D0E10">
              <w:rPr>
                <w:rFonts w:ascii="Times New Roman" w:hAnsi="Times New Roman"/>
                <w:color w:val="000000" w:themeColor="text1"/>
                <w:sz w:val="22"/>
                <w:szCs w:val="18"/>
              </w:rPr>
              <w:t>793</w:t>
            </w:r>
          </w:p>
        </w:tc>
      </w:tr>
    </w:tbl>
    <w:p w14:paraId="6D0C6D2A" w14:textId="77777777" w:rsidR="007510FD" w:rsidRPr="007D0E10" w:rsidRDefault="007510FD" w:rsidP="007510FD">
      <w:pPr>
        <w:spacing w:line="480" w:lineRule="auto"/>
        <w:rPr>
          <w:rFonts w:ascii="Times New Roman" w:hAnsi="Times New Roman"/>
          <w:color w:val="000000" w:themeColor="text1"/>
          <w:sz w:val="22"/>
          <w:szCs w:val="18"/>
        </w:rPr>
      </w:pPr>
      <w:r w:rsidRPr="007D0E10">
        <w:rPr>
          <w:rFonts w:ascii="Times New Roman" w:hAnsi="Times New Roman"/>
          <w:color w:val="000000" w:themeColor="text1"/>
          <w:sz w:val="22"/>
          <w:szCs w:val="18"/>
        </w:rPr>
        <w:t>DED: dry eye disease; SANDE: symptom assessment in dry eye; TBUT: tear film breakup time; OSS: ocular staining score; MGD: meibomian gland dysfunction. *Pearson correlation analysis.</w:t>
      </w:r>
    </w:p>
    <w:p w14:paraId="5D463B33" w14:textId="68C02AFE" w:rsidR="003E21C2" w:rsidRDefault="003E21C2"/>
    <w:p w14:paraId="2F3E3A20" w14:textId="0148AE07" w:rsidR="002B2296" w:rsidRDefault="002B2296"/>
    <w:p w14:paraId="5C48F232" w14:textId="75805615" w:rsidR="002B2296" w:rsidRDefault="002B2296"/>
    <w:p w14:paraId="57735AD7" w14:textId="7F70C3A4" w:rsidR="002B2296" w:rsidRDefault="002B2296"/>
    <w:p w14:paraId="240E6D1B" w14:textId="587C6878" w:rsidR="002B2296" w:rsidRDefault="002B2296"/>
    <w:p w14:paraId="37C09E42" w14:textId="73841B92" w:rsidR="002B2296" w:rsidRDefault="002B2296"/>
    <w:p w14:paraId="2E22A8D3" w14:textId="02B37901" w:rsidR="002B2296" w:rsidRDefault="002B2296"/>
    <w:p w14:paraId="3A35C061" w14:textId="3B2218BD" w:rsidR="002B2296" w:rsidRDefault="002B2296"/>
    <w:p w14:paraId="261BF0CA" w14:textId="18F13EF7" w:rsidR="002B2296" w:rsidRDefault="002B2296"/>
    <w:p w14:paraId="7A094B70" w14:textId="51A0135A" w:rsidR="002B2296" w:rsidRDefault="002B2296"/>
    <w:p w14:paraId="051353B8" w14:textId="517F5C29" w:rsidR="002B2296" w:rsidRDefault="002B2296"/>
    <w:p w14:paraId="1DFF7214" w14:textId="6BC8334B" w:rsidR="002B2296" w:rsidRDefault="002B2296"/>
    <w:p w14:paraId="7A64AFC4" w14:textId="03B7E539" w:rsidR="002B2296" w:rsidRDefault="002B2296"/>
    <w:p w14:paraId="40E1684A" w14:textId="226ABBA5" w:rsidR="002B2296" w:rsidRDefault="002B2296"/>
    <w:p w14:paraId="73AD7DD5" w14:textId="61C14CDD" w:rsidR="002B2296" w:rsidRDefault="002B2296"/>
    <w:p w14:paraId="4FAE971F" w14:textId="77E85C1F" w:rsidR="002B2296" w:rsidRDefault="002B2296"/>
    <w:p w14:paraId="282305A1" w14:textId="629BA869" w:rsidR="002B2296" w:rsidRDefault="002B2296"/>
    <w:p w14:paraId="0898A375" w14:textId="62C374C7" w:rsidR="002B2296" w:rsidRDefault="002B2296"/>
    <w:p w14:paraId="7F63D5C0" w14:textId="340C1053" w:rsidR="002B2296" w:rsidRDefault="002B2296"/>
    <w:p w14:paraId="4DDB1771" w14:textId="691F3B57" w:rsidR="002B2296" w:rsidRDefault="002B2296"/>
    <w:p w14:paraId="6E346B05" w14:textId="6BFA86AA" w:rsidR="002B2296" w:rsidRDefault="002B2296"/>
    <w:p w14:paraId="03B8C428" w14:textId="77777777" w:rsidR="002B2296" w:rsidRPr="00CD2D31" w:rsidRDefault="002B2296" w:rsidP="002B2296">
      <w:pPr>
        <w:tabs>
          <w:tab w:val="left" w:pos="2445"/>
        </w:tabs>
        <w:spacing w:line="480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lastRenderedPageBreak/>
        <w:t>Supplementary Table 2</w:t>
      </w:r>
      <w:r w:rsidRPr="00CD2D31">
        <w:rPr>
          <w:rFonts w:ascii="Times New Roman" w:hAnsi="Times New Roman"/>
          <w:color w:val="000000" w:themeColor="text1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Cs w:val="24"/>
        </w:rPr>
        <w:t>Distribution of symptom improvement score and changes in SANDE score according to tear MMP-9 positivity after topical CS treatment</w:t>
      </w:r>
      <w:r w:rsidRPr="00CD2D31">
        <w:rPr>
          <w:rFonts w:ascii="Times New Roman" w:hAnsi="Times New Roman"/>
          <w:color w:val="000000" w:themeColor="text1"/>
          <w:szCs w:val="24"/>
        </w:rPr>
        <w:t xml:space="preserve">. </w:t>
      </w:r>
    </w:p>
    <w:p w14:paraId="6249E6FB" w14:textId="77777777" w:rsidR="002B2296" w:rsidRDefault="002B2296" w:rsidP="002B2296"/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268"/>
        <w:gridCol w:w="2126"/>
        <w:gridCol w:w="1366"/>
      </w:tblGrid>
      <w:tr w:rsidR="002B2296" w:rsidRPr="00675C0E" w14:paraId="5AC67192" w14:textId="77777777" w:rsidTr="00F44C4C">
        <w:tc>
          <w:tcPr>
            <w:tcW w:w="3256" w:type="dxa"/>
          </w:tcPr>
          <w:p w14:paraId="482F0AB8" w14:textId="77777777" w:rsidR="002B2296" w:rsidRPr="00675C0E" w:rsidRDefault="002B2296" w:rsidP="00F44C4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BAFF06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MMP-9 positive</w:t>
            </w:r>
          </w:p>
          <w:p w14:paraId="53D65C46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(n=100, 73.0%)</w:t>
            </w:r>
          </w:p>
        </w:tc>
        <w:tc>
          <w:tcPr>
            <w:tcW w:w="2126" w:type="dxa"/>
          </w:tcPr>
          <w:p w14:paraId="619ED420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MMP-9 negative</w:t>
            </w:r>
          </w:p>
          <w:p w14:paraId="253CC2A4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(n=37, 27.0%)</w:t>
            </w:r>
          </w:p>
        </w:tc>
        <w:tc>
          <w:tcPr>
            <w:tcW w:w="1366" w:type="dxa"/>
          </w:tcPr>
          <w:p w14:paraId="2703E073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675C0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value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</w:tr>
      <w:tr w:rsidR="002B2296" w:rsidRPr="00675C0E" w14:paraId="348435D5" w14:textId="77777777" w:rsidTr="00F44C4C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9FFC70F" w14:textId="77777777" w:rsidR="002B2296" w:rsidRPr="00675C0E" w:rsidRDefault="002B2296" w:rsidP="00F44C4C">
            <w:pPr>
              <w:spacing w:line="48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75C0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Symptom Improvement Score</w:t>
            </w:r>
          </w:p>
        </w:tc>
      </w:tr>
      <w:tr w:rsidR="002B2296" w:rsidRPr="00675C0E" w14:paraId="52353285" w14:textId="77777777" w:rsidTr="00F44C4C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4F120CBC" w14:textId="77777777" w:rsidR="002B2296" w:rsidRPr="00675C0E" w:rsidRDefault="002B2296" w:rsidP="00F44C4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Complete Improvement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27F78C5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F48C354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bottom w:val="nil"/>
            </w:tcBorders>
          </w:tcPr>
          <w:p w14:paraId="557A5C56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0.041</w:t>
            </w:r>
          </w:p>
        </w:tc>
      </w:tr>
      <w:tr w:rsidR="002B2296" w:rsidRPr="00675C0E" w14:paraId="665F1779" w14:textId="77777777" w:rsidTr="00F44C4C">
        <w:tc>
          <w:tcPr>
            <w:tcW w:w="3256" w:type="dxa"/>
            <w:tcBorders>
              <w:top w:val="nil"/>
              <w:bottom w:val="nil"/>
            </w:tcBorders>
          </w:tcPr>
          <w:p w14:paraId="5DE00C01" w14:textId="77777777" w:rsidR="002B2296" w:rsidRPr="00675C0E" w:rsidRDefault="002B2296" w:rsidP="00F44C4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Partial Improvement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396D95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2DEA8E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14:paraId="098C4C7D" w14:textId="77777777" w:rsidR="002B2296" w:rsidRPr="00675C0E" w:rsidRDefault="002B2296" w:rsidP="00F44C4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96" w:rsidRPr="00675C0E" w14:paraId="7BBDA570" w14:textId="77777777" w:rsidTr="00F44C4C">
        <w:tc>
          <w:tcPr>
            <w:tcW w:w="3256" w:type="dxa"/>
            <w:tcBorders>
              <w:top w:val="nil"/>
              <w:bottom w:val="single" w:sz="4" w:space="0" w:color="auto"/>
            </w:tcBorders>
          </w:tcPr>
          <w:p w14:paraId="69146268" w14:textId="77777777" w:rsidR="002B2296" w:rsidRPr="00675C0E" w:rsidRDefault="002B2296" w:rsidP="00F44C4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No change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E102DBC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DB76C19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vMerge/>
            <w:tcBorders>
              <w:top w:val="nil"/>
              <w:bottom w:val="single" w:sz="4" w:space="0" w:color="auto"/>
            </w:tcBorders>
          </w:tcPr>
          <w:p w14:paraId="60BADD03" w14:textId="77777777" w:rsidR="002B2296" w:rsidRPr="00675C0E" w:rsidRDefault="002B2296" w:rsidP="00F44C4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96" w:rsidRPr="00675C0E" w14:paraId="22E19A2F" w14:textId="77777777" w:rsidTr="00F44C4C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80A25D" w14:textId="77777777" w:rsidR="002B2296" w:rsidRPr="00675C0E" w:rsidRDefault="002B2296" w:rsidP="00F44C4C">
            <w:pPr>
              <w:spacing w:line="48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75C0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Changes in SANDE score</w:t>
            </w:r>
          </w:p>
        </w:tc>
      </w:tr>
      <w:tr w:rsidR="002B2296" w:rsidRPr="00675C0E" w14:paraId="10D501EC" w14:textId="77777777" w:rsidTr="00F44C4C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14:paraId="43E4D318" w14:textId="77777777" w:rsidR="002B2296" w:rsidRPr="00675C0E" w:rsidRDefault="002B2296" w:rsidP="00F44C4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Reduction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3C830747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9BAF42E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bottom w:val="nil"/>
            </w:tcBorders>
          </w:tcPr>
          <w:p w14:paraId="643643D4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0.022</w:t>
            </w:r>
          </w:p>
        </w:tc>
      </w:tr>
      <w:tr w:rsidR="002B2296" w:rsidRPr="00675C0E" w14:paraId="153A78B1" w14:textId="77777777" w:rsidTr="00F44C4C">
        <w:tc>
          <w:tcPr>
            <w:tcW w:w="3256" w:type="dxa"/>
            <w:tcBorders>
              <w:top w:val="nil"/>
              <w:bottom w:val="single" w:sz="18" w:space="0" w:color="auto"/>
            </w:tcBorders>
          </w:tcPr>
          <w:p w14:paraId="56B76F68" w14:textId="77777777" w:rsidR="002B2296" w:rsidRPr="00675C0E" w:rsidRDefault="002B2296" w:rsidP="00F44C4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No change or Increase</w:t>
            </w:r>
          </w:p>
        </w:tc>
        <w:tc>
          <w:tcPr>
            <w:tcW w:w="2268" w:type="dxa"/>
            <w:tcBorders>
              <w:top w:val="nil"/>
              <w:bottom w:val="single" w:sz="18" w:space="0" w:color="auto"/>
            </w:tcBorders>
          </w:tcPr>
          <w:p w14:paraId="5639DD38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bottom w:val="single" w:sz="18" w:space="0" w:color="auto"/>
            </w:tcBorders>
          </w:tcPr>
          <w:p w14:paraId="04E89187" w14:textId="77777777" w:rsidR="002B2296" w:rsidRPr="00675C0E" w:rsidRDefault="002B2296" w:rsidP="00F44C4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C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66" w:type="dxa"/>
            <w:vMerge/>
            <w:tcBorders>
              <w:top w:val="nil"/>
              <w:bottom w:val="single" w:sz="18" w:space="0" w:color="auto"/>
            </w:tcBorders>
          </w:tcPr>
          <w:p w14:paraId="692395E6" w14:textId="77777777" w:rsidR="002B2296" w:rsidRPr="00675C0E" w:rsidRDefault="002B2296" w:rsidP="00F44C4C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34D37F" w14:textId="77777777" w:rsidR="002B2296" w:rsidRPr="00675C0E" w:rsidRDefault="002B2296" w:rsidP="002B2296">
      <w:pPr>
        <w:spacing w:line="480" w:lineRule="auto"/>
        <w:rPr>
          <w:rFonts w:ascii="Times New Roman" w:hAnsi="Times New Roman"/>
          <w:sz w:val="20"/>
          <w:szCs w:val="20"/>
        </w:rPr>
      </w:pPr>
      <w:r w:rsidRPr="00A22E73">
        <w:rPr>
          <w:rFonts w:ascii="Times New Roman" w:hAnsi="Times New Roman"/>
          <w:color w:val="000000" w:themeColor="text1"/>
          <w:sz w:val="20"/>
          <w:szCs w:val="20"/>
        </w:rPr>
        <w:t>MMP-9: Matrix Metalloproteinase 9; SANDE: symptom</w:t>
      </w:r>
      <w:r w:rsidRPr="0070308A">
        <w:rPr>
          <w:rFonts w:ascii="Times New Roman" w:hAnsi="Times New Roman"/>
          <w:color w:val="000000" w:themeColor="text1"/>
          <w:sz w:val="20"/>
          <w:szCs w:val="20"/>
        </w:rPr>
        <w:t xml:space="preserve"> assessment in dry eye; </w:t>
      </w:r>
      <w:r>
        <w:rPr>
          <w:rFonts w:ascii="Times New Roman" w:hAnsi="Times New Roman" w:hint="eastAsia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: Chi-square test</w:t>
      </w:r>
    </w:p>
    <w:p w14:paraId="050D1EAC" w14:textId="1CFBE106" w:rsidR="002B2296" w:rsidRDefault="002B2296"/>
    <w:p w14:paraId="05F4668B" w14:textId="0C0EA14A" w:rsidR="002B2296" w:rsidRDefault="002B2296"/>
    <w:p w14:paraId="284E4F9A" w14:textId="5F5097DE" w:rsidR="002B2296" w:rsidRDefault="002B2296"/>
    <w:p w14:paraId="31DF0015" w14:textId="5312F6B3" w:rsidR="002B2296" w:rsidRDefault="002B2296"/>
    <w:p w14:paraId="198F1F66" w14:textId="22B454E3" w:rsidR="002B2296" w:rsidRDefault="002B2296"/>
    <w:p w14:paraId="7B295138" w14:textId="7B1DB97E" w:rsidR="002B2296" w:rsidRDefault="002B2296"/>
    <w:p w14:paraId="3E620332" w14:textId="512168B5" w:rsidR="002B2296" w:rsidRDefault="002B2296"/>
    <w:p w14:paraId="09BAD5E7" w14:textId="5FACB2D7" w:rsidR="002B2296" w:rsidRDefault="002B2296"/>
    <w:p w14:paraId="7F55DD95" w14:textId="1C22AA85" w:rsidR="002B2296" w:rsidRDefault="002B2296"/>
    <w:p w14:paraId="78F480DC" w14:textId="5700823D" w:rsidR="002B2296" w:rsidRDefault="002B2296"/>
    <w:p w14:paraId="499143FD" w14:textId="64EA14FA" w:rsidR="002B2296" w:rsidRDefault="002B2296"/>
    <w:p w14:paraId="0333B362" w14:textId="7175740A" w:rsidR="002B2296" w:rsidRDefault="002B2296"/>
    <w:p w14:paraId="41F1A1BD" w14:textId="6DD6B509" w:rsidR="002B2296" w:rsidRDefault="002B2296"/>
    <w:p w14:paraId="60EC1141" w14:textId="5B5ED589" w:rsidR="002B2296" w:rsidRDefault="002B2296"/>
    <w:p w14:paraId="6032CA53" w14:textId="1788BF07" w:rsidR="002B2296" w:rsidRDefault="002B2296"/>
    <w:p w14:paraId="74152018" w14:textId="1C26038D" w:rsidR="002B2296" w:rsidRDefault="002B2296"/>
    <w:p w14:paraId="7962EA6C" w14:textId="77777777" w:rsidR="002B2296" w:rsidRDefault="002B2296">
      <w:pPr>
        <w:rPr>
          <w:rFonts w:hint="eastAsia"/>
        </w:rPr>
      </w:pPr>
    </w:p>
    <w:p w14:paraId="3362BB5A" w14:textId="77777777" w:rsidR="002B2296" w:rsidRDefault="002B2296" w:rsidP="002B2296">
      <w:pPr>
        <w:spacing w:line="480" w:lineRule="auto"/>
        <w:rPr>
          <w:rFonts w:ascii="Times New Roman" w:hAnsi="Times New Roman"/>
          <w:color w:val="000000" w:themeColor="text1"/>
          <w:szCs w:val="28"/>
        </w:rPr>
      </w:pPr>
    </w:p>
    <w:p w14:paraId="149BB96D" w14:textId="62C825E5" w:rsidR="002B2296" w:rsidRPr="00994050" w:rsidRDefault="002B2296" w:rsidP="002B2296">
      <w:pPr>
        <w:spacing w:line="480" w:lineRule="auto"/>
        <w:rPr>
          <w:rFonts w:ascii="Times New Roman" w:hAnsi="Times New Roman"/>
          <w:b/>
          <w:bCs/>
          <w:color w:val="000000" w:themeColor="text1"/>
          <w:szCs w:val="28"/>
        </w:rPr>
      </w:pPr>
      <w:r w:rsidRPr="00994050">
        <w:rPr>
          <w:rFonts w:ascii="Times New Roman" w:hAnsi="Times New Roman"/>
          <w:color w:val="000000" w:themeColor="text1"/>
          <w:szCs w:val="28"/>
        </w:rPr>
        <w:lastRenderedPageBreak/>
        <w:t xml:space="preserve">Supplementary Table </w:t>
      </w:r>
      <w:r>
        <w:rPr>
          <w:rFonts w:ascii="Times New Roman" w:hAnsi="Times New Roman"/>
          <w:color w:val="000000" w:themeColor="text1"/>
          <w:szCs w:val="28"/>
        </w:rPr>
        <w:t>3</w:t>
      </w:r>
      <w:r w:rsidRPr="00994050">
        <w:rPr>
          <w:rFonts w:ascii="Times New Roman" w:hAnsi="Times New Roman"/>
          <w:color w:val="000000" w:themeColor="text1"/>
          <w:szCs w:val="28"/>
        </w:rPr>
        <w:t>. Comparison of the therapeutic effects of topical CS based on the grade of MMP-9 positivity in tear films (grades 1-2 versus grades 3-4)</w:t>
      </w:r>
    </w:p>
    <w:tbl>
      <w:tblPr>
        <w:tblStyle w:val="a3"/>
        <w:tblW w:w="5000" w:type="pct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2271"/>
        <w:gridCol w:w="1845"/>
        <w:gridCol w:w="1367"/>
      </w:tblGrid>
      <w:tr w:rsidR="002B2296" w:rsidRPr="00FB1C54" w14:paraId="105A0FE9" w14:textId="77777777" w:rsidTr="00F44C4C">
        <w:trPr>
          <w:trHeight w:val="603"/>
        </w:trPr>
        <w:tc>
          <w:tcPr>
            <w:tcW w:w="1963" w:type="pct"/>
            <w:vMerge w:val="restart"/>
            <w:vAlign w:val="center"/>
          </w:tcPr>
          <w:p w14:paraId="3525499D" w14:textId="77777777" w:rsidR="002B2296" w:rsidRPr="00FB1C54" w:rsidRDefault="002B2296" w:rsidP="00F44C4C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Changes in</w:t>
            </w:r>
          </w:p>
          <w:p w14:paraId="7285DCA8" w14:textId="77777777" w:rsidR="002B2296" w:rsidRPr="00FB1C54" w:rsidRDefault="002B2296" w:rsidP="00F44C4C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D</w:t>
            </w: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ED parameters</w:t>
            </w:r>
          </w:p>
        </w:tc>
        <w:tc>
          <w:tcPr>
            <w:tcW w:w="2280" w:type="pct"/>
            <w:gridSpan w:val="2"/>
            <w:tcBorders>
              <w:bottom w:val="single" w:sz="4" w:space="0" w:color="auto"/>
            </w:tcBorders>
          </w:tcPr>
          <w:p w14:paraId="146F03F5" w14:textId="77777777" w:rsidR="002B2296" w:rsidRPr="00FB1C54" w:rsidRDefault="002B2296" w:rsidP="00F44C4C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Tear MMP-9(+)</w:t>
            </w: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14:paraId="01F78947" w14:textId="77777777" w:rsidR="002B2296" w:rsidRPr="00FB1C54" w:rsidRDefault="002B2296" w:rsidP="00F44C4C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B2296" w:rsidRPr="00FB1C54" w14:paraId="0F5BFBED" w14:textId="77777777" w:rsidTr="00F44C4C">
        <w:trPr>
          <w:trHeight w:val="603"/>
        </w:trPr>
        <w:tc>
          <w:tcPr>
            <w:tcW w:w="1963" w:type="pct"/>
            <w:vMerge/>
            <w:tcBorders>
              <w:bottom w:val="single" w:sz="4" w:space="0" w:color="auto"/>
            </w:tcBorders>
            <w:hideMark/>
          </w:tcPr>
          <w:p w14:paraId="6A210A14" w14:textId="77777777" w:rsidR="002B2296" w:rsidRPr="00FB1C54" w:rsidRDefault="002B2296" w:rsidP="00F44C4C">
            <w:pPr>
              <w:spacing w:after="160" w:line="259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pct"/>
            <w:tcBorders>
              <w:bottom w:val="single" w:sz="4" w:space="0" w:color="auto"/>
            </w:tcBorders>
            <w:hideMark/>
          </w:tcPr>
          <w:p w14:paraId="108C8719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Grades 1 and 2</w:t>
            </w:r>
          </w:p>
          <w:p w14:paraId="7A2777C9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(n=78)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hideMark/>
          </w:tcPr>
          <w:p w14:paraId="572B5294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Grades 3 and 4</w:t>
            </w:r>
          </w:p>
          <w:p w14:paraId="340BDBA5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(n=22)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hideMark/>
          </w:tcPr>
          <w:p w14:paraId="45F627A7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-value</w:t>
            </w:r>
            <w:r w:rsidRPr="00FB1C54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vertAlign w:val="superscript"/>
              </w:rPr>
              <w:t>‡</w:t>
            </w:r>
          </w:p>
        </w:tc>
      </w:tr>
      <w:tr w:rsidR="002B2296" w:rsidRPr="00FB1C54" w14:paraId="2F4BB7E5" w14:textId="77777777" w:rsidTr="00F44C4C">
        <w:trPr>
          <w:trHeight w:val="605"/>
        </w:trPr>
        <w:tc>
          <w:tcPr>
            <w:tcW w:w="1963" w:type="pct"/>
            <w:tcBorders>
              <w:top w:val="single" w:sz="4" w:space="0" w:color="auto"/>
              <w:bottom w:val="nil"/>
            </w:tcBorders>
            <w:hideMark/>
          </w:tcPr>
          <w:p w14:paraId="56DC66CC" w14:textId="77777777" w:rsidR="002B2296" w:rsidRPr="00FB1C54" w:rsidRDefault="002B2296" w:rsidP="00F44C4C">
            <w:pPr>
              <w:spacing w:after="160" w:line="259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SANDE (post-pre)</w:t>
            </w:r>
          </w:p>
        </w:tc>
        <w:tc>
          <w:tcPr>
            <w:tcW w:w="1258" w:type="pct"/>
            <w:tcBorders>
              <w:top w:val="single" w:sz="4" w:space="0" w:color="auto"/>
              <w:bottom w:val="nil"/>
            </w:tcBorders>
            <w:hideMark/>
          </w:tcPr>
          <w:p w14:paraId="606086AF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-27.58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±</m:t>
              </m:r>
            </m:oMath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19.94</w:t>
            </w:r>
          </w:p>
        </w:tc>
        <w:tc>
          <w:tcPr>
            <w:tcW w:w="1022" w:type="pct"/>
            <w:tcBorders>
              <w:top w:val="single" w:sz="4" w:space="0" w:color="auto"/>
              <w:bottom w:val="nil"/>
            </w:tcBorders>
            <w:hideMark/>
          </w:tcPr>
          <w:p w14:paraId="721BDAF6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-26.21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±</m:t>
              </m:r>
            </m:oMath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16.31</w:t>
            </w:r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hideMark/>
          </w:tcPr>
          <w:p w14:paraId="31AC0515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0.768</w:t>
            </w:r>
          </w:p>
        </w:tc>
      </w:tr>
      <w:tr w:rsidR="002B2296" w:rsidRPr="00FB1C54" w14:paraId="3A2E5AC9" w14:textId="77777777" w:rsidTr="00F44C4C">
        <w:trPr>
          <w:trHeight w:val="603"/>
        </w:trPr>
        <w:tc>
          <w:tcPr>
            <w:tcW w:w="1963" w:type="pct"/>
            <w:tcBorders>
              <w:top w:val="nil"/>
              <w:bottom w:val="nil"/>
            </w:tcBorders>
            <w:hideMark/>
          </w:tcPr>
          <w:p w14:paraId="06DA87B0" w14:textId="77777777" w:rsidR="002B2296" w:rsidRPr="00FB1C54" w:rsidRDefault="002B2296" w:rsidP="00F44C4C">
            <w:pPr>
              <w:spacing w:after="160" w:line="259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TBUT (post-pre)</w:t>
            </w:r>
          </w:p>
        </w:tc>
        <w:tc>
          <w:tcPr>
            <w:tcW w:w="1258" w:type="pct"/>
            <w:tcBorders>
              <w:top w:val="nil"/>
              <w:bottom w:val="nil"/>
            </w:tcBorders>
            <w:hideMark/>
          </w:tcPr>
          <w:p w14:paraId="089426F5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1.3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±</m:t>
              </m:r>
            </m:oMath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022" w:type="pct"/>
            <w:tcBorders>
              <w:top w:val="nil"/>
              <w:bottom w:val="nil"/>
            </w:tcBorders>
            <w:hideMark/>
          </w:tcPr>
          <w:p w14:paraId="36A74B70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±</m:t>
              </m:r>
            </m:oMath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57" w:type="pct"/>
            <w:tcBorders>
              <w:top w:val="nil"/>
              <w:bottom w:val="nil"/>
            </w:tcBorders>
            <w:hideMark/>
          </w:tcPr>
          <w:p w14:paraId="4B05D7A3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0.732</w:t>
            </w:r>
          </w:p>
        </w:tc>
      </w:tr>
      <w:tr w:rsidR="002B2296" w:rsidRPr="00FB1C54" w14:paraId="0F13AA32" w14:textId="77777777" w:rsidTr="00F44C4C">
        <w:trPr>
          <w:trHeight w:val="605"/>
        </w:trPr>
        <w:tc>
          <w:tcPr>
            <w:tcW w:w="1963" w:type="pct"/>
            <w:tcBorders>
              <w:top w:val="nil"/>
              <w:bottom w:val="nil"/>
            </w:tcBorders>
            <w:hideMark/>
          </w:tcPr>
          <w:p w14:paraId="1F5DB14E" w14:textId="77777777" w:rsidR="002B2296" w:rsidRPr="00FB1C54" w:rsidRDefault="002B2296" w:rsidP="00F44C4C">
            <w:pPr>
              <w:spacing w:after="160" w:line="259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OSS (post-pre)</w:t>
            </w:r>
          </w:p>
        </w:tc>
        <w:tc>
          <w:tcPr>
            <w:tcW w:w="1258" w:type="pct"/>
            <w:tcBorders>
              <w:top w:val="nil"/>
              <w:bottom w:val="nil"/>
            </w:tcBorders>
            <w:hideMark/>
          </w:tcPr>
          <w:p w14:paraId="6867C078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-0.3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±</m:t>
              </m:r>
            </m:oMath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1022" w:type="pct"/>
            <w:tcBorders>
              <w:top w:val="nil"/>
              <w:bottom w:val="nil"/>
            </w:tcBorders>
            <w:hideMark/>
          </w:tcPr>
          <w:p w14:paraId="6F4FB234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-0.5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±</m:t>
              </m:r>
            </m:oMath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757" w:type="pct"/>
            <w:tcBorders>
              <w:top w:val="nil"/>
              <w:bottom w:val="nil"/>
            </w:tcBorders>
            <w:hideMark/>
          </w:tcPr>
          <w:p w14:paraId="5F746355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0.221</w:t>
            </w:r>
          </w:p>
        </w:tc>
      </w:tr>
      <w:tr w:rsidR="002B2296" w:rsidRPr="00FB1C54" w14:paraId="331DD4FC" w14:textId="77777777" w:rsidTr="00F44C4C">
        <w:trPr>
          <w:trHeight w:val="605"/>
        </w:trPr>
        <w:tc>
          <w:tcPr>
            <w:tcW w:w="1963" w:type="pct"/>
            <w:tcBorders>
              <w:top w:val="nil"/>
              <w:bottom w:val="nil"/>
            </w:tcBorders>
            <w:hideMark/>
          </w:tcPr>
          <w:p w14:paraId="0074EC60" w14:textId="77777777" w:rsidR="002B2296" w:rsidRPr="00FB1C54" w:rsidRDefault="002B2296" w:rsidP="00F44C4C">
            <w:pPr>
              <w:spacing w:after="160" w:line="259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MGD stage (post-pre)</w:t>
            </w:r>
          </w:p>
        </w:tc>
        <w:tc>
          <w:tcPr>
            <w:tcW w:w="1258" w:type="pct"/>
            <w:tcBorders>
              <w:top w:val="nil"/>
              <w:bottom w:val="nil"/>
            </w:tcBorders>
            <w:hideMark/>
          </w:tcPr>
          <w:p w14:paraId="209CD8CC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-0.6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±</m:t>
              </m:r>
            </m:oMath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1022" w:type="pct"/>
            <w:tcBorders>
              <w:top w:val="nil"/>
              <w:bottom w:val="nil"/>
            </w:tcBorders>
            <w:hideMark/>
          </w:tcPr>
          <w:p w14:paraId="3C35CD3F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-0.7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±</m:t>
              </m:r>
            </m:oMath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757" w:type="pct"/>
            <w:tcBorders>
              <w:top w:val="nil"/>
              <w:bottom w:val="nil"/>
            </w:tcBorders>
            <w:hideMark/>
          </w:tcPr>
          <w:p w14:paraId="770FC5A2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0.447</w:t>
            </w:r>
          </w:p>
        </w:tc>
      </w:tr>
      <w:tr w:rsidR="002B2296" w:rsidRPr="00FB1C54" w14:paraId="770C3989" w14:textId="77777777" w:rsidTr="00F44C4C">
        <w:trPr>
          <w:trHeight w:val="605"/>
        </w:trPr>
        <w:tc>
          <w:tcPr>
            <w:tcW w:w="1963" w:type="pct"/>
            <w:tcBorders>
              <w:top w:val="nil"/>
              <w:bottom w:val="single" w:sz="18" w:space="0" w:color="auto"/>
            </w:tcBorders>
            <w:hideMark/>
          </w:tcPr>
          <w:p w14:paraId="1A808836" w14:textId="77777777" w:rsidR="002B2296" w:rsidRPr="00FB1C54" w:rsidRDefault="002B2296" w:rsidP="00F44C4C">
            <w:pPr>
              <w:spacing w:after="160" w:line="259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OLE_LINK1"/>
            <w:proofErr w:type="gramStart"/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Symptom</w:t>
            </w:r>
            <w:proofErr w:type="gramEnd"/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change score</w:t>
            </w:r>
            <w:bookmarkEnd w:id="0"/>
          </w:p>
        </w:tc>
        <w:tc>
          <w:tcPr>
            <w:tcW w:w="1258" w:type="pct"/>
            <w:tcBorders>
              <w:top w:val="nil"/>
              <w:bottom w:val="single" w:sz="18" w:space="0" w:color="auto"/>
            </w:tcBorders>
          </w:tcPr>
          <w:p w14:paraId="4FF65017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±</m:t>
              </m:r>
            </m:oMath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1022" w:type="pct"/>
            <w:tcBorders>
              <w:top w:val="nil"/>
              <w:bottom w:val="single" w:sz="18" w:space="0" w:color="auto"/>
            </w:tcBorders>
          </w:tcPr>
          <w:p w14:paraId="376B5F58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±</m:t>
              </m:r>
            </m:oMath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757" w:type="pct"/>
            <w:tcBorders>
              <w:top w:val="nil"/>
              <w:bottom w:val="single" w:sz="18" w:space="0" w:color="auto"/>
            </w:tcBorders>
            <w:hideMark/>
          </w:tcPr>
          <w:p w14:paraId="2D357668" w14:textId="77777777" w:rsidR="002B2296" w:rsidRPr="00FB1C54" w:rsidRDefault="002B2296" w:rsidP="00F44C4C">
            <w:pPr>
              <w:spacing w:after="160" w:line="259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C5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0.796</w:t>
            </w:r>
          </w:p>
        </w:tc>
      </w:tr>
    </w:tbl>
    <w:p w14:paraId="2B084118" w14:textId="77777777" w:rsidR="002B2296" w:rsidRPr="00FB1C54" w:rsidRDefault="002B2296" w:rsidP="002B2296">
      <w:pPr>
        <w:spacing w:line="48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FB1C54">
        <w:rPr>
          <w:rFonts w:ascii="Times New Roman" w:hAnsi="Times New Roman"/>
          <w:color w:val="000000" w:themeColor="text1"/>
          <w:sz w:val="20"/>
          <w:szCs w:val="20"/>
        </w:rPr>
        <w:t>DED, dry eye disease; SANDE, symptom assessment in dry eye; TBUT, tear film breakup time; OSS, ocular staining score.</w:t>
      </w:r>
      <w:r w:rsidRPr="00FB1C54">
        <w:rPr>
          <w:rFonts w:ascii="Times New Roman" w:eastAsiaTheme="minorHAnsi" w:hAnsi="Times New Roman"/>
          <w:color w:val="000000" w:themeColor="text1"/>
          <w:sz w:val="20"/>
          <w:szCs w:val="20"/>
          <w:vertAlign w:val="superscript"/>
        </w:rPr>
        <w:t xml:space="preserve"> ‡</w:t>
      </w:r>
      <w:r w:rsidRPr="00FB1C54">
        <w:rPr>
          <w:rFonts w:ascii="Times New Roman" w:hAnsi="Times New Roman"/>
          <w:color w:val="000000" w:themeColor="text1"/>
          <w:sz w:val="20"/>
          <w:szCs w:val="20"/>
        </w:rPr>
        <w:t>Mann-Whitney U test.</w:t>
      </w:r>
    </w:p>
    <w:p w14:paraId="2D928349" w14:textId="68C3427C" w:rsidR="002B2296" w:rsidRDefault="002B2296"/>
    <w:p w14:paraId="25DA8D61" w14:textId="4C6E7F28" w:rsidR="002B2296" w:rsidRDefault="002B2296"/>
    <w:p w14:paraId="4610EEDB" w14:textId="12A832C9" w:rsidR="002B2296" w:rsidRDefault="002B2296"/>
    <w:p w14:paraId="59B0F9B9" w14:textId="75690A97" w:rsidR="002B2296" w:rsidRDefault="002B2296"/>
    <w:p w14:paraId="59C841A2" w14:textId="728ACA93" w:rsidR="002B2296" w:rsidRDefault="002B2296"/>
    <w:p w14:paraId="518A6ABA" w14:textId="462D4F31" w:rsidR="002B2296" w:rsidRDefault="002B2296"/>
    <w:p w14:paraId="5343DAAC" w14:textId="6D28EA73" w:rsidR="002B2296" w:rsidRDefault="002B2296"/>
    <w:p w14:paraId="55B7222E" w14:textId="6DA727D5" w:rsidR="002B2296" w:rsidRDefault="002B2296"/>
    <w:p w14:paraId="40B01083" w14:textId="77777777" w:rsidR="002B2296" w:rsidRPr="002B2296" w:rsidRDefault="002B2296">
      <w:pPr>
        <w:rPr>
          <w:rFonts w:hint="eastAsia"/>
        </w:rPr>
      </w:pPr>
    </w:p>
    <w:p w14:paraId="381B2074" w14:textId="77777777" w:rsidR="002B2296" w:rsidRDefault="002B2296">
      <w:pPr>
        <w:rPr>
          <w:rFonts w:hint="eastAsia"/>
        </w:rPr>
      </w:pPr>
    </w:p>
    <w:sectPr w:rsidR="002B22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3A4EB" w14:textId="77777777" w:rsidR="00EB3A90" w:rsidRDefault="00EB3A90" w:rsidP="00D104AA">
      <w:r>
        <w:separator/>
      </w:r>
    </w:p>
  </w:endnote>
  <w:endnote w:type="continuationSeparator" w:id="0">
    <w:p w14:paraId="02902640" w14:textId="77777777" w:rsidR="00EB3A90" w:rsidRDefault="00EB3A90" w:rsidP="00D1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6A349" w14:textId="77777777" w:rsidR="00EB3A90" w:rsidRDefault="00EB3A90" w:rsidP="00D104AA">
      <w:r>
        <w:separator/>
      </w:r>
    </w:p>
  </w:footnote>
  <w:footnote w:type="continuationSeparator" w:id="0">
    <w:p w14:paraId="5C39E375" w14:textId="77777777" w:rsidR="00EB3A90" w:rsidRDefault="00EB3A90" w:rsidP="00D10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FD"/>
    <w:rsid w:val="002B2296"/>
    <w:rsid w:val="003223C4"/>
    <w:rsid w:val="003E21C2"/>
    <w:rsid w:val="007510FD"/>
    <w:rsid w:val="007B59B9"/>
    <w:rsid w:val="007D0E10"/>
    <w:rsid w:val="00966155"/>
    <w:rsid w:val="00D104AA"/>
    <w:rsid w:val="00DF6F05"/>
    <w:rsid w:val="00E46712"/>
    <w:rsid w:val="00E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958FE"/>
  <w15:chartTrackingRefBased/>
  <w15:docId w15:val="{7AA60D8A-5216-4DEC-990E-0968EED2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0FD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104A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104AA"/>
    <w:rPr>
      <w:rFonts w:ascii="맑은 고딕" w:eastAsia="맑은 고딕" w:hAnsi="맑은 고딕" w:cs="Times New Roman"/>
      <w:sz w:val="24"/>
    </w:rPr>
  </w:style>
  <w:style w:type="paragraph" w:styleId="a5">
    <w:name w:val="footer"/>
    <w:basedOn w:val="a"/>
    <w:link w:val="Char0"/>
    <w:uiPriority w:val="99"/>
    <w:unhideWhenUsed/>
    <w:rsid w:val="00D104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104AA"/>
    <w:rPr>
      <w:rFonts w:ascii="맑은 고딕" w:eastAsia="맑은 고딕" w:hAnsi="맑은 고딕" w:cs="Times New Roman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7D0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D0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동현</dc:creator>
  <cp:keywords/>
  <dc:description/>
  <cp:lastModifiedBy>김 동현</cp:lastModifiedBy>
  <cp:revision>2</cp:revision>
  <dcterms:created xsi:type="dcterms:W3CDTF">2021-01-28T06:14:00Z</dcterms:created>
  <dcterms:modified xsi:type="dcterms:W3CDTF">2021-01-28T06:14:00Z</dcterms:modified>
</cp:coreProperties>
</file>